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14F9D333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629C2">
        <w:rPr>
          <w:rFonts w:ascii="Arial" w:hAnsi="Arial" w:cs="Arial"/>
          <w:b/>
          <w:sz w:val="20"/>
          <w:szCs w:val="20"/>
        </w:rPr>
        <w:t>v</w:t>
      </w:r>
      <w:r w:rsidR="00E81936" w:rsidRPr="00E81936">
        <w:rPr>
          <w:rFonts w:ascii="Arial" w:hAnsi="Arial" w:cs="Arial"/>
          <w:b/>
          <w:sz w:val="20"/>
          <w:szCs w:val="20"/>
        </w:rPr>
        <w:t>igésima</w:t>
      </w:r>
      <w:r w:rsidR="00ED2DB7">
        <w:rPr>
          <w:rFonts w:ascii="Arial" w:hAnsi="Arial" w:cs="Arial"/>
          <w:b/>
          <w:sz w:val="20"/>
          <w:szCs w:val="20"/>
        </w:rPr>
        <w:t xml:space="preserve"> </w:t>
      </w:r>
      <w:r w:rsidR="00E629C2">
        <w:rPr>
          <w:rFonts w:ascii="Arial" w:hAnsi="Arial" w:cs="Arial"/>
          <w:b/>
          <w:sz w:val="20"/>
          <w:szCs w:val="20"/>
        </w:rPr>
        <w:t>s</w:t>
      </w:r>
      <w:r w:rsidR="00ED2DB7">
        <w:rPr>
          <w:rFonts w:ascii="Arial" w:hAnsi="Arial" w:cs="Arial"/>
          <w:b/>
          <w:sz w:val="20"/>
          <w:szCs w:val="20"/>
        </w:rPr>
        <w:t>egund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a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ED2DB7">
        <w:rPr>
          <w:rFonts w:ascii="Arial" w:hAnsi="Arial" w:cs="Arial"/>
          <w:b/>
          <w:sz w:val="20"/>
          <w:szCs w:val="20"/>
        </w:rPr>
        <w:t>tres</w:t>
      </w:r>
      <w:r w:rsidR="00721C5E">
        <w:rPr>
          <w:rFonts w:ascii="Arial" w:hAnsi="Arial" w:cs="Arial"/>
          <w:b/>
          <w:sz w:val="20"/>
          <w:szCs w:val="20"/>
        </w:rPr>
        <w:t xml:space="preserve"> de junio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D2DB7" w:rsidRPr="00E629C2">
        <w:rPr>
          <w:rFonts w:ascii="Arial" w:hAnsi="Arial" w:cs="Arial"/>
          <w:b/>
          <w:sz w:val="20"/>
          <w:szCs w:val="20"/>
        </w:rPr>
        <w:t>doce</w:t>
      </w:r>
      <w:r w:rsidR="008B1B2D" w:rsidRPr="00E629C2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EC5E7B" w:rsidRPr="00E629C2" w14:paraId="7565E0FA" w14:textId="77777777" w:rsidTr="00FF350C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F01B7B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E629C2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5AF414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529E86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984CE1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A112E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01E974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EC5E7B" w:rsidRPr="00E629C2" w14:paraId="79543E76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EDB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C308118" w14:textId="77777777" w:rsidR="00EC5E7B" w:rsidRPr="00E629C2" w:rsidRDefault="00EC5E7B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D5783E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TEEA-REP-005/2022</w:t>
            </w:r>
          </w:p>
        </w:tc>
        <w:tc>
          <w:tcPr>
            <w:tcW w:w="1843" w:type="dxa"/>
            <w:vAlign w:val="center"/>
          </w:tcPr>
          <w:p w14:paraId="7772CC8B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Adopción de medidas cautelares.</w:t>
            </w:r>
          </w:p>
        </w:tc>
        <w:tc>
          <w:tcPr>
            <w:tcW w:w="1984" w:type="dxa"/>
            <w:vAlign w:val="center"/>
          </w:tcPr>
          <w:p w14:paraId="0A1DF19A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C. Anayeli Muñoz Moreno y Movimiento Ciudadano.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CA5339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86FA" w14:textId="77777777" w:rsidR="00EC5E7B" w:rsidRPr="00E629C2" w:rsidRDefault="00EC5E7B" w:rsidP="00FF35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4A31F36B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5E7B" w:rsidRPr="00E629C2" w14:paraId="36598BD5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38F8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3AAF3E90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TEEA-REP-007/2022</w:t>
            </w:r>
          </w:p>
        </w:tc>
        <w:tc>
          <w:tcPr>
            <w:tcW w:w="1843" w:type="dxa"/>
            <w:vAlign w:val="center"/>
          </w:tcPr>
          <w:p w14:paraId="6FFFE430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No adopción de medidas cautelares.</w:t>
            </w:r>
          </w:p>
        </w:tc>
        <w:tc>
          <w:tcPr>
            <w:tcW w:w="1984" w:type="dxa"/>
            <w:vAlign w:val="center"/>
          </w:tcPr>
          <w:p w14:paraId="46E20963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88EEFDB" w14:textId="77777777" w:rsidR="00EC5E7B" w:rsidRPr="00E629C2" w:rsidRDefault="00EC5E7B" w:rsidP="00FF350C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D0B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EC5E7B" w:rsidRPr="00E629C2" w14:paraId="231F2830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463E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1CD18687" w14:textId="77777777" w:rsidR="00EC5E7B" w:rsidRPr="00E629C2" w:rsidRDefault="00EC5E7B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229FE4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TEEA-REP-009/2022</w:t>
            </w:r>
          </w:p>
        </w:tc>
        <w:tc>
          <w:tcPr>
            <w:tcW w:w="1843" w:type="dxa"/>
            <w:vAlign w:val="center"/>
          </w:tcPr>
          <w:p w14:paraId="245CC62C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No adopción de medidas cautelares.</w:t>
            </w:r>
          </w:p>
        </w:tc>
        <w:tc>
          <w:tcPr>
            <w:tcW w:w="1984" w:type="dxa"/>
            <w:vAlign w:val="center"/>
          </w:tcPr>
          <w:p w14:paraId="162B3F62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42B4B53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75E2" w14:textId="77777777" w:rsidR="00EC5E7B" w:rsidRPr="00E629C2" w:rsidRDefault="00EC5E7B" w:rsidP="00FF35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72B84AEC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5E7B" w:rsidRPr="00E629C2" w14:paraId="28F7CC1C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7501" w14:textId="77777777" w:rsidR="00EC5E7B" w:rsidRPr="00E629C2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29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27690B6" w14:textId="77777777" w:rsidR="00EC5E7B" w:rsidRPr="00E629C2" w:rsidRDefault="00EC5E7B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9A7EF2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TEEA-PES-044/2022</w:t>
            </w:r>
          </w:p>
        </w:tc>
        <w:tc>
          <w:tcPr>
            <w:tcW w:w="1843" w:type="dxa"/>
            <w:vAlign w:val="center"/>
          </w:tcPr>
          <w:p w14:paraId="2704C1D0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Vulneración a la normativa en materia de propaganda electoral.</w:t>
            </w:r>
          </w:p>
        </w:tc>
        <w:tc>
          <w:tcPr>
            <w:tcW w:w="1984" w:type="dxa"/>
            <w:vAlign w:val="center"/>
          </w:tcPr>
          <w:p w14:paraId="7C8C0F5E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4367BF1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Nora Ruvalcaba Gámez, candidata de MORENA a la gubernatura del Estado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8A84" w14:textId="77777777" w:rsidR="00EC5E7B" w:rsidRPr="00E629C2" w:rsidRDefault="00EC5E7B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29C2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1291703" w14:textId="6D50DC38" w:rsidR="00312622" w:rsidRDefault="0031262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E629C2">
    <w:pPr>
      <w:pStyle w:val="Piedepgina"/>
      <w:jc w:val="right"/>
    </w:pPr>
  </w:p>
  <w:p w14:paraId="7B801511" w14:textId="77777777" w:rsidR="005F3ABF" w:rsidRDefault="00E62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BBC8F9F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ED2DB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segunda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ED2DB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tres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ju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E629C2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29C2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43</cp:revision>
  <cp:lastPrinted>2022-06-03T15:18:00Z</cp:lastPrinted>
  <dcterms:created xsi:type="dcterms:W3CDTF">2021-02-03T20:56:00Z</dcterms:created>
  <dcterms:modified xsi:type="dcterms:W3CDTF">2022-07-04T19:34:00Z</dcterms:modified>
</cp:coreProperties>
</file>