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8C77B" w14:textId="77777777" w:rsidR="00411CCA" w:rsidRPr="002955CF" w:rsidRDefault="00411CCA" w:rsidP="00A24504">
      <w:pPr>
        <w:spacing w:line="360" w:lineRule="auto"/>
        <w:jc w:val="both"/>
        <w:rPr>
          <w:rFonts w:ascii="Arial" w:hAnsi="Arial" w:cs="Arial"/>
          <w:sz w:val="21"/>
          <w:szCs w:val="21"/>
        </w:rPr>
      </w:pPr>
    </w:p>
    <w:p w14:paraId="42E1D504" w14:textId="08F2E8AA" w:rsidR="00CC1476" w:rsidRPr="002955CF" w:rsidRDefault="00A24504" w:rsidP="00A24504">
      <w:pPr>
        <w:spacing w:line="360" w:lineRule="auto"/>
        <w:jc w:val="both"/>
        <w:rPr>
          <w:rFonts w:ascii="Arial" w:hAnsi="Arial" w:cs="Arial"/>
          <w:b/>
          <w:sz w:val="21"/>
          <w:szCs w:val="21"/>
        </w:rPr>
      </w:pPr>
      <w:r w:rsidRPr="002955CF">
        <w:rPr>
          <w:rFonts w:ascii="Arial" w:hAnsi="Arial" w:cs="Arial"/>
          <w:sz w:val="21"/>
          <w:szCs w:val="21"/>
        </w:rPr>
        <w:t>Con fundamento en los artículos 106, de la Ley General de Instituciones y Procedimientos Electorales; 17, base B párrafo quinceavo, 58 Bis, párrafo tercero, fracción primera, de la Constitución Política del Estado de Aguascalientes; 316 y 357, fracción I, del Código Electoral del Estado de Aguascalientes; 18, fracción I,  21 fracción I, inciso a) y 116 del Reglamento Interior del Tribunal Electoral; y, TERCERO de los Lineamientos de Organización y Desarrollo de las Sesiones del Tribunal Electoral del Estado de Aguascalientes</w:t>
      </w:r>
      <w:r w:rsidRPr="002955CF">
        <w:rPr>
          <w:rFonts w:ascii="Arial" w:hAnsi="Arial" w:cs="Arial"/>
          <w:bCs/>
          <w:sz w:val="21"/>
          <w:szCs w:val="21"/>
        </w:rPr>
        <w:t xml:space="preserve">, </w:t>
      </w:r>
      <w:r w:rsidRPr="002955CF">
        <w:rPr>
          <w:rFonts w:ascii="Arial" w:hAnsi="Arial" w:cs="Arial"/>
          <w:b/>
          <w:sz w:val="21"/>
          <w:szCs w:val="21"/>
        </w:rPr>
        <w:t xml:space="preserve">se hace del conocimiento público que el día </w:t>
      </w:r>
      <w:r w:rsidR="008C7092" w:rsidRPr="002955CF">
        <w:rPr>
          <w:rFonts w:ascii="Arial" w:hAnsi="Arial" w:cs="Arial"/>
          <w:b/>
          <w:sz w:val="21"/>
          <w:szCs w:val="21"/>
        </w:rPr>
        <w:t>cinco</w:t>
      </w:r>
      <w:r w:rsidR="00383BF3" w:rsidRPr="002955CF">
        <w:rPr>
          <w:rFonts w:ascii="Arial" w:hAnsi="Arial" w:cs="Arial"/>
          <w:b/>
          <w:sz w:val="21"/>
          <w:szCs w:val="21"/>
        </w:rPr>
        <w:t xml:space="preserve"> </w:t>
      </w:r>
      <w:r w:rsidRPr="002955CF">
        <w:rPr>
          <w:rFonts w:ascii="Arial" w:hAnsi="Arial" w:cs="Arial"/>
          <w:b/>
          <w:sz w:val="21"/>
          <w:szCs w:val="21"/>
        </w:rPr>
        <w:t xml:space="preserve">de </w:t>
      </w:r>
      <w:r w:rsidR="008C7092" w:rsidRPr="002955CF">
        <w:rPr>
          <w:rFonts w:ascii="Arial" w:hAnsi="Arial" w:cs="Arial"/>
          <w:b/>
          <w:sz w:val="21"/>
          <w:szCs w:val="21"/>
        </w:rPr>
        <w:t>febrero</w:t>
      </w:r>
      <w:r w:rsidRPr="002955CF">
        <w:rPr>
          <w:rFonts w:ascii="Arial" w:hAnsi="Arial" w:cs="Arial"/>
          <w:b/>
          <w:sz w:val="21"/>
          <w:szCs w:val="21"/>
        </w:rPr>
        <w:t xml:space="preserve"> del año en curso, a las </w:t>
      </w:r>
      <w:r w:rsidR="000F57FA" w:rsidRPr="002955CF">
        <w:rPr>
          <w:rFonts w:ascii="Arial" w:hAnsi="Arial" w:cs="Arial"/>
          <w:b/>
          <w:sz w:val="21"/>
          <w:szCs w:val="21"/>
        </w:rPr>
        <w:t>once</w:t>
      </w:r>
      <w:r w:rsidR="00B00ACA" w:rsidRPr="002955CF">
        <w:rPr>
          <w:rFonts w:ascii="Arial" w:hAnsi="Arial" w:cs="Arial"/>
          <w:b/>
          <w:sz w:val="21"/>
          <w:szCs w:val="21"/>
        </w:rPr>
        <w:t xml:space="preserve"> </w:t>
      </w:r>
      <w:r w:rsidRPr="002955CF">
        <w:rPr>
          <w:rFonts w:ascii="Arial" w:hAnsi="Arial" w:cs="Arial"/>
          <w:b/>
          <w:sz w:val="21"/>
          <w:szCs w:val="21"/>
        </w:rPr>
        <w:t>hora</w:t>
      </w:r>
      <w:r w:rsidR="00DF5034" w:rsidRPr="002955CF">
        <w:rPr>
          <w:rFonts w:ascii="Arial" w:hAnsi="Arial" w:cs="Arial"/>
          <w:b/>
          <w:sz w:val="21"/>
          <w:szCs w:val="21"/>
        </w:rPr>
        <w:t>s</w:t>
      </w:r>
      <w:r w:rsidRPr="002955CF">
        <w:rPr>
          <w:rFonts w:ascii="Arial" w:hAnsi="Arial" w:cs="Arial"/>
          <w:b/>
          <w:sz w:val="21"/>
          <w:szCs w:val="21"/>
        </w:rPr>
        <w:t xml:space="preserve">, este Tribunal Electoral, celebrará sesión pública en el salón del pleno, con el objeto de resolver </w:t>
      </w:r>
      <w:r w:rsidR="00383BF3" w:rsidRPr="002955CF">
        <w:rPr>
          <w:rFonts w:ascii="Arial" w:hAnsi="Arial" w:cs="Arial"/>
          <w:b/>
          <w:sz w:val="21"/>
          <w:szCs w:val="21"/>
        </w:rPr>
        <w:t xml:space="preserve">los </w:t>
      </w:r>
      <w:r w:rsidRPr="002955CF">
        <w:rPr>
          <w:rFonts w:ascii="Arial" w:hAnsi="Arial" w:cs="Arial"/>
          <w:b/>
          <w:sz w:val="21"/>
          <w:szCs w:val="21"/>
        </w:rPr>
        <w:t>medio</w:t>
      </w:r>
      <w:r w:rsidR="00383BF3" w:rsidRPr="002955CF">
        <w:rPr>
          <w:rFonts w:ascii="Arial" w:hAnsi="Arial" w:cs="Arial"/>
          <w:b/>
          <w:sz w:val="21"/>
          <w:szCs w:val="21"/>
        </w:rPr>
        <w:t>s</w:t>
      </w:r>
      <w:r w:rsidRPr="002955CF">
        <w:rPr>
          <w:rFonts w:ascii="Arial" w:hAnsi="Arial" w:cs="Arial"/>
          <w:b/>
          <w:sz w:val="21"/>
          <w:szCs w:val="21"/>
        </w:rPr>
        <w:t xml:space="preserve"> de impugnación que a continuación se precisa</w:t>
      </w:r>
      <w:r w:rsidR="00383BF3" w:rsidRPr="002955CF">
        <w:rPr>
          <w:rFonts w:ascii="Arial" w:hAnsi="Arial" w:cs="Arial"/>
          <w:b/>
          <w:sz w:val="21"/>
          <w:szCs w:val="21"/>
        </w:rPr>
        <w:t>n</w:t>
      </w:r>
      <w:r w:rsidRPr="002955CF">
        <w:rPr>
          <w:rFonts w:ascii="Arial" w:hAnsi="Arial" w:cs="Arial"/>
          <w:b/>
          <w:sz w:val="21"/>
          <w:szCs w:val="21"/>
        </w:rPr>
        <w:t>:</w:t>
      </w:r>
    </w:p>
    <w:tbl>
      <w:tblPr>
        <w:tblStyle w:val="Tablaconcuadrcula"/>
        <w:tblpPr w:leftFromText="141" w:rightFromText="141" w:vertAnchor="text" w:horzAnchor="margin" w:tblpX="-294" w:tblpY="-30"/>
        <w:tblW w:w="9645" w:type="dxa"/>
        <w:tblLayout w:type="fixed"/>
        <w:tblLook w:val="04A0" w:firstRow="1" w:lastRow="0" w:firstColumn="1" w:lastColumn="0" w:noHBand="0" w:noVBand="1"/>
      </w:tblPr>
      <w:tblGrid>
        <w:gridCol w:w="998"/>
        <w:gridCol w:w="1691"/>
        <w:gridCol w:w="1848"/>
        <w:gridCol w:w="1695"/>
        <w:gridCol w:w="1848"/>
        <w:gridCol w:w="1565"/>
      </w:tblGrid>
      <w:tr w:rsidR="00BC60D9" w:rsidRPr="00411CCA" w14:paraId="27EDE438" w14:textId="77777777" w:rsidTr="00D55B1E">
        <w:trPr>
          <w:trHeight w:val="482"/>
        </w:trPr>
        <w:tc>
          <w:tcPr>
            <w:tcW w:w="9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5FD4B0" w14:textId="77777777" w:rsidR="00BC60D9" w:rsidRPr="00411CCA" w:rsidRDefault="00BC60D9" w:rsidP="00D55B1E">
            <w:pPr>
              <w:spacing w:after="0" w:line="360" w:lineRule="auto"/>
              <w:jc w:val="center"/>
              <w:rPr>
                <w:rFonts w:ascii="Arial" w:hAnsi="Arial" w:cs="Arial"/>
                <w:b/>
                <w:sz w:val="21"/>
                <w:szCs w:val="21"/>
              </w:rPr>
            </w:pPr>
            <w:bookmarkStart w:id="0" w:name="_Hlk517868725"/>
            <w:r w:rsidRPr="00411CCA">
              <w:rPr>
                <w:rFonts w:ascii="Arial" w:hAnsi="Arial" w:cs="Arial"/>
                <w:b/>
                <w:sz w:val="21"/>
                <w:szCs w:val="21"/>
              </w:rPr>
              <w:t>No.</w:t>
            </w:r>
          </w:p>
        </w:tc>
        <w:tc>
          <w:tcPr>
            <w:tcW w:w="169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6F4365" w14:textId="77777777" w:rsidR="00BC60D9" w:rsidRPr="00411CCA" w:rsidRDefault="00BC60D9" w:rsidP="00D55B1E">
            <w:pPr>
              <w:spacing w:after="0" w:line="360" w:lineRule="auto"/>
              <w:jc w:val="center"/>
              <w:rPr>
                <w:rFonts w:ascii="Arial" w:hAnsi="Arial" w:cs="Arial"/>
                <w:b/>
                <w:sz w:val="21"/>
                <w:szCs w:val="21"/>
              </w:rPr>
            </w:pPr>
            <w:r w:rsidRPr="00411CCA">
              <w:rPr>
                <w:rFonts w:ascii="Arial" w:hAnsi="Arial" w:cs="Arial"/>
                <w:b/>
                <w:sz w:val="21"/>
                <w:szCs w:val="21"/>
              </w:rPr>
              <w:t>Expediente</w:t>
            </w:r>
          </w:p>
        </w:tc>
        <w:tc>
          <w:tcPr>
            <w:tcW w:w="184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796344" w14:textId="77777777" w:rsidR="00BC60D9" w:rsidRPr="00411CCA" w:rsidRDefault="00BC60D9" w:rsidP="00D55B1E">
            <w:pPr>
              <w:spacing w:after="0" w:line="360" w:lineRule="auto"/>
              <w:jc w:val="center"/>
              <w:rPr>
                <w:rFonts w:ascii="Arial" w:hAnsi="Arial" w:cs="Arial"/>
                <w:b/>
                <w:sz w:val="21"/>
                <w:szCs w:val="21"/>
              </w:rPr>
            </w:pPr>
            <w:r w:rsidRPr="00411CCA">
              <w:rPr>
                <w:rFonts w:ascii="Arial" w:hAnsi="Arial" w:cs="Arial"/>
                <w:b/>
                <w:sz w:val="21"/>
                <w:szCs w:val="21"/>
              </w:rPr>
              <w:t>Temática</w:t>
            </w:r>
          </w:p>
        </w:tc>
        <w:tc>
          <w:tcPr>
            <w:tcW w:w="16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EE1FEEC" w14:textId="77777777" w:rsidR="00BC60D9" w:rsidRPr="00411CCA" w:rsidRDefault="00BC60D9" w:rsidP="00D55B1E">
            <w:pPr>
              <w:spacing w:after="0" w:line="360" w:lineRule="auto"/>
              <w:jc w:val="center"/>
              <w:rPr>
                <w:rFonts w:ascii="Arial" w:hAnsi="Arial" w:cs="Arial"/>
                <w:b/>
                <w:sz w:val="21"/>
                <w:szCs w:val="21"/>
              </w:rPr>
            </w:pPr>
            <w:r w:rsidRPr="00411CCA">
              <w:rPr>
                <w:rFonts w:ascii="Arial" w:hAnsi="Arial" w:cs="Arial"/>
                <w:b/>
                <w:sz w:val="21"/>
                <w:szCs w:val="21"/>
              </w:rPr>
              <w:t>Promoventes/ Denunciantes</w:t>
            </w:r>
          </w:p>
        </w:tc>
        <w:tc>
          <w:tcPr>
            <w:tcW w:w="184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EFD67B2" w14:textId="77777777" w:rsidR="00BC60D9" w:rsidRPr="00411CCA" w:rsidRDefault="00BC60D9" w:rsidP="00D55B1E">
            <w:pPr>
              <w:spacing w:after="0" w:line="360" w:lineRule="auto"/>
              <w:jc w:val="center"/>
              <w:rPr>
                <w:rFonts w:ascii="Arial" w:hAnsi="Arial" w:cs="Arial"/>
                <w:b/>
                <w:sz w:val="21"/>
                <w:szCs w:val="21"/>
              </w:rPr>
            </w:pPr>
            <w:r w:rsidRPr="00411CCA">
              <w:rPr>
                <w:rFonts w:ascii="Arial" w:hAnsi="Arial" w:cs="Arial"/>
                <w:b/>
                <w:sz w:val="21"/>
                <w:szCs w:val="21"/>
              </w:rPr>
              <w:t>Autoridad responsable/ Denunciados</w:t>
            </w:r>
          </w:p>
        </w:tc>
        <w:tc>
          <w:tcPr>
            <w:tcW w:w="156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7FE7D6" w14:textId="77777777" w:rsidR="00BC60D9" w:rsidRPr="00411CCA" w:rsidRDefault="00BC60D9" w:rsidP="00D55B1E">
            <w:pPr>
              <w:spacing w:after="0" w:line="360" w:lineRule="auto"/>
              <w:jc w:val="center"/>
              <w:rPr>
                <w:rFonts w:ascii="Arial" w:hAnsi="Arial" w:cs="Arial"/>
                <w:b/>
                <w:sz w:val="21"/>
                <w:szCs w:val="21"/>
              </w:rPr>
            </w:pPr>
            <w:r w:rsidRPr="00411CCA">
              <w:rPr>
                <w:rFonts w:ascii="Arial" w:hAnsi="Arial" w:cs="Arial"/>
                <w:b/>
                <w:sz w:val="21"/>
                <w:szCs w:val="21"/>
              </w:rPr>
              <w:t>Magistratura Ponente</w:t>
            </w:r>
          </w:p>
        </w:tc>
      </w:tr>
      <w:tr w:rsidR="00BC60D9" w:rsidRPr="00411CCA" w14:paraId="10F08A01" w14:textId="77777777" w:rsidTr="00D55B1E">
        <w:trPr>
          <w:trHeight w:val="484"/>
        </w:trPr>
        <w:tc>
          <w:tcPr>
            <w:tcW w:w="998" w:type="dxa"/>
            <w:tcBorders>
              <w:top w:val="single" w:sz="4" w:space="0" w:color="auto"/>
              <w:left w:val="single" w:sz="4" w:space="0" w:color="auto"/>
              <w:bottom w:val="single" w:sz="4" w:space="0" w:color="auto"/>
              <w:right w:val="single" w:sz="4" w:space="0" w:color="auto"/>
            </w:tcBorders>
            <w:vAlign w:val="center"/>
          </w:tcPr>
          <w:p w14:paraId="6C590C43" w14:textId="77777777" w:rsidR="00BC60D9" w:rsidRPr="00411CCA" w:rsidRDefault="00BC60D9" w:rsidP="00D55B1E">
            <w:pPr>
              <w:spacing w:after="0" w:line="360" w:lineRule="auto"/>
              <w:jc w:val="center"/>
              <w:rPr>
                <w:rFonts w:ascii="Arial" w:hAnsi="Arial" w:cs="Arial"/>
                <w:b/>
                <w:bCs/>
                <w:sz w:val="21"/>
                <w:szCs w:val="21"/>
              </w:rPr>
            </w:pPr>
            <w:r w:rsidRPr="00411CCA">
              <w:rPr>
                <w:rFonts w:ascii="Arial" w:hAnsi="Arial" w:cs="Arial"/>
                <w:b/>
                <w:bCs/>
                <w:sz w:val="21"/>
                <w:szCs w:val="21"/>
              </w:rPr>
              <w:t>1</w:t>
            </w:r>
          </w:p>
        </w:tc>
        <w:tc>
          <w:tcPr>
            <w:tcW w:w="1691" w:type="dxa"/>
            <w:vAlign w:val="center"/>
          </w:tcPr>
          <w:p w14:paraId="2F3850F7" w14:textId="1C099DC4" w:rsidR="00BC60D9" w:rsidRPr="000A6BEE" w:rsidRDefault="00BC60D9" w:rsidP="00D55B1E">
            <w:pPr>
              <w:spacing w:after="0" w:line="240" w:lineRule="atLeast"/>
              <w:jc w:val="center"/>
              <w:rPr>
                <w:rFonts w:ascii="Arial" w:hAnsi="Arial" w:cs="Arial"/>
                <w:sz w:val="21"/>
                <w:szCs w:val="21"/>
              </w:rPr>
            </w:pPr>
            <w:r w:rsidRPr="000A6BEE">
              <w:rPr>
                <w:rFonts w:ascii="Arial" w:hAnsi="Arial" w:cs="Arial"/>
                <w:sz w:val="21"/>
                <w:szCs w:val="21"/>
              </w:rPr>
              <w:t>TEEA-</w:t>
            </w:r>
            <w:r w:rsidR="00B00ACA" w:rsidRPr="000A6BEE">
              <w:rPr>
                <w:rFonts w:ascii="Arial" w:hAnsi="Arial" w:cs="Arial"/>
                <w:sz w:val="21"/>
                <w:szCs w:val="21"/>
              </w:rPr>
              <w:t>JDC</w:t>
            </w:r>
            <w:r w:rsidR="00EC1754" w:rsidRPr="000A6BEE">
              <w:rPr>
                <w:rFonts w:ascii="Arial" w:hAnsi="Arial" w:cs="Arial"/>
                <w:sz w:val="21"/>
                <w:szCs w:val="21"/>
              </w:rPr>
              <w:t>-</w:t>
            </w:r>
            <w:r w:rsidR="008C7092" w:rsidRPr="000A6BEE">
              <w:rPr>
                <w:rFonts w:ascii="Arial" w:hAnsi="Arial" w:cs="Arial"/>
                <w:sz w:val="21"/>
                <w:szCs w:val="21"/>
              </w:rPr>
              <w:t>002</w:t>
            </w:r>
            <w:r w:rsidR="00EC1754" w:rsidRPr="000A6BEE">
              <w:rPr>
                <w:rFonts w:ascii="Arial" w:hAnsi="Arial" w:cs="Arial"/>
                <w:sz w:val="21"/>
                <w:szCs w:val="21"/>
              </w:rPr>
              <w:t>/202</w:t>
            </w:r>
            <w:r w:rsidR="008C7092" w:rsidRPr="000A6BEE">
              <w:rPr>
                <w:rFonts w:ascii="Arial" w:hAnsi="Arial" w:cs="Arial"/>
                <w:sz w:val="21"/>
                <w:szCs w:val="21"/>
              </w:rPr>
              <w:t>5</w:t>
            </w:r>
          </w:p>
        </w:tc>
        <w:tc>
          <w:tcPr>
            <w:tcW w:w="1848" w:type="dxa"/>
            <w:vAlign w:val="center"/>
          </w:tcPr>
          <w:p w14:paraId="1E86D97E" w14:textId="7C0BA047" w:rsidR="00BC60D9" w:rsidRPr="000A6BEE" w:rsidRDefault="00745E8A" w:rsidP="00745E8A">
            <w:pPr>
              <w:spacing w:after="0" w:line="240" w:lineRule="auto"/>
              <w:jc w:val="both"/>
              <w:rPr>
                <w:rFonts w:ascii="Arial" w:hAnsi="Arial" w:cs="Arial"/>
                <w:color w:val="000000"/>
                <w:sz w:val="21"/>
                <w:szCs w:val="21"/>
              </w:rPr>
            </w:pPr>
            <w:r>
              <w:rPr>
                <w:rFonts w:ascii="Arial" w:hAnsi="Arial" w:cs="Arial"/>
                <w:color w:val="000000"/>
                <w:sz w:val="18"/>
                <w:szCs w:val="18"/>
              </w:rPr>
              <w:t>Requisitos de Elegibilidad</w:t>
            </w:r>
          </w:p>
        </w:tc>
        <w:tc>
          <w:tcPr>
            <w:tcW w:w="1695" w:type="dxa"/>
            <w:vAlign w:val="center"/>
          </w:tcPr>
          <w:p w14:paraId="36526E5F" w14:textId="3E2DA4C3" w:rsidR="0002335F" w:rsidRPr="000A6BEE" w:rsidRDefault="000A6BEE" w:rsidP="000A6BEE">
            <w:pPr>
              <w:spacing w:after="0" w:line="240" w:lineRule="atLeast"/>
              <w:jc w:val="center"/>
              <w:rPr>
                <w:rFonts w:ascii="Arial" w:hAnsi="Arial" w:cs="Arial"/>
                <w:sz w:val="21"/>
                <w:szCs w:val="21"/>
              </w:rPr>
            </w:pPr>
            <w:r>
              <w:rPr>
                <w:rFonts w:ascii="Arial" w:hAnsi="Arial" w:cs="Arial"/>
                <w:color w:val="000000"/>
                <w:sz w:val="21"/>
                <w:szCs w:val="21"/>
              </w:rPr>
              <w:t xml:space="preserve">C. </w:t>
            </w:r>
            <w:r w:rsidRPr="000A6BEE">
              <w:rPr>
                <w:rFonts w:ascii="Arial" w:hAnsi="Arial" w:cs="Arial"/>
                <w:color w:val="000000"/>
                <w:sz w:val="21"/>
                <w:szCs w:val="21"/>
              </w:rPr>
              <w:t>Jorge Humberto Mora Muñoz</w:t>
            </w:r>
          </w:p>
        </w:tc>
        <w:tc>
          <w:tcPr>
            <w:tcW w:w="1848" w:type="dxa"/>
            <w:tcBorders>
              <w:right w:val="single" w:sz="4" w:space="0" w:color="auto"/>
            </w:tcBorders>
            <w:vAlign w:val="center"/>
          </w:tcPr>
          <w:p w14:paraId="136103D0" w14:textId="781699DD" w:rsidR="009C0E39" w:rsidRPr="000A6BEE" w:rsidRDefault="000A6BEE" w:rsidP="00D55B1E">
            <w:pPr>
              <w:spacing w:after="0" w:line="240" w:lineRule="atLeast"/>
              <w:jc w:val="center"/>
              <w:rPr>
                <w:rFonts w:ascii="Arial" w:hAnsi="Arial" w:cs="Arial"/>
                <w:sz w:val="21"/>
                <w:szCs w:val="21"/>
              </w:rPr>
            </w:pPr>
            <w:r w:rsidRPr="000A6BEE">
              <w:rPr>
                <w:rFonts w:ascii="Arial" w:hAnsi="Arial" w:cs="Arial"/>
                <w:sz w:val="21"/>
                <w:szCs w:val="21"/>
              </w:rPr>
              <w:t>Comité de Evaluación del Poder Judicial del Estado de Aguascalientes</w:t>
            </w:r>
          </w:p>
        </w:tc>
        <w:tc>
          <w:tcPr>
            <w:tcW w:w="1565" w:type="dxa"/>
            <w:tcBorders>
              <w:top w:val="single" w:sz="4" w:space="0" w:color="auto"/>
              <w:left w:val="single" w:sz="4" w:space="0" w:color="auto"/>
              <w:bottom w:val="single" w:sz="4" w:space="0" w:color="auto"/>
              <w:right w:val="single" w:sz="4" w:space="0" w:color="auto"/>
            </w:tcBorders>
            <w:vAlign w:val="center"/>
          </w:tcPr>
          <w:p w14:paraId="0BDBF91D" w14:textId="71752643" w:rsidR="00BC60D9" w:rsidRPr="000A6BEE" w:rsidRDefault="000A6BEE" w:rsidP="00D55B1E">
            <w:pPr>
              <w:spacing w:after="0" w:line="240" w:lineRule="atLeast"/>
              <w:jc w:val="center"/>
              <w:rPr>
                <w:rFonts w:ascii="Arial" w:hAnsi="Arial" w:cs="Arial"/>
                <w:sz w:val="21"/>
                <w:szCs w:val="21"/>
              </w:rPr>
            </w:pPr>
            <w:r w:rsidRPr="000A6BEE">
              <w:rPr>
                <w:rFonts w:ascii="Arial" w:hAnsi="Arial" w:cs="Arial"/>
                <w:sz w:val="21"/>
                <w:szCs w:val="21"/>
              </w:rPr>
              <w:t>Néstor Enrique Rivera López</w:t>
            </w:r>
          </w:p>
        </w:tc>
      </w:tr>
      <w:tr w:rsidR="000A6BEE" w:rsidRPr="00411CCA" w14:paraId="60E1DB6F" w14:textId="77777777" w:rsidTr="00D55B1E">
        <w:trPr>
          <w:trHeight w:val="484"/>
        </w:trPr>
        <w:tc>
          <w:tcPr>
            <w:tcW w:w="998" w:type="dxa"/>
            <w:tcBorders>
              <w:top w:val="single" w:sz="4" w:space="0" w:color="auto"/>
              <w:left w:val="single" w:sz="4" w:space="0" w:color="auto"/>
              <w:bottom w:val="single" w:sz="4" w:space="0" w:color="auto"/>
              <w:right w:val="single" w:sz="4" w:space="0" w:color="auto"/>
            </w:tcBorders>
            <w:vAlign w:val="center"/>
          </w:tcPr>
          <w:p w14:paraId="6A80ECBA" w14:textId="53AC1042" w:rsidR="000A6BEE" w:rsidRPr="00411CCA" w:rsidRDefault="000A6BEE" w:rsidP="00D55B1E">
            <w:pPr>
              <w:spacing w:after="0" w:line="360" w:lineRule="auto"/>
              <w:jc w:val="center"/>
              <w:rPr>
                <w:rFonts w:ascii="Arial" w:hAnsi="Arial" w:cs="Arial"/>
                <w:b/>
                <w:bCs/>
                <w:sz w:val="21"/>
                <w:szCs w:val="21"/>
              </w:rPr>
            </w:pPr>
            <w:r>
              <w:rPr>
                <w:rFonts w:ascii="Arial" w:hAnsi="Arial" w:cs="Arial"/>
                <w:b/>
                <w:bCs/>
                <w:sz w:val="21"/>
                <w:szCs w:val="21"/>
              </w:rPr>
              <w:t>2</w:t>
            </w:r>
          </w:p>
        </w:tc>
        <w:tc>
          <w:tcPr>
            <w:tcW w:w="1691" w:type="dxa"/>
            <w:vAlign w:val="center"/>
          </w:tcPr>
          <w:p w14:paraId="6F06896A" w14:textId="46D395FB" w:rsidR="000A6BEE" w:rsidRPr="000A6BEE" w:rsidRDefault="000A6BEE" w:rsidP="00D55B1E">
            <w:pPr>
              <w:spacing w:after="0" w:line="240" w:lineRule="atLeast"/>
              <w:jc w:val="center"/>
              <w:rPr>
                <w:rFonts w:ascii="Arial" w:hAnsi="Arial" w:cs="Arial"/>
                <w:sz w:val="21"/>
                <w:szCs w:val="21"/>
              </w:rPr>
            </w:pPr>
            <w:r w:rsidRPr="000A6BEE">
              <w:rPr>
                <w:rFonts w:ascii="Arial" w:hAnsi="Arial" w:cs="Arial"/>
                <w:sz w:val="21"/>
                <w:szCs w:val="21"/>
              </w:rPr>
              <w:t>TEEA-JDC-003/2025</w:t>
            </w:r>
          </w:p>
        </w:tc>
        <w:tc>
          <w:tcPr>
            <w:tcW w:w="1848" w:type="dxa"/>
            <w:vAlign w:val="center"/>
          </w:tcPr>
          <w:p w14:paraId="63DABC07" w14:textId="32B98073" w:rsidR="00FB4E08" w:rsidRDefault="00514039" w:rsidP="000A6BEE">
            <w:pPr>
              <w:spacing w:after="0" w:line="240" w:lineRule="auto"/>
              <w:jc w:val="both"/>
              <w:rPr>
                <w:rFonts w:ascii="Arial" w:hAnsi="Arial" w:cs="Arial"/>
                <w:color w:val="000000"/>
                <w:sz w:val="18"/>
                <w:szCs w:val="18"/>
              </w:rPr>
            </w:pPr>
            <w:r w:rsidRPr="00FB4E08">
              <w:rPr>
                <w:rFonts w:ascii="Arial" w:hAnsi="Arial" w:cs="Arial"/>
                <w:color w:val="000000"/>
                <w:sz w:val="18"/>
                <w:szCs w:val="18"/>
              </w:rPr>
              <w:t>La resolución emitida por el Comité de Evaluación del Poder Judicial del Estado de Aguascalientes, en la cual se aprobó el listado de las personas que cumplieron con los requisitos de elegibilidad previstos en la convocatoria, a fin de acceder a las candidaturas que participaron en la elección extraordinaria 2024-2025; con el propósito de ocupar los cargos de las Magistraturas del Supremo Tribunal de Justicia y del Tribunal de Disciplina Judicial</w:t>
            </w:r>
            <w:r>
              <w:rPr>
                <w:rFonts w:ascii="Arial" w:hAnsi="Arial" w:cs="Arial"/>
                <w:color w:val="000000"/>
                <w:sz w:val="18"/>
                <w:szCs w:val="18"/>
              </w:rPr>
              <w:t>.</w:t>
            </w:r>
          </w:p>
          <w:p w14:paraId="68D28C49" w14:textId="75D90F03" w:rsidR="00FB4E08" w:rsidRPr="000A6BEE" w:rsidRDefault="00FB4E08" w:rsidP="000A6BEE">
            <w:pPr>
              <w:spacing w:after="0" w:line="240" w:lineRule="auto"/>
              <w:jc w:val="both"/>
              <w:rPr>
                <w:rFonts w:ascii="Arial" w:hAnsi="Arial" w:cs="Arial"/>
                <w:color w:val="000000"/>
                <w:sz w:val="18"/>
                <w:szCs w:val="18"/>
              </w:rPr>
            </w:pPr>
          </w:p>
        </w:tc>
        <w:tc>
          <w:tcPr>
            <w:tcW w:w="1695" w:type="dxa"/>
            <w:vAlign w:val="center"/>
          </w:tcPr>
          <w:p w14:paraId="705CB232" w14:textId="03EF5F3A" w:rsidR="000A6BEE" w:rsidRPr="000A6BEE" w:rsidRDefault="000A6BEE" w:rsidP="00CC1476">
            <w:pPr>
              <w:spacing w:after="0" w:line="240" w:lineRule="atLeast"/>
              <w:jc w:val="center"/>
              <w:rPr>
                <w:rFonts w:ascii="Arial" w:hAnsi="Arial" w:cs="Arial"/>
                <w:color w:val="000000"/>
                <w:sz w:val="21"/>
                <w:szCs w:val="21"/>
              </w:rPr>
            </w:pPr>
            <w:r w:rsidRPr="000A6BEE">
              <w:rPr>
                <w:rFonts w:ascii="Arial" w:hAnsi="Arial" w:cs="Arial"/>
                <w:color w:val="000000"/>
                <w:sz w:val="21"/>
                <w:szCs w:val="21"/>
              </w:rPr>
              <w:t>C. Jair Sinaí Flores Esparza</w:t>
            </w:r>
          </w:p>
        </w:tc>
        <w:tc>
          <w:tcPr>
            <w:tcW w:w="1848" w:type="dxa"/>
            <w:tcBorders>
              <w:right w:val="single" w:sz="4" w:space="0" w:color="auto"/>
            </w:tcBorders>
            <w:vAlign w:val="center"/>
          </w:tcPr>
          <w:p w14:paraId="2F2D14A9" w14:textId="1619A900" w:rsidR="000A6BEE" w:rsidRPr="000A6BEE" w:rsidRDefault="000A6BEE" w:rsidP="00D55B1E">
            <w:pPr>
              <w:spacing w:after="0" w:line="240" w:lineRule="atLeast"/>
              <w:jc w:val="center"/>
              <w:rPr>
                <w:rFonts w:ascii="Arial" w:hAnsi="Arial" w:cs="Arial"/>
                <w:sz w:val="21"/>
                <w:szCs w:val="21"/>
              </w:rPr>
            </w:pPr>
            <w:r w:rsidRPr="000A6BEE">
              <w:rPr>
                <w:rFonts w:ascii="Arial" w:hAnsi="Arial" w:cs="Arial"/>
                <w:sz w:val="21"/>
                <w:szCs w:val="21"/>
              </w:rPr>
              <w:t>Comité de Evaluación del Poder Judicial del Estado de Aguascalientes</w:t>
            </w:r>
          </w:p>
        </w:tc>
        <w:tc>
          <w:tcPr>
            <w:tcW w:w="1565" w:type="dxa"/>
            <w:tcBorders>
              <w:top w:val="single" w:sz="4" w:space="0" w:color="auto"/>
              <w:left w:val="single" w:sz="4" w:space="0" w:color="auto"/>
              <w:bottom w:val="single" w:sz="4" w:space="0" w:color="auto"/>
              <w:right w:val="single" w:sz="4" w:space="0" w:color="auto"/>
            </w:tcBorders>
            <w:vAlign w:val="center"/>
          </w:tcPr>
          <w:p w14:paraId="7D8DDF2B" w14:textId="3649BA32" w:rsidR="000A6BEE" w:rsidRDefault="00FB4E08" w:rsidP="00D55B1E">
            <w:pPr>
              <w:spacing w:after="0" w:line="240" w:lineRule="atLeast"/>
              <w:jc w:val="center"/>
              <w:rPr>
                <w:rFonts w:ascii="Arial" w:hAnsi="Arial" w:cs="Arial"/>
                <w:sz w:val="21"/>
                <w:szCs w:val="21"/>
              </w:rPr>
            </w:pPr>
            <w:r>
              <w:rPr>
                <w:rFonts w:ascii="Arial" w:hAnsi="Arial" w:cs="Arial"/>
                <w:sz w:val="21"/>
                <w:szCs w:val="21"/>
              </w:rPr>
              <w:t>Laura Hortensia Llamas Hernández</w:t>
            </w:r>
          </w:p>
          <w:p w14:paraId="06DB9679" w14:textId="77777777" w:rsidR="00FB4E08" w:rsidRDefault="00FB4E08" w:rsidP="00D55B1E">
            <w:pPr>
              <w:spacing w:after="0" w:line="240" w:lineRule="atLeast"/>
              <w:jc w:val="center"/>
              <w:rPr>
                <w:rFonts w:ascii="Arial" w:hAnsi="Arial" w:cs="Arial"/>
                <w:sz w:val="21"/>
                <w:szCs w:val="21"/>
              </w:rPr>
            </w:pPr>
          </w:p>
          <w:p w14:paraId="6F7E71D5" w14:textId="77777777" w:rsidR="00FB4E08" w:rsidRPr="000A6BEE" w:rsidRDefault="00FB4E08" w:rsidP="00D55B1E">
            <w:pPr>
              <w:spacing w:after="0" w:line="240" w:lineRule="atLeast"/>
              <w:jc w:val="center"/>
              <w:rPr>
                <w:rFonts w:ascii="Arial" w:hAnsi="Arial" w:cs="Arial"/>
                <w:sz w:val="21"/>
                <w:szCs w:val="21"/>
              </w:rPr>
            </w:pPr>
          </w:p>
        </w:tc>
      </w:tr>
      <w:tr w:rsidR="002955CF" w:rsidRPr="00411CCA" w14:paraId="0CF56E57" w14:textId="77777777" w:rsidTr="00D55B1E">
        <w:trPr>
          <w:trHeight w:val="484"/>
        </w:trPr>
        <w:tc>
          <w:tcPr>
            <w:tcW w:w="998" w:type="dxa"/>
            <w:tcBorders>
              <w:top w:val="single" w:sz="4" w:space="0" w:color="auto"/>
              <w:left w:val="single" w:sz="4" w:space="0" w:color="auto"/>
              <w:bottom w:val="single" w:sz="4" w:space="0" w:color="auto"/>
              <w:right w:val="single" w:sz="4" w:space="0" w:color="auto"/>
            </w:tcBorders>
            <w:vAlign w:val="center"/>
          </w:tcPr>
          <w:p w14:paraId="24C703C2" w14:textId="0A788E8C" w:rsidR="002955CF" w:rsidRDefault="002955CF" w:rsidP="00D55B1E">
            <w:pPr>
              <w:spacing w:after="0" w:line="360" w:lineRule="auto"/>
              <w:jc w:val="center"/>
              <w:rPr>
                <w:rFonts w:ascii="Arial" w:hAnsi="Arial" w:cs="Arial"/>
                <w:b/>
                <w:bCs/>
                <w:sz w:val="21"/>
                <w:szCs w:val="21"/>
              </w:rPr>
            </w:pPr>
            <w:r>
              <w:rPr>
                <w:rFonts w:ascii="Arial" w:hAnsi="Arial" w:cs="Arial"/>
                <w:b/>
                <w:bCs/>
                <w:sz w:val="21"/>
                <w:szCs w:val="21"/>
              </w:rPr>
              <w:t>3</w:t>
            </w:r>
          </w:p>
        </w:tc>
        <w:tc>
          <w:tcPr>
            <w:tcW w:w="1691" w:type="dxa"/>
            <w:vAlign w:val="center"/>
          </w:tcPr>
          <w:p w14:paraId="01E7F8FB" w14:textId="2128EE9B" w:rsidR="002955CF" w:rsidRPr="000A6BEE" w:rsidRDefault="002955CF" w:rsidP="00D55B1E">
            <w:pPr>
              <w:spacing w:after="0" w:line="240" w:lineRule="atLeast"/>
              <w:jc w:val="center"/>
              <w:rPr>
                <w:rFonts w:ascii="Arial" w:hAnsi="Arial" w:cs="Arial"/>
                <w:sz w:val="21"/>
                <w:szCs w:val="21"/>
              </w:rPr>
            </w:pPr>
            <w:r>
              <w:rPr>
                <w:rFonts w:ascii="Arial" w:hAnsi="Arial" w:cs="Arial"/>
                <w:sz w:val="21"/>
                <w:szCs w:val="21"/>
              </w:rPr>
              <w:t>TEEA-JDC-005/2025</w:t>
            </w:r>
          </w:p>
        </w:tc>
        <w:tc>
          <w:tcPr>
            <w:tcW w:w="1848" w:type="dxa"/>
            <w:vAlign w:val="center"/>
          </w:tcPr>
          <w:p w14:paraId="3B475DF2" w14:textId="73F6AEAC" w:rsidR="002955CF" w:rsidRPr="00FB4E08" w:rsidRDefault="002955CF" w:rsidP="000A6BEE">
            <w:pPr>
              <w:spacing w:after="0" w:line="240" w:lineRule="auto"/>
              <w:jc w:val="both"/>
              <w:rPr>
                <w:rFonts w:ascii="Arial" w:hAnsi="Arial" w:cs="Arial"/>
                <w:color w:val="000000"/>
                <w:sz w:val="18"/>
                <w:szCs w:val="18"/>
              </w:rPr>
            </w:pPr>
            <w:r>
              <w:rPr>
                <w:rFonts w:ascii="Arial" w:hAnsi="Arial" w:cs="Arial"/>
                <w:color w:val="000000"/>
                <w:sz w:val="18"/>
                <w:szCs w:val="18"/>
              </w:rPr>
              <w:t>Requisitos de Elegibilidad</w:t>
            </w:r>
          </w:p>
        </w:tc>
        <w:tc>
          <w:tcPr>
            <w:tcW w:w="1695" w:type="dxa"/>
            <w:vAlign w:val="center"/>
          </w:tcPr>
          <w:p w14:paraId="3BEBDF90" w14:textId="2E755996" w:rsidR="002955CF" w:rsidRPr="000A6BEE" w:rsidRDefault="002955CF" w:rsidP="00CC1476">
            <w:pPr>
              <w:spacing w:after="0" w:line="240" w:lineRule="atLeast"/>
              <w:jc w:val="center"/>
              <w:rPr>
                <w:rFonts w:ascii="Arial" w:hAnsi="Arial" w:cs="Arial"/>
                <w:color w:val="000000"/>
                <w:sz w:val="21"/>
                <w:szCs w:val="21"/>
              </w:rPr>
            </w:pPr>
            <w:r>
              <w:rPr>
                <w:rFonts w:ascii="Arial" w:hAnsi="Arial" w:cs="Arial"/>
                <w:color w:val="000000"/>
                <w:sz w:val="21"/>
                <w:szCs w:val="21"/>
              </w:rPr>
              <w:t>C. Rogelio Eduardo Fernández Ramírez.</w:t>
            </w:r>
          </w:p>
        </w:tc>
        <w:tc>
          <w:tcPr>
            <w:tcW w:w="1848" w:type="dxa"/>
            <w:tcBorders>
              <w:right w:val="single" w:sz="4" w:space="0" w:color="auto"/>
            </w:tcBorders>
            <w:vAlign w:val="center"/>
          </w:tcPr>
          <w:p w14:paraId="62EC6F34" w14:textId="6C845693" w:rsidR="002955CF" w:rsidRPr="000A6BEE" w:rsidRDefault="002955CF" w:rsidP="00D55B1E">
            <w:pPr>
              <w:spacing w:after="0" w:line="240" w:lineRule="atLeast"/>
              <w:jc w:val="center"/>
              <w:rPr>
                <w:rFonts w:ascii="Arial" w:hAnsi="Arial" w:cs="Arial"/>
                <w:sz w:val="21"/>
                <w:szCs w:val="21"/>
              </w:rPr>
            </w:pPr>
            <w:r w:rsidRPr="000A6BEE">
              <w:rPr>
                <w:rFonts w:ascii="Arial" w:hAnsi="Arial" w:cs="Arial"/>
                <w:sz w:val="21"/>
                <w:szCs w:val="21"/>
              </w:rPr>
              <w:t>Comité de Evaluación del Poder Judicial del Estado de Aguascalientes</w:t>
            </w:r>
          </w:p>
        </w:tc>
        <w:tc>
          <w:tcPr>
            <w:tcW w:w="1565" w:type="dxa"/>
            <w:tcBorders>
              <w:top w:val="single" w:sz="4" w:space="0" w:color="auto"/>
              <w:left w:val="single" w:sz="4" w:space="0" w:color="auto"/>
              <w:bottom w:val="single" w:sz="4" w:space="0" w:color="auto"/>
              <w:right w:val="single" w:sz="4" w:space="0" w:color="auto"/>
            </w:tcBorders>
            <w:vAlign w:val="center"/>
          </w:tcPr>
          <w:p w14:paraId="2372FA34" w14:textId="43CF761C" w:rsidR="002955CF" w:rsidRDefault="002955CF" w:rsidP="00D55B1E">
            <w:pPr>
              <w:spacing w:after="0" w:line="240" w:lineRule="atLeast"/>
              <w:jc w:val="center"/>
              <w:rPr>
                <w:rFonts w:ascii="Arial" w:hAnsi="Arial" w:cs="Arial"/>
                <w:sz w:val="21"/>
                <w:szCs w:val="21"/>
              </w:rPr>
            </w:pPr>
            <w:r>
              <w:rPr>
                <w:rFonts w:ascii="Arial" w:hAnsi="Arial" w:cs="Arial"/>
                <w:sz w:val="21"/>
                <w:szCs w:val="21"/>
              </w:rPr>
              <w:t>Néstor Enrique Rivera López</w:t>
            </w:r>
          </w:p>
        </w:tc>
      </w:tr>
      <w:bookmarkEnd w:id="0"/>
    </w:tbl>
    <w:p w14:paraId="4DF86580" w14:textId="77777777" w:rsidR="007114C8" w:rsidRPr="00FD4BA0" w:rsidRDefault="007114C8" w:rsidP="00BC60D9">
      <w:pPr>
        <w:spacing w:line="240" w:lineRule="auto"/>
        <w:rPr>
          <w:rFonts w:ascii="Arial" w:hAnsi="Arial" w:cs="Arial"/>
          <w:b/>
        </w:rPr>
      </w:pPr>
    </w:p>
    <w:p w14:paraId="3F4F2575" w14:textId="5A5CCB8D" w:rsidR="00700DAE" w:rsidRPr="00FD4BA0" w:rsidRDefault="00BC60D9" w:rsidP="00700DAE">
      <w:pPr>
        <w:spacing w:line="240" w:lineRule="auto"/>
        <w:jc w:val="center"/>
        <w:rPr>
          <w:rFonts w:ascii="Arial" w:hAnsi="Arial" w:cs="Arial"/>
          <w:b/>
          <w:lang w:val="de-DE"/>
        </w:rPr>
      </w:pPr>
      <w:r w:rsidRPr="00FD4BA0">
        <w:rPr>
          <w:rFonts w:ascii="Arial" w:hAnsi="Arial" w:cs="Arial"/>
          <w:b/>
          <w:lang w:val="de-DE"/>
        </w:rPr>
        <w:t>A t e n t a m e n t e</w:t>
      </w:r>
    </w:p>
    <w:p w14:paraId="435C7EFE" w14:textId="2FB95244" w:rsidR="006A142B" w:rsidRPr="00FD4BA0" w:rsidRDefault="006A142B" w:rsidP="003C2B8F">
      <w:pPr>
        <w:spacing w:line="240" w:lineRule="auto"/>
        <w:jc w:val="center"/>
        <w:rPr>
          <w:rFonts w:ascii="Arial" w:hAnsi="Arial" w:cs="Arial"/>
          <w:b/>
          <w:noProof/>
          <w:lang w:val="de-DE"/>
        </w:rPr>
      </w:pPr>
    </w:p>
    <w:p w14:paraId="6D2929B2" w14:textId="2840B40C" w:rsidR="00BC60D9" w:rsidRPr="00FD4BA0" w:rsidRDefault="00F062D6" w:rsidP="00BC60D9">
      <w:pPr>
        <w:spacing w:after="0" w:line="240" w:lineRule="auto"/>
        <w:jc w:val="center"/>
        <w:rPr>
          <w:rFonts w:ascii="Arial" w:hAnsi="Arial" w:cs="Arial"/>
          <w:b/>
        </w:rPr>
      </w:pPr>
      <w:r w:rsidRPr="00FD4BA0">
        <w:rPr>
          <w:rFonts w:ascii="Arial" w:hAnsi="Arial" w:cs="Arial"/>
          <w:b/>
        </w:rPr>
        <w:t>Laura Hortensia Llamas Hernández</w:t>
      </w:r>
    </w:p>
    <w:p w14:paraId="5F318820" w14:textId="1034BF3F" w:rsidR="00BC60D9" w:rsidRPr="00FD4BA0" w:rsidRDefault="00BC60D9" w:rsidP="00BC60D9">
      <w:pPr>
        <w:spacing w:after="0" w:line="240" w:lineRule="auto"/>
        <w:jc w:val="center"/>
        <w:rPr>
          <w:rFonts w:ascii="Arial" w:hAnsi="Arial" w:cs="Arial"/>
          <w:b/>
        </w:rPr>
      </w:pPr>
      <w:r w:rsidRPr="00FD4BA0">
        <w:rPr>
          <w:rFonts w:ascii="Arial" w:hAnsi="Arial" w:cs="Arial"/>
          <w:b/>
        </w:rPr>
        <w:t>Magistrad</w:t>
      </w:r>
      <w:r w:rsidR="00F062D6" w:rsidRPr="00FD4BA0">
        <w:rPr>
          <w:rFonts w:ascii="Arial" w:hAnsi="Arial" w:cs="Arial"/>
          <w:b/>
        </w:rPr>
        <w:t>a</w:t>
      </w:r>
      <w:r w:rsidRPr="00FD4BA0">
        <w:rPr>
          <w:rFonts w:ascii="Arial" w:hAnsi="Arial" w:cs="Arial"/>
          <w:b/>
        </w:rPr>
        <w:t xml:space="preserve"> </w:t>
      </w:r>
      <w:proofErr w:type="gramStart"/>
      <w:r w:rsidRPr="00FD4BA0">
        <w:rPr>
          <w:rFonts w:ascii="Arial" w:hAnsi="Arial" w:cs="Arial"/>
          <w:b/>
        </w:rPr>
        <w:t>President</w:t>
      </w:r>
      <w:r w:rsidR="00F062D6" w:rsidRPr="00FD4BA0">
        <w:rPr>
          <w:rFonts w:ascii="Arial" w:hAnsi="Arial" w:cs="Arial"/>
          <w:b/>
        </w:rPr>
        <w:t>a</w:t>
      </w:r>
      <w:proofErr w:type="gramEnd"/>
      <w:r w:rsidRPr="00FD4BA0">
        <w:rPr>
          <w:rFonts w:ascii="Arial" w:hAnsi="Arial" w:cs="Arial"/>
          <w:b/>
        </w:rPr>
        <w:t xml:space="preserve"> del Tribunal Electoral del </w:t>
      </w:r>
    </w:p>
    <w:p w14:paraId="3B0769CA" w14:textId="199C0E33" w:rsidR="00E7356E" w:rsidRPr="00FD4BA0" w:rsidRDefault="00BC60D9" w:rsidP="007C65B2">
      <w:pPr>
        <w:spacing w:after="0" w:line="240" w:lineRule="auto"/>
        <w:jc w:val="center"/>
        <w:rPr>
          <w:rFonts w:ascii="Arial" w:hAnsi="Arial" w:cs="Arial"/>
        </w:rPr>
      </w:pPr>
      <w:r w:rsidRPr="00FD4BA0">
        <w:rPr>
          <w:rFonts w:ascii="Arial" w:hAnsi="Arial" w:cs="Arial"/>
          <w:b/>
        </w:rPr>
        <w:t>Estado de Aguascaliente</w:t>
      </w:r>
      <w:r w:rsidR="002955CF">
        <w:rPr>
          <w:rFonts w:ascii="Arial" w:hAnsi="Arial" w:cs="Arial"/>
          <w:b/>
        </w:rPr>
        <w:t>s</w:t>
      </w:r>
    </w:p>
    <w:sectPr w:rsidR="00E7356E" w:rsidRPr="00FD4BA0" w:rsidSect="006D08C2">
      <w:headerReference w:type="default" r:id="rId7"/>
      <w:pgSz w:w="12240" w:h="20160" w:code="5"/>
      <w:pgMar w:top="2722" w:right="1701" w:bottom="124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96F1A" w14:textId="77777777" w:rsidR="00FB7375" w:rsidRDefault="00FB7375">
      <w:pPr>
        <w:spacing w:after="0" w:line="240" w:lineRule="auto"/>
      </w:pPr>
      <w:r>
        <w:separator/>
      </w:r>
    </w:p>
  </w:endnote>
  <w:endnote w:type="continuationSeparator" w:id="0">
    <w:p w14:paraId="73125CBE" w14:textId="77777777" w:rsidR="00FB7375" w:rsidRDefault="00FB7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DA941" w14:textId="77777777" w:rsidR="00FB7375" w:rsidRDefault="00FB7375">
      <w:pPr>
        <w:spacing w:after="0" w:line="240" w:lineRule="auto"/>
      </w:pPr>
      <w:r>
        <w:separator/>
      </w:r>
    </w:p>
  </w:footnote>
  <w:footnote w:type="continuationSeparator" w:id="0">
    <w:p w14:paraId="4C9050E2" w14:textId="77777777" w:rsidR="00FB7375" w:rsidRDefault="00FB7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BA92C" w14:textId="77777777" w:rsidR="00BC60D9" w:rsidRPr="0033174E" w:rsidRDefault="00BC60D9"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0A4314C7" wp14:editId="1C4F0B16">
          <wp:simplePos x="0" y="0"/>
          <wp:positionH relativeFrom="margin">
            <wp:posOffset>-306197</wp:posOffset>
          </wp:positionH>
          <wp:positionV relativeFrom="paragraph">
            <wp:posOffset>164400</wp:posOffset>
          </wp:positionV>
          <wp:extent cx="1017767" cy="1211602"/>
          <wp:effectExtent l="0" t="0" r="0" b="7620"/>
          <wp:wrapNone/>
          <wp:docPr id="1817291002" name="Imagen 181729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Pr="00CD5AC6">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4CFF7740" wp14:editId="7F8EB647">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57541443" w14:textId="77777777" w:rsidR="00BC60D9" w:rsidRDefault="00BC60D9">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1F779F" w:rsidRPr="001F779F">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F7740"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57541443" w14:textId="77777777" w:rsidR="00BC60D9" w:rsidRDefault="00BC60D9">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1F779F" w:rsidRPr="001F779F">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2AF5E510" w14:textId="77777777" w:rsidR="00BC60D9" w:rsidRPr="00A46BD3" w:rsidRDefault="00BC60D9"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4F2396C4" w14:textId="77777777" w:rsidTr="00873FCD">
      <w:trPr>
        <w:trHeight w:val="264"/>
      </w:trPr>
      <w:tc>
        <w:tcPr>
          <w:tcW w:w="0" w:type="auto"/>
          <w:shd w:val="clear" w:color="auto" w:fill="FFFFFF"/>
          <w:vAlign w:val="center"/>
          <w:hideMark/>
        </w:tcPr>
        <w:p w14:paraId="366155C1" w14:textId="77777777" w:rsidR="00BC60D9" w:rsidRPr="00355DD7" w:rsidRDefault="00BC60D9"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13B76E12" w14:textId="77777777" w:rsidTr="00873FCD">
      <w:trPr>
        <w:trHeight w:val="280"/>
      </w:trPr>
      <w:tc>
        <w:tcPr>
          <w:tcW w:w="0" w:type="auto"/>
          <w:shd w:val="clear" w:color="auto" w:fill="FFFFFF"/>
          <w:vAlign w:val="center"/>
          <w:hideMark/>
        </w:tcPr>
        <w:p w14:paraId="235BCC40" w14:textId="77777777" w:rsidR="00BC60D9" w:rsidRPr="00355DD7" w:rsidRDefault="00BC60D9"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2788412E" w14:textId="77777777" w:rsidTr="00873FCD">
      <w:trPr>
        <w:trHeight w:val="264"/>
      </w:trPr>
      <w:tc>
        <w:tcPr>
          <w:tcW w:w="0" w:type="auto"/>
          <w:shd w:val="clear" w:color="auto" w:fill="FFFFFF"/>
          <w:vAlign w:val="center"/>
          <w:hideMark/>
        </w:tcPr>
        <w:p w14:paraId="7F067291" w14:textId="77777777" w:rsidR="00BC60D9" w:rsidRDefault="00BC60D9"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p w14:paraId="35661033" w14:textId="77777777" w:rsidR="00BC60D9" w:rsidRPr="00355DD7" w:rsidRDefault="00BC60D9"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Convocatoria a Sesión Pública.</w:t>
          </w:r>
        </w:p>
      </w:tc>
    </w:tr>
    <w:tr w:rsidR="00873FCD" w:rsidRPr="00355DD7" w14:paraId="7F6EADEB" w14:textId="77777777" w:rsidTr="00873FCD">
      <w:trPr>
        <w:trHeight w:val="295"/>
      </w:trPr>
      <w:tc>
        <w:tcPr>
          <w:tcW w:w="0" w:type="auto"/>
          <w:shd w:val="clear" w:color="auto" w:fill="FFFFFF"/>
          <w:vAlign w:val="center"/>
          <w:hideMark/>
        </w:tcPr>
        <w:p w14:paraId="31395495" w14:textId="77777777" w:rsidR="00BC60D9" w:rsidRPr="00355DD7" w:rsidRDefault="00BC60D9"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xml:space="preserve">  </w:t>
          </w:r>
        </w:p>
      </w:tc>
    </w:tr>
  </w:tbl>
  <w:p w14:paraId="54130FC0" w14:textId="77777777" w:rsidR="00BC60D9" w:rsidRPr="00A46BD3" w:rsidRDefault="00BC60D9"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0D9"/>
    <w:rsid w:val="0002335F"/>
    <w:rsid w:val="00026655"/>
    <w:rsid w:val="000305B4"/>
    <w:rsid w:val="00033F69"/>
    <w:rsid w:val="00037B0B"/>
    <w:rsid w:val="000515E5"/>
    <w:rsid w:val="00072BC2"/>
    <w:rsid w:val="00072BE3"/>
    <w:rsid w:val="00081C03"/>
    <w:rsid w:val="000A38B0"/>
    <w:rsid w:val="000A6BEE"/>
    <w:rsid w:val="000B7D41"/>
    <w:rsid w:val="000E6A62"/>
    <w:rsid w:val="000F57FA"/>
    <w:rsid w:val="00137CD8"/>
    <w:rsid w:val="00145F41"/>
    <w:rsid w:val="00163021"/>
    <w:rsid w:val="001640C0"/>
    <w:rsid w:val="001669C3"/>
    <w:rsid w:val="00187002"/>
    <w:rsid w:val="001A7633"/>
    <w:rsid w:val="001F779F"/>
    <w:rsid w:val="0024279E"/>
    <w:rsid w:val="00270EC4"/>
    <w:rsid w:val="0029171A"/>
    <w:rsid w:val="002955CF"/>
    <w:rsid w:val="002A288E"/>
    <w:rsid w:val="002B16F3"/>
    <w:rsid w:val="002E2726"/>
    <w:rsid w:val="00311761"/>
    <w:rsid w:val="0038250E"/>
    <w:rsid w:val="00383BF3"/>
    <w:rsid w:val="003B306F"/>
    <w:rsid w:val="003B7170"/>
    <w:rsid w:val="003C2B8F"/>
    <w:rsid w:val="003E4DFB"/>
    <w:rsid w:val="00411CCA"/>
    <w:rsid w:val="00486C68"/>
    <w:rsid w:val="004B4A6A"/>
    <w:rsid w:val="004C2AAF"/>
    <w:rsid w:val="004F7B9F"/>
    <w:rsid w:val="00501827"/>
    <w:rsid w:val="0050572D"/>
    <w:rsid w:val="00514039"/>
    <w:rsid w:val="005157D1"/>
    <w:rsid w:val="00543C97"/>
    <w:rsid w:val="00547EC9"/>
    <w:rsid w:val="00560AD9"/>
    <w:rsid w:val="005721C7"/>
    <w:rsid w:val="00573F29"/>
    <w:rsid w:val="005A6AA3"/>
    <w:rsid w:val="005B2315"/>
    <w:rsid w:val="005B31E8"/>
    <w:rsid w:val="005B7231"/>
    <w:rsid w:val="005E603B"/>
    <w:rsid w:val="005E7BA1"/>
    <w:rsid w:val="005F7893"/>
    <w:rsid w:val="0062762F"/>
    <w:rsid w:val="006446AB"/>
    <w:rsid w:val="006519A6"/>
    <w:rsid w:val="006A142B"/>
    <w:rsid w:val="006D08C2"/>
    <w:rsid w:val="006D64EE"/>
    <w:rsid w:val="00700DAE"/>
    <w:rsid w:val="00701E89"/>
    <w:rsid w:val="00703D08"/>
    <w:rsid w:val="007114C8"/>
    <w:rsid w:val="00723308"/>
    <w:rsid w:val="00745E8A"/>
    <w:rsid w:val="00782213"/>
    <w:rsid w:val="00786F81"/>
    <w:rsid w:val="007C65B2"/>
    <w:rsid w:val="008305E2"/>
    <w:rsid w:val="008B1545"/>
    <w:rsid w:val="008B2BF5"/>
    <w:rsid w:val="008C7092"/>
    <w:rsid w:val="00916213"/>
    <w:rsid w:val="00923B48"/>
    <w:rsid w:val="009453BB"/>
    <w:rsid w:val="00950526"/>
    <w:rsid w:val="00960F93"/>
    <w:rsid w:val="009616D2"/>
    <w:rsid w:val="00974348"/>
    <w:rsid w:val="00975EB3"/>
    <w:rsid w:val="009A547E"/>
    <w:rsid w:val="009C0E39"/>
    <w:rsid w:val="009C3833"/>
    <w:rsid w:val="009D3067"/>
    <w:rsid w:val="009F5CF5"/>
    <w:rsid w:val="009F6B7B"/>
    <w:rsid w:val="00A02D48"/>
    <w:rsid w:val="00A035C7"/>
    <w:rsid w:val="00A155AB"/>
    <w:rsid w:val="00A16A96"/>
    <w:rsid w:val="00A24504"/>
    <w:rsid w:val="00A50576"/>
    <w:rsid w:val="00A61FC4"/>
    <w:rsid w:val="00A81AAA"/>
    <w:rsid w:val="00A831B3"/>
    <w:rsid w:val="00A869C1"/>
    <w:rsid w:val="00AA3638"/>
    <w:rsid w:val="00AC5DCA"/>
    <w:rsid w:val="00AF6328"/>
    <w:rsid w:val="00B00ACA"/>
    <w:rsid w:val="00B11FD5"/>
    <w:rsid w:val="00B20034"/>
    <w:rsid w:val="00B56F35"/>
    <w:rsid w:val="00B751E0"/>
    <w:rsid w:val="00BC60D9"/>
    <w:rsid w:val="00BE67E0"/>
    <w:rsid w:val="00C267A1"/>
    <w:rsid w:val="00C77AA5"/>
    <w:rsid w:val="00CC1476"/>
    <w:rsid w:val="00CE6AC3"/>
    <w:rsid w:val="00D33406"/>
    <w:rsid w:val="00D55B1E"/>
    <w:rsid w:val="00D74F31"/>
    <w:rsid w:val="00D84E03"/>
    <w:rsid w:val="00D90172"/>
    <w:rsid w:val="00D918AA"/>
    <w:rsid w:val="00D92EBA"/>
    <w:rsid w:val="00D9425D"/>
    <w:rsid w:val="00DB51A8"/>
    <w:rsid w:val="00DC40D8"/>
    <w:rsid w:val="00DD2F72"/>
    <w:rsid w:val="00DE78F1"/>
    <w:rsid w:val="00DF5034"/>
    <w:rsid w:val="00E026E3"/>
    <w:rsid w:val="00E13409"/>
    <w:rsid w:val="00E31215"/>
    <w:rsid w:val="00E7356E"/>
    <w:rsid w:val="00EB12FE"/>
    <w:rsid w:val="00EC1754"/>
    <w:rsid w:val="00F062D6"/>
    <w:rsid w:val="00F15A09"/>
    <w:rsid w:val="00F2020D"/>
    <w:rsid w:val="00F514D0"/>
    <w:rsid w:val="00F62DB0"/>
    <w:rsid w:val="00FB4E08"/>
    <w:rsid w:val="00FB7375"/>
    <w:rsid w:val="00FD3875"/>
    <w:rsid w:val="00FD4B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EC91468"/>
  <w15:chartTrackingRefBased/>
  <w15:docId w15:val="{8B69461E-AD53-4EB1-867B-087B229ED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0D9"/>
    <w:pPr>
      <w:spacing w:after="200" w:line="276" w:lineRule="auto"/>
    </w:pPr>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C60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60D9"/>
    <w:rPr>
      <w:kern w:val="0"/>
      <w14:ligatures w14:val="none"/>
    </w:rPr>
  </w:style>
  <w:style w:type="table" w:styleId="Tablaconcuadrcula">
    <w:name w:val="Table Grid"/>
    <w:basedOn w:val="Tablanormal"/>
    <w:uiPriority w:val="39"/>
    <w:rsid w:val="00BC60D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BC60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60D9"/>
    <w:rPr>
      <w:kern w:val="0"/>
      <w14:ligatures w14:val="none"/>
    </w:rPr>
  </w:style>
  <w:style w:type="paragraph" w:styleId="Textonotapie">
    <w:name w:val="footnote text"/>
    <w:basedOn w:val="Normal"/>
    <w:link w:val="TextonotapieCar"/>
    <w:uiPriority w:val="99"/>
    <w:semiHidden/>
    <w:unhideWhenUsed/>
    <w:rsid w:val="006D08C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D08C2"/>
    <w:rPr>
      <w:kern w:val="0"/>
      <w:sz w:val="20"/>
      <w:szCs w:val="20"/>
      <w14:ligatures w14:val="none"/>
    </w:rPr>
  </w:style>
  <w:style w:type="character" w:styleId="Refdenotaalpie">
    <w:name w:val="footnote reference"/>
    <w:basedOn w:val="Fuentedeprrafopredeter"/>
    <w:uiPriority w:val="99"/>
    <w:semiHidden/>
    <w:unhideWhenUsed/>
    <w:rsid w:val="006D08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957073">
      <w:bodyDiv w:val="1"/>
      <w:marLeft w:val="0"/>
      <w:marRight w:val="0"/>
      <w:marTop w:val="0"/>
      <w:marBottom w:val="0"/>
      <w:divBdr>
        <w:top w:val="none" w:sz="0" w:space="0" w:color="auto"/>
        <w:left w:val="none" w:sz="0" w:space="0" w:color="auto"/>
        <w:bottom w:val="none" w:sz="0" w:space="0" w:color="auto"/>
        <w:right w:val="none" w:sz="0" w:space="0" w:color="auto"/>
      </w:divBdr>
    </w:div>
    <w:div w:id="1746878899">
      <w:bodyDiv w:val="1"/>
      <w:marLeft w:val="0"/>
      <w:marRight w:val="0"/>
      <w:marTop w:val="0"/>
      <w:marBottom w:val="0"/>
      <w:divBdr>
        <w:top w:val="none" w:sz="0" w:space="0" w:color="auto"/>
        <w:left w:val="none" w:sz="0" w:space="0" w:color="auto"/>
        <w:bottom w:val="none" w:sz="0" w:space="0" w:color="auto"/>
        <w:right w:val="none" w:sz="0" w:space="0" w:color="auto"/>
      </w:divBdr>
    </w:div>
    <w:div w:id="1769348460">
      <w:bodyDiv w:val="1"/>
      <w:marLeft w:val="0"/>
      <w:marRight w:val="0"/>
      <w:marTop w:val="0"/>
      <w:marBottom w:val="0"/>
      <w:divBdr>
        <w:top w:val="none" w:sz="0" w:space="0" w:color="auto"/>
        <w:left w:val="none" w:sz="0" w:space="0" w:color="auto"/>
        <w:bottom w:val="none" w:sz="0" w:space="0" w:color="auto"/>
        <w:right w:val="none" w:sz="0" w:space="0" w:color="auto"/>
      </w:divBdr>
    </w:div>
    <w:div w:id="1883713832">
      <w:bodyDiv w:val="1"/>
      <w:marLeft w:val="0"/>
      <w:marRight w:val="0"/>
      <w:marTop w:val="0"/>
      <w:marBottom w:val="0"/>
      <w:divBdr>
        <w:top w:val="none" w:sz="0" w:space="0" w:color="auto"/>
        <w:left w:val="none" w:sz="0" w:space="0" w:color="auto"/>
        <w:bottom w:val="none" w:sz="0" w:space="0" w:color="auto"/>
        <w:right w:val="none" w:sz="0" w:space="0" w:color="auto"/>
      </w:divBdr>
    </w:div>
    <w:div w:id="206637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70960-7312-4122-A7A4-25FAF880D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1</Pages>
  <Words>306</Words>
  <Characters>1684</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Zaira Márquez</dc:creator>
  <cp:keywords/>
  <dc:description/>
  <cp:lastModifiedBy>Zaira Márquez</cp:lastModifiedBy>
  <cp:revision>42</cp:revision>
  <cp:lastPrinted>2025-02-04T15:53:00Z</cp:lastPrinted>
  <dcterms:created xsi:type="dcterms:W3CDTF">2024-07-17T15:08:00Z</dcterms:created>
  <dcterms:modified xsi:type="dcterms:W3CDTF">2025-02-04T16:59:00Z</dcterms:modified>
</cp:coreProperties>
</file>