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2221AE9B" w14:textId="70C3E9F4" w:rsidR="00523F62" w:rsidRPr="00A93798" w:rsidRDefault="00523F62" w:rsidP="00523F6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51111627"/>
      <w:r w:rsidRPr="00954631">
        <w:rPr>
          <w:rFonts w:ascii="Arial" w:hAnsi="Arial" w:cs="Arial"/>
          <w:sz w:val="24"/>
          <w:szCs w:val="24"/>
        </w:rPr>
        <w:t xml:space="preserve">Con </w:t>
      </w:r>
      <w:r w:rsidRPr="00A93798">
        <w:rPr>
          <w:rFonts w:ascii="Arial" w:hAnsi="Arial" w:cs="Arial"/>
          <w:sz w:val="24"/>
          <w:szCs w:val="24"/>
        </w:rPr>
        <w:t>fundamento en los artículos 106; 115, de la Ley General de Instituciones y Procedimientos Electorales; 17, base B; 58 bis, párrafo tercero, fracción primera, de la Constitución Política del Estado de Aguascalientes; 354, penúltimo párrafo; 357, fracción I, del Código Electoral del Estado de Aguascalientes; 9, párrafo 7 y 18, fracción I, del Reglamento Interior del Tribunal Electoral</w:t>
      </w:r>
      <w:r>
        <w:rPr>
          <w:rFonts w:ascii="Arial" w:hAnsi="Arial" w:cs="Arial"/>
          <w:sz w:val="24"/>
          <w:szCs w:val="24"/>
        </w:rPr>
        <w:t>, por el fallecimiento del Magistrade en funciones Jesús Ociel Baena Saucedo se nombra magistrado por ministerio de ley. A</w:t>
      </w:r>
      <w:r w:rsidRPr="00A93798">
        <w:rPr>
          <w:rFonts w:ascii="Arial" w:hAnsi="Arial" w:cs="Arial"/>
          <w:sz w:val="24"/>
          <w:szCs w:val="24"/>
        </w:rPr>
        <w:t>simismo con fundamento en los artículos 357, fracción I, del Código Electoral del Estado de Aguascalientes 18, fracción I y 21, fracción I, inciso a), del Reglamento Interior del Tribunal Electoral</w:t>
      </w:r>
      <w:r w:rsidRPr="00A93798">
        <w:rPr>
          <w:rFonts w:ascii="Arial" w:hAnsi="Arial" w:cs="Arial"/>
          <w:bCs/>
          <w:sz w:val="24"/>
          <w:szCs w:val="24"/>
        </w:rPr>
        <w:t xml:space="preserve">, una vez que se determinó el proyecto de resolución, que motivó la integración del expediente que a continuación se precisa </w:t>
      </w:r>
      <w:r w:rsidRPr="00A93798">
        <w:rPr>
          <w:rFonts w:ascii="Arial" w:hAnsi="Arial" w:cs="Arial"/>
          <w:sz w:val="24"/>
          <w:szCs w:val="24"/>
        </w:rPr>
        <w:t xml:space="preserve">este Pleno celebrará la </w:t>
      </w:r>
      <w:r w:rsidRPr="00A93798">
        <w:rPr>
          <w:rFonts w:ascii="Arial" w:hAnsi="Arial" w:cs="Arial"/>
          <w:b/>
          <w:bCs/>
          <w:sz w:val="24"/>
          <w:szCs w:val="24"/>
        </w:rPr>
        <w:t>Décima cuarta sesión</w:t>
      </w:r>
      <w:r w:rsidRPr="00A93798">
        <w:rPr>
          <w:rFonts w:ascii="Arial" w:hAnsi="Arial" w:cs="Arial"/>
          <w:sz w:val="24"/>
          <w:szCs w:val="24"/>
        </w:rPr>
        <w:t xml:space="preserve"> pública, que tendrá verificativo el dí</w:t>
      </w:r>
      <w:r>
        <w:rPr>
          <w:rFonts w:ascii="Arial" w:hAnsi="Arial" w:cs="Arial"/>
          <w:sz w:val="24"/>
          <w:szCs w:val="24"/>
        </w:rPr>
        <w:t xml:space="preserve">a dieciocho </w:t>
      </w:r>
      <w:r w:rsidRPr="009F4693">
        <w:rPr>
          <w:rFonts w:ascii="Arial" w:hAnsi="Arial" w:cs="Arial"/>
          <w:b/>
          <w:bCs/>
          <w:sz w:val="24"/>
          <w:szCs w:val="24"/>
        </w:rPr>
        <w:t xml:space="preserve"> de noviembre</w:t>
      </w:r>
      <w:r w:rsidRPr="00A93798">
        <w:rPr>
          <w:rFonts w:ascii="Arial" w:hAnsi="Arial" w:cs="Arial"/>
          <w:sz w:val="24"/>
          <w:szCs w:val="24"/>
        </w:rPr>
        <w:t xml:space="preserve"> de dos mil veinti</w:t>
      </w:r>
      <w:r>
        <w:rPr>
          <w:rFonts w:ascii="Arial" w:hAnsi="Arial" w:cs="Arial"/>
          <w:sz w:val="24"/>
          <w:szCs w:val="24"/>
        </w:rPr>
        <w:t>trés</w:t>
      </w:r>
      <w:r w:rsidRPr="00A93798">
        <w:rPr>
          <w:rFonts w:ascii="Arial" w:hAnsi="Arial" w:cs="Arial"/>
          <w:sz w:val="24"/>
          <w:szCs w:val="24"/>
        </w:rPr>
        <w:t xml:space="preserve"> a las </w:t>
      </w:r>
      <w:r w:rsidR="000C0ABB">
        <w:rPr>
          <w:rFonts w:ascii="Arial" w:hAnsi="Arial" w:cs="Arial"/>
          <w:b/>
          <w:bCs/>
          <w:sz w:val="24"/>
          <w:szCs w:val="24"/>
        </w:rPr>
        <w:t>ocho</w:t>
      </w:r>
      <w:r w:rsidRPr="00A93798">
        <w:rPr>
          <w:rFonts w:ascii="Arial" w:hAnsi="Arial" w:cs="Arial"/>
          <w:b/>
          <w:bCs/>
          <w:sz w:val="24"/>
          <w:szCs w:val="24"/>
        </w:rPr>
        <w:t xml:space="preserve"> horas con </w:t>
      </w:r>
      <w:r w:rsidR="004D0166">
        <w:rPr>
          <w:rFonts w:ascii="Arial" w:hAnsi="Arial" w:cs="Arial"/>
          <w:b/>
          <w:bCs/>
          <w:sz w:val="24"/>
          <w:szCs w:val="24"/>
        </w:rPr>
        <w:t xml:space="preserve">treinta </w:t>
      </w:r>
      <w:r w:rsidRPr="00A93798">
        <w:rPr>
          <w:rFonts w:ascii="Arial" w:hAnsi="Arial" w:cs="Arial"/>
          <w:b/>
          <w:bCs/>
          <w:sz w:val="24"/>
          <w:szCs w:val="24"/>
        </w:rPr>
        <w:t>minutos</w:t>
      </w:r>
      <w:r w:rsidRPr="00A93798">
        <w:rPr>
          <w:rFonts w:ascii="Arial" w:hAnsi="Arial" w:cs="Arial"/>
          <w:sz w:val="24"/>
          <w:szCs w:val="24"/>
        </w:rPr>
        <w:t>,</w:t>
      </w:r>
      <w:r w:rsidRPr="00A9379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93798">
        <w:rPr>
          <w:rFonts w:ascii="Arial" w:hAnsi="Arial" w:cs="Arial"/>
          <w:sz w:val="24"/>
          <w:szCs w:val="24"/>
        </w:rPr>
        <w:t>con el siguiente orden del día:</w:t>
      </w:r>
      <w:r w:rsidRPr="00954631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0F5DE23C" w14:textId="77777777" w:rsidR="00223E64" w:rsidRPr="001527C1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1527C1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527C1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6E3F90D8" w14:textId="714B1ACA" w:rsidR="007F5750" w:rsidRPr="001527C1" w:rsidRDefault="007F5750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27C1">
        <w:rPr>
          <w:rFonts w:ascii="Arial" w:hAnsi="Arial" w:cs="Arial"/>
          <w:sz w:val="24"/>
          <w:szCs w:val="24"/>
        </w:rPr>
        <w:t>Aprobación del orden del día;</w:t>
      </w:r>
      <w:r w:rsidR="00A14673" w:rsidRPr="001527C1">
        <w:rPr>
          <w:rFonts w:ascii="Arial" w:hAnsi="Arial" w:cs="Arial"/>
          <w:sz w:val="24"/>
          <w:szCs w:val="24"/>
        </w:rPr>
        <w:t xml:space="preserve"> y, </w:t>
      </w:r>
    </w:p>
    <w:p w14:paraId="694FB749" w14:textId="29C43305" w:rsidR="00A14673" w:rsidRDefault="008A3AD4" w:rsidP="007F575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527C1">
        <w:rPr>
          <w:rFonts w:ascii="Arial" w:hAnsi="Arial" w:cs="Arial"/>
          <w:sz w:val="24"/>
          <w:szCs w:val="24"/>
        </w:rPr>
        <w:t xml:space="preserve">Toma de protesta </w:t>
      </w:r>
      <w:r w:rsidRPr="00062751">
        <w:rPr>
          <w:rFonts w:ascii="Arial" w:hAnsi="Arial" w:cs="Arial"/>
          <w:sz w:val="24"/>
          <w:szCs w:val="24"/>
        </w:rPr>
        <w:t xml:space="preserve">de </w:t>
      </w:r>
      <w:r w:rsidR="00062751" w:rsidRPr="00062751">
        <w:rPr>
          <w:rFonts w:ascii="Arial" w:eastAsia="Times New Roman" w:hAnsi="Arial" w:cs="Arial"/>
          <w:sz w:val="24"/>
          <w:szCs w:val="24"/>
          <w:lang w:eastAsia="es-ES"/>
        </w:rPr>
        <w:t>Néstor Enrique Rivera López</w:t>
      </w:r>
      <w:r w:rsidRPr="00062751">
        <w:rPr>
          <w:rFonts w:ascii="Arial" w:hAnsi="Arial" w:cs="Arial"/>
          <w:sz w:val="24"/>
          <w:szCs w:val="24"/>
        </w:rPr>
        <w:t>,</w:t>
      </w:r>
      <w:r w:rsidRPr="001527C1">
        <w:rPr>
          <w:rFonts w:ascii="Arial" w:hAnsi="Arial" w:cs="Arial"/>
          <w:sz w:val="24"/>
          <w:szCs w:val="24"/>
        </w:rPr>
        <w:t xml:space="preserve"> </w:t>
      </w:r>
      <w:r w:rsidR="004E5B7B" w:rsidRPr="001527C1">
        <w:rPr>
          <w:rFonts w:ascii="Arial" w:hAnsi="Arial" w:cs="Arial"/>
          <w:sz w:val="24"/>
          <w:szCs w:val="24"/>
        </w:rPr>
        <w:t xml:space="preserve">como </w:t>
      </w:r>
      <w:r w:rsidRPr="001527C1">
        <w:rPr>
          <w:rFonts w:ascii="Arial" w:hAnsi="Arial" w:cs="Arial"/>
          <w:sz w:val="24"/>
          <w:szCs w:val="24"/>
        </w:rPr>
        <w:t>Magistrad</w:t>
      </w:r>
      <w:r w:rsidR="00062751">
        <w:rPr>
          <w:rFonts w:ascii="Arial" w:hAnsi="Arial" w:cs="Arial"/>
          <w:sz w:val="24"/>
          <w:szCs w:val="24"/>
        </w:rPr>
        <w:t>o</w:t>
      </w:r>
      <w:r w:rsidRPr="001527C1">
        <w:rPr>
          <w:rFonts w:ascii="Arial" w:hAnsi="Arial" w:cs="Arial"/>
          <w:sz w:val="24"/>
          <w:szCs w:val="24"/>
        </w:rPr>
        <w:t xml:space="preserve"> </w:t>
      </w:r>
      <w:r w:rsidR="004E5B7B" w:rsidRPr="001527C1">
        <w:rPr>
          <w:rFonts w:ascii="Arial" w:hAnsi="Arial" w:cs="Arial"/>
          <w:sz w:val="24"/>
          <w:szCs w:val="24"/>
        </w:rPr>
        <w:t xml:space="preserve">en funciones </w:t>
      </w:r>
      <w:r w:rsidRPr="001527C1">
        <w:rPr>
          <w:rFonts w:ascii="Arial" w:hAnsi="Arial" w:cs="Arial"/>
          <w:sz w:val="24"/>
          <w:szCs w:val="24"/>
        </w:rPr>
        <w:t xml:space="preserve">por ministerio de ley. </w:t>
      </w:r>
    </w:p>
    <w:p w14:paraId="1939FE00" w14:textId="3DB8CD25" w:rsidR="004D0166" w:rsidRPr="004D0166" w:rsidRDefault="004D0166" w:rsidP="004D0166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D0166">
        <w:rPr>
          <w:rFonts w:ascii="Arial" w:hAnsi="Arial" w:cs="Arial"/>
          <w:sz w:val="24"/>
          <w:szCs w:val="24"/>
        </w:rPr>
        <w:t>Mensaje del Magistrado en funciones Néstor Enrique Rivera López.</w:t>
      </w:r>
    </w:p>
    <w:p w14:paraId="58D0798B" w14:textId="48B64AD9" w:rsidR="007F6612" w:rsidRPr="007F6612" w:rsidRDefault="007F6612" w:rsidP="004D0166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F6612">
        <w:rPr>
          <w:rFonts w:ascii="Arial" w:hAnsi="Arial" w:cs="Arial"/>
          <w:sz w:val="24"/>
          <w:szCs w:val="24"/>
        </w:rPr>
        <w:t>Proyecto de resolución de un</w:t>
      </w:r>
      <w:r w:rsidRPr="00EC6F32">
        <w:t xml:space="preserve"> </w:t>
      </w:r>
      <w:r w:rsidRPr="007F6612">
        <w:rPr>
          <w:rFonts w:ascii="Arial" w:hAnsi="Arial" w:cs="Arial"/>
          <w:sz w:val="24"/>
          <w:szCs w:val="24"/>
        </w:rPr>
        <w:t>Recurso de Apelación, identificado con el número de expediente TEEA-RAP-013/2023, propuesto por la ponencia del Magistrad</w:t>
      </w:r>
      <w:r w:rsidR="00523F62">
        <w:rPr>
          <w:rFonts w:ascii="Arial" w:hAnsi="Arial" w:cs="Arial"/>
          <w:sz w:val="24"/>
          <w:szCs w:val="24"/>
        </w:rPr>
        <w:t xml:space="preserve">o en funciones </w:t>
      </w:r>
      <w:r w:rsidR="00523F62" w:rsidRPr="00062751">
        <w:rPr>
          <w:rFonts w:ascii="Arial" w:eastAsia="Times New Roman" w:hAnsi="Arial" w:cs="Arial"/>
          <w:sz w:val="24"/>
          <w:szCs w:val="24"/>
          <w:lang w:eastAsia="es-ES"/>
        </w:rPr>
        <w:t>Néstor Enrique Rivera López</w:t>
      </w:r>
      <w:r w:rsidRPr="007F6612">
        <w:rPr>
          <w:rFonts w:ascii="Arial" w:hAnsi="Arial" w:cs="Arial"/>
          <w:sz w:val="24"/>
          <w:szCs w:val="24"/>
        </w:rPr>
        <w:t>.</w:t>
      </w:r>
    </w:p>
    <w:p w14:paraId="0CF33B0C" w14:textId="77777777" w:rsidR="007F6612" w:rsidRPr="001527C1" w:rsidRDefault="007F6612" w:rsidP="007F6612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B2E647" w14:textId="60DE67D9" w:rsidR="007F5750" w:rsidRPr="001527C1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F42C9AC" w14:textId="77777777" w:rsidR="001527C1" w:rsidRPr="001527C1" w:rsidRDefault="001527C1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1527C1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527C1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1527C1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1527C1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1527C1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1527C1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1527C1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1527C1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1527C1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1527C1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1527C1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523F62" w:rsidRDefault="00523F62" w:rsidP="009023E2">
    <w:pPr>
      <w:pStyle w:val="Piedepgina"/>
      <w:jc w:val="center"/>
    </w:pPr>
  </w:p>
  <w:p w14:paraId="4F6CF03E" w14:textId="77777777" w:rsidR="00523F62" w:rsidRDefault="00523F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523F62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00679D06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523F62">
      <w:rPr>
        <w:rFonts w:cstheme="minorHAnsi"/>
        <w:b/>
        <w:sz w:val="24"/>
        <w:szCs w:val="20"/>
      </w:rPr>
      <w:t>diecisiete</w:t>
    </w:r>
    <w:r w:rsidR="007F5750">
      <w:rPr>
        <w:rFonts w:cstheme="minorHAnsi"/>
        <w:b/>
        <w:sz w:val="24"/>
        <w:szCs w:val="20"/>
      </w:rPr>
      <w:t xml:space="preserve"> de </w:t>
    </w:r>
    <w:r w:rsidR="00523F62">
      <w:rPr>
        <w:rFonts w:cstheme="minorHAnsi"/>
        <w:b/>
        <w:sz w:val="24"/>
        <w:szCs w:val="20"/>
      </w:rPr>
      <w:t>novie</w:t>
    </w:r>
    <w:r w:rsidR="007F5750">
      <w:rPr>
        <w:rFonts w:cstheme="minorHAnsi"/>
        <w:b/>
        <w:sz w:val="24"/>
        <w:szCs w:val="20"/>
      </w:rPr>
      <w:t>mbre</w:t>
    </w:r>
  </w:p>
  <w:p w14:paraId="12EA6766" w14:textId="3723DDF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 xml:space="preserve">de dos mil </w:t>
    </w:r>
    <w:r w:rsidR="00523F62" w:rsidRPr="003D5ADF">
      <w:rPr>
        <w:rFonts w:cstheme="minorHAnsi"/>
        <w:b/>
        <w:sz w:val="24"/>
        <w:szCs w:val="20"/>
      </w:rPr>
      <w:t>veint</w:t>
    </w:r>
    <w:r w:rsidR="00523F62">
      <w:rPr>
        <w:rFonts w:cstheme="minorHAnsi"/>
        <w:b/>
        <w:sz w:val="24"/>
        <w:szCs w:val="20"/>
      </w:rPr>
      <w:t>itrés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6"/>
  </w:num>
  <w:num w:numId="2" w16cid:durableId="993921530">
    <w:abstractNumId w:val="33"/>
  </w:num>
  <w:num w:numId="3" w16cid:durableId="222831759">
    <w:abstractNumId w:val="0"/>
  </w:num>
  <w:num w:numId="4" w16cid:durableId="1889876455">
    <w:abstractNumId w:val="9"/>
  </w:num>
  <w:num w:numId="5" w16cid:durableId="400830791">
    <w:abstractNumId w:val="34"/>
  </w:num>
  <w:num w:numId="6" w16cid:durableId="1911117879">
    <w:abstractNumId w:val="36"/>
  </w:num>
  <w:num w:numId="7" w16cid:durableId="1008211545">
    <w:abstractNumId w:val="13"/>
  </w:num>
  <w:num w:numId="8" w16cid:durableId="966205161">
    <w:abstractNumId w:val="28"/>
  </w:num>
  <w:num w:numId="9" w16cid:durableId="468398238">
    <w:abstractNumId w:val="30"/>
  </w:num>
  <w:num w:numId="10" w16cid:durableId="1107115388">
    <w:abstractNumId w:val="29"/>
  </w:num>
  <w:num w:numId="11" w16cid:durableId="979651424">
    <w:abstractNumId w:val="18"/>
  </w:num>
  <w:num w:numId="12" w16cid:durableId="898830459">
    <w:abstractNumId w:val="31"/>
  </w:num>
  <w:num w:numId="13" w16cid:durableId="832985106">
    <w:abstractNumId w:val="27"/>
  </w:num>
  <w:num w:numId="14" w16cid:durableId="652104260">
    <w:abstractNumId w:val="17"/>
  </w:num>
  <w:num w:numId="15" w16cid:durableId="1695837464">
    <w:abstractNumId w:val="26"/>
  </w:num>
  <w:num w:numId="16" w16cid:durableId="460921366">
    <w:abstractNumId w:val="14"/>
  </w:num>
  <w:num w:numId="17" w16cid:durableId="939410853">
    <w:abstractNumId w:val="7"/>
  </w:num>
  <w:num w:numId="18" w16cid:durableId="1008405576">
    <w:abstractNumId w:val="22"/>
  </w:num>
  <w:num w:numId="19" w16cid:durableId="1566530807">
    <w:abstractNumId w:val="4"/>
  </w:num>
  <w:num w:numId="20" w16cid:durableId="169099961">
    <w:abstractNumId w:val="6"/>
  </w:num>
  <w:num w:numId="21" w16cid:durableId="146677559">
    <w:abstractNumId w:val="37"/>
  </w:num>
  <w:num w:numId="22" w16cid:durableId="541094472">
    <w:abstractNumId w:val="10"/>
  </w:num>
  <w:num w:numId="23" w16cid:durableId="226957116">
    <w:abstractNumId w:val="39"/>
  </w:num>
  <w:num w:numId="24" w16cid:durableId="965500544">
    <w:abstractNumId w:val="38"/>
  </w:num>
  <w:num w:numId="25" w16cid:durableId="1820029931">
    <w:abstractNumId w:val="8"/>
  </w:num>
  <w:num w:numId="26" w16cid:durableId="1085416636">
    <w:abstractNumId w:val="12"/>
  </w:num>
  <w:num w:numId="27" w16cid:durableId="873349074">
    <w:abstractNumId w:val="32"/>
  </w:num>
  <w:num w:numId="28" w16cid:durableId="381366297">
    <w:abstractNumId w:val="3"/>
  </w:num>
  <w:num w:numId="29" w16cid:durableId="531502368">
    <w:abstractNumId w:val="21"/>
  </w:num>
  <w:num w:numId="30" w16cid:durableId="1162818266">
    <w:abstractNumId w:val="24"/>
  </w:num>
  <w:num w:numId="31" w16cid:durableId="2057270760">
    <w:abstractNumId w:val="2"/>
  </w:num>
  <w:num w:numId="32" w16cid:durableId="345375019">
    <w:abstractNumId w:val="5"/>
  </w:num>
  <w:num w:numId="33" w16cid:durableId="162357979">
    <w:abstractNumId w:val="19"/>
  </w:num>
  <w:num w:numId="34" w16cid:durableId="549339458">
    <w:abstractNumId w:val="20"/>
  </w:num>
  <w:num w:numId="35" w16cid:durableId="51839709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5"/>
  </w:num>
  <w:num w:numId="37" w16cid:durableId="554776597">
    <w:abstractNumId w:val="23"/>
  </w:num>
  <w:num w:numId="38" w16cid:durableId="33389322">
    <w:abstractNumId w:val="1"/>
  </w:num>
  <w:num w:numId="39" w16cid:durableId="1769500500">
    <w:abstractNumId w:val="11"/>
  </w:num>
  <w:num w:numId="40" w16cid:durableId="9413756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62751"/>
    <w:rsid w:val="00093226"/>
    <w:rsid w:val="00093D57"/>
    <w:rsid w:val="000B2C27"/>
    <w:rsid w:val="000C0ABB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27C1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0166"/>
    <w:rsid w:val="004D1D13"/>
    <w:rsid w:val="004D55CA"/>
    <w:rsid w:val="004E1711"/>
    <w:rsid w:val="004E5B7B"/>
    <w:rsid w:val="004F00F3"/>
    <w:rsid w:val="004F584E"/>
    <w:rsid w:val="004F5C9F"/>
    <w:rsid w:val="00516AA8"/>
    <w:rsid w:val="00522FE5"/>
    <w:rsid w:val="00523F62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9746C"/>
    <w:rsid w:val="007B1106"/>
    <w:rsid w:val="007B3D2B"/>
    <w:rsid w:val="007C0390"/>
    <w:rsid w:val="007C46F9"/>
    <w:rsid w:val="007E3A60"/>
    <w:rsid w:val="007F5750"/>
    <w:rsid w:val="007F6612"/>
    <w:rsid w:val="0080294F"/>
    <w:rsid w:val="008060BB"/>
    <w:rsid w:val="008064D0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AD4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4673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13B2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clara martinez vasques</cp:lastModifiedBy>
  <cp:revision>5</cp:revision>
  <cp:lastPrinted>2023-11-17T19:03:00Z</cp:lastPrinted>
  <dcterms:created xsi:type="dcterms:W3CDTF">2023-11-17T16:46:00Z</dcterms:created>
  <dcterms:modified xsi:type="dcterms:W3CDTF">2023-11-17T19:03:00Z</dcterms:modified>
</cp:coreProperties>
</file>