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811BC" w:rsidRDefault="009C3126" w:rsidP="00CB1FCD">
      <w:pPr>
        <w:tabs>
          <w:tab w:val="left" w:pos="3544"/>
        </w:tabs>
        <w:spacing w:after="0" w:line="240" w:lineRule="auto"/>
        <w:ind w:left="3969" w:right="51"/>
        <w:jc w:val="both"/>
        <w:rPr>
          <w:rFonts w:ascii="Arial" w:eastAsia="Arial" w:hAnsi="Arial" w:cs="Arial"/>
          <w:b/>
        </w:rPr>
      </w:pPr>
      <w:r>
        <w:rPr>
          <w:rFonts w:ascii="Arial" w:eastAsia="Arial" w:hAnsi="Arial" w:cs="Arial"/>
          <w:b/>
        </w:rPr>
        <w:t>RECURSO DE APELACIÓN</w:t>
      </w:r>
      <w:r w:rsidR="00CB1FCD">
        <w:rPr>
          <w:rFonts w:ascii="Arial" w:eastAsia="Arial" w:hAnsi="Arial" w:cs="Arial"/>
          <w:b/>
        </w:rPr>
        <w:t xml:space="preserve">. </w:t>
      </w:r>
    </w:p>
    <w:p w14:paraId="017E17EE" w14:textId="77777777" w:rsidR="00CB1FCD" w:rsidRPr="009811BC" w:rsidRDefault="00CB1FCD" w:rsidP="00CB1FCD">
      <w:pPr>
        <w:tabs>
          <w:tab w:val="left" w:pos="3544"/>
        </w:tabs>
        <w:spacing w:after="0" w:line="240" w:lineRule="auto"/>
        <w:ind w:left="3969" w:right="51"/>
        <w:jc w:val="both"/>
        <w:rPr>
          <w:rFonts w:ascii="Arial" w:eastAsia="Arial" w:hAnsi="Arial" w:cs="Arial"/>
          <w:b/>
        </w:rPr>
      </w:pPr>
    </w:p>
    <w:p w14:paraId="5D68C0F4" w14:textId="4D325F84"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9C3126">
        <w:rPr>
          <w:rFonts w:ascii="Arial" w:eastAsia="Arial" w:hAnsi="Arial" w:cs="Arial"/>
        </w:rPr>
        <w:t>RAP-00</w:t>
      </w:r>
      <w:r w:rsidR="001D4D97">
        <w:rPr>
          <w:rFonts w:ascii="Arial" w:eastAsia="Arial" w:hAnsi="Arial" w:cs="Arial"/>
        </w:rPr>
        <w:t>4</w:t>
      </w:r>
      <w:r w:rsidR="009C3126">
        <w:rPr>
          <w:rFonts w:ascii="Arial" w:eastAsia="Arial" w:hAnsi="Arial" w:cs="Arial"/>
        </w:rPr>
        <w:t>/2026</w:t>
      </w:r>
      <w:r w:rsidR="001162DF">
        <w:rPr>
          <w:rFonts w:ascii="Arial" w:eastAsia="Arial" w:hAnsi="Arial" w:cs="Arial"/>
        </w:rPr>
        <w:t>.</w:t>
      </w:r>
    </w:p>
    <w:p w14:paraId="16BF3307" w14:textId="77777777" w:rsidR="00CB1FCD" w:rsidRPr="009811BC" w:rsidRDefault="00CB1FCD" w:rsidP="00CB1FCD">
      <w:pPr>
        <w:tabs>
          <w:tab w:val="left" w:pos="3544"/>
        </w:tabs>
        <w:spacing w:after="0" w:line="240" w:lineRule="auto"/>
        <w:ind w:left="3969" w:right="51"/>
        <w:jc w:val="both"/>
        <w:rPr>
          <w:rFonts w:ascii="Arial" w:eastAsia="Arial" w:hAnsi="Arial" w:cs="Arial"/>
        </w:rPr>
      </w:pPr>
    </w:p>
    <w:p w14:paraId="40153F14" w14:textId="2BBE142F"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1D4D97">
        <w:rPr>
          <w:rFonts w:ascii="Arial" w:eastAsia="Arial" w:hAnsi="Arial" w:cs="Arial"/>
        </w:rPr>
        <w:t xml:space="preserve">BRANDON AMAURI CARDONA MEJÍA, </w:t>
      </w:r>
      <w:r w:rsidR="00CA04E5">
        <w:rPr>
          <w:rFonts w:ascii="Arial" w:eastAsia="Arial" w:hAnsi="Arial" w:cs="Arial"/>
        </w:rPr>
        <w:t xml:space="preserve">EN SU CALIDAD DE </w:t>
      </w:r>
      <w:r w:rsidR="001D4D97">
        <w:rPr>
          <w:rFonts w:ascii="Arial" w:eastAsia="Arial" w:hAnsi="Arial" w:cs="Arial"/>
        </w:rPr>
        <w:t>REPRESENTANTE PROPIETARIO DEL PARTIDO REVOLUCIONARIO INSTITUCIONAL</w:t>
      </w:r>
      <w:r w:rsidR="0062118D">
        <w:rPr>
          <w:rFonts w:ascii="Arial" w:eastAsia="Arial" w:hAnsi="Arial" w:cs="Arial"/>
        </w:rPr>
        <w:t xml:space="preserve"> ANTE EL CONSEJO GENERAL DEL INSTITUTO ESTATAL ELECTORAL DE AGUASCALIENTES.</w:t>
      </w:r>
    </w:p>
    <w:p w14:paraId="0A21AA33" w14:textId="77777777" w:rsidR="00CB1FCD" w:rsidRPr="009811BC" w:rsidRDefault="00CB1FCD" w:rsidP="00CB1FCD">
      <w:pPr>
        <w:tabs>
          <w:tab w:val="left" w:pos="3544"/>
        </w:tabs>
        <w:spacing w:after="0" w:line="240" w:lineRule="auto"/>
        <w:ind w:left="3969" w:right="51"/>
        <w:jc w:val="both"/>
        <w:rPr>
          <w:rFonts w:ascii="Arial" w:eastAsia="Arial" w:hAnsi="Arial" w:cs="Arial"/>
        </w:rPr>
      </w:pPr>
    </w:p>
    <w:p w14:paraId="488B2864" w14:textId="1E4EE90B"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Pr>
          <w:rFonts w:ascii="Arial" w:eastAsia="Arial" w:hAnsi="Arial" w:cs="Arial"/>
        </w:rPr>
        <w:t>CONSEJO GENERAL DEL INSTITUTO ESTATAL ELECTORAL DE AGUASCALIENTES.</w:t>
      </w:r>
    </w:p>
    <w:p w14:paraId="1DD662CE" w14:textId="440F1100"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Aguascalientes, Ags</w:t>
      </w:r>
      <w:r w:rsidR="00FE3A80">
        <w:rPr>
          <w:rFonts w:ascii="Arial" w:eastAsia="Arial" w:hAnsi="Arial" w:cs="Arial"/>
          <w:b/>
        </w:rPr>
        <w:t>.</w:t>
      </w:r>
      <w:r w:rsidRPr="009811BC">
        <w:rPr>
          <w:rFonts w:ascii="Arial" w:eastAsia="Arial" w:hAnsi="Arial" w:cs="Arial"/>
          <w:b/>
        </w:rPr>
        <w:t xml:space="preserve">, a </w:t>
      </w:r>
      <w:r w:rsidR="001D4D97">
        <w:rPr>
          <w:rFonts w:ascii="Arial" w:eastAsia="Arial" w:hAnsi="Arial" w:cs="Arial"/>
          <w:b/>
        </w:rPr>
        <w:t>nueve</w:t>
      </w:r>
      <w:r w:rsidR="001162DF">
        <w:rPr>
          <w:rFonts w:ascii="Arial" w:eastAsia="Arial" w:hAnsi="Arial" w:cs="Arial"/>
          <w:b/>
        </w:rPr>
        <w:t xml:space="preserve"> </w:t>
      </w:r>
      <w:r w:rsidR="00842F28">
        <w:rPr>
          <w:rFonts w:ascii="Arial" w:eastAsia="Arial" w:hAnsi="Arial" w:cs="Arial"/>
          <w:b/>
        </w:rPr>
        <w:t>de junio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1D90C2DF"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00</w:t>
            </w:r>
            <w:r w:rsidR="001D4D97">
              <w:rPr>
                <w:rFonts w:ascii="Arial" w:eastAsia="Arial" w:hAnsi="Arial" w:cs="Arial"/>
                <w:b/>
                <w:sz w:val="19"/>
                <w:szCs w:val="19"/>
              </w:rPr>
              <w:t>60</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1D4D97">
              <w:rPr>
                <w:rFonts w:ascii="Arial" w:eastAsia="Arial" w:hAnsi="Arial" w:cs="Arial"/>
                <w:sz w:val="19"/>
                <w:szCs w:val="19"/>
              </w:rPr>
              <w:t>nueve</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653161BF" w:rsidR="00947307" w:rsidRPr="00DD4966" w:rsidRDefault="009C3126" w:rsidP="006D427F">
            <w:pPr>
              <w:tabs>
                <w:tab w:val="left" w:pos="1628"/>
              </w:tabs>
              <w:jc w:val="both"/>
              <w:rPr>
                <w:rFonts w:ascii="Arial" w:hAnsi="Arial" w:cs="Arial"/>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promovido </w:t>
            </w:r>
            <w:r w:rsidR="001D4D97">
              <w:rPr>
                <w:rFonts w:ascii="Arial" w:eastAsia="Arial" w:hAnsi="Arial" w:cs="Arial"/>
                <w:bCs/>
                <w:sz w:val="19"/>
                <w:szCs w:val="19"/>
              </w:rPr>
              <w:t xml:space="preserve">y signado </w:t>
            </w:r>
            <w:r w:rsidR="00842F28">
              <w:rPr>
                <w:rFonts w:ascii="Arial" w:eastAsia="Arial" w:hAnsi="Arial" w:cs="Arial"/>
                <w:bCs/>
                <w:sz w:val="19"/>
                <w:szCs w:val="19"/>
              </w:rPr>
              <w:t xml:space="preserve">por </w:t>
            </w:r>
            <w:r w:rsidR="001D4D97">
              <w:rPr>
                <w:rFonts w:ascii="Arial" w:eastAsia="Arial" w:hAnsi="Arial" w:cs="Arial"/>
                <w:bCs/>
                <w:sz w:val="19"/>
                <w:szCs w:val="19"/>
              </w:rPr>
              <w:t>el ciudadano Brandon Amauri Cardona Mejía, en su calidad de representante propietario del Partido Revolucionario Institucional</w:t>
            </w:r>
            <w:r w:rsidR="0062118D">
              <w:rPr>
                <w:rFonts w:ascii="Arial" w:eastAsia="Arial" w:hAnsi="Arial" w:cs="Arial"/>
                <w:bCs/>
                <w:sz w:val="19"/>
                <w:szCs w:val="19"/>
              </w:rPr>
              <w:t xml:space="preserve"> ante el Consejo General del Instituto Estatal Electoral de Aguascalientes</w:t>
            </w:r>
            <w:r w:rsidR="00CB1FCD">
              <w:rPr>
                <w:rFonts w:ascii="Arial" w:eastAsia="Arial" w:hAnsi="Arial" w:cs="Arial"/>
                <w:bCs/>
                <w:sz w:val="19"/>
                <w:szCs w:val="19"/>
              </w:rPr>
              <w:t xml:space="preserve">, </w:t>
            </w:r>
            <w:r w:rsidR="00842F28">
              <w:rPr>
                <w:rFonts w:ascii="Arial" w:eastAsia="Arial" w:hAnsi="Arial" w:cs="Arial"/>
                <w:bCs/>
                <w:sz w:val="19"/>
                <w:szCs w:val="19"/>
              </w:rPr>
              <w:t xml:space="preserve">en contra del acuerdo CG-A-14/26, </w:t>
            </w:r>
            <w:r w:rsidR="0062118D">
              <w:rPr>
                <w:rFonts w:ascii="Arial" w:eastAsia="Arial" w:hAnsi="Arial" w:cs="Arial"/>
                <w:bCs/>
                <w:sz w:val="19"/>
                <w:szCs w:val="19"/>
              </w:rPr>
              <w:t>aprobado</w:t>
            </w:r>
            <w:r w:rsidR="00842F28">
              <w:rPr>
                <w:rFonts w:ascii="Arial" w:eastAsia="Arial" w:hAnsi="Arial" w:cs="Arial"/>
                <w:bCs/>
                <w:sz w:val="19"/>
                <w:szCs w:val="19"/>
              </w:rPr>
              <w:t xml:space="preserve"> por el Consejo General del Instituto Estatal Electoral de Aguascalientes.</w:t>
            </w:r>
            <w:r w:rsidR="00DC1BBC">
              <w:rPr>
                <w:rFonts w:ascii="Arial" w:eastAsia="Arial" w:hAnsi="Arial" w:cs="Arial"/>
                <w:bCs/>
                <w:sz w:val="19"/>
                <w:szCs w:val="19"/>
              </w:rPr>
              <w:t xml:space="preserve"> </w:t>
            </w:r>
          </w:p>
        </w:tc>
      </w:tr>
    </w:tbl>
    <w:p w14:paraId="061A822E" w14:textId="6DF5E0FC"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y 9</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6AA3A80A"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RAP-00</w:t>
      </w:r>
      <w:r w:rsidR="001D4D97">
        <w:rPr>
          <w:rFonts w:ascii="Arial" w:eastAsia="Arial" w:hAnsi="Arial" w:cs="Arial"/>
          <w:b/>
          <w:bCs/>
        </w:rPr>
        <w:t>4</w:t>
      </w:r>
      <w:r w:rsidR="009C3126">
        <w:rPr>
          <w:rFonts w:ascii="Arial" w:eastAsia="Arial" w:hAnsi="Arial" w:cs="Arial"/>
          <w:b/>
          <w:bCs/>
        </w:rPr>
        <w:t>/2026</w:t>
      </w:r>
      <w:r w:rsidRPr="00396B39">
        <w:rPr>
          <w:rFonts w:ascii="Arial" w:eastAsia="Arial" w:hAnsi="Arial" w:cs="Arial"/>
          <w:b/>
          <w:bCs/>
        </w:rPr>
        <w:t>.</w:t>
      </w:r>
    </w:p>
    <w:p w14:paraId="35301978" w14:textId="79218609" w:rsidR="00135315" w:rsidRPr="00A73BE3" w:rsidRDefault="00135315" w:rsidP="00135315">
      <w:pPr>
        <w:spacing w:before="280" w:after="280" w:line="360" w:lineRule="auto"/>
        <w:jc w:val="both"/>
        <w:rPr>
          <w:rFonts w:ascii="Arial" w:eastAsia="Arial" w:hAnsi="Arial" w:cs="Arial"/>
        </w:rPr>
      </w:pPr>
      <w:r>
        <w:rPr>
          <w:rFonts w:ascii="Arial" w:eastAsia="Arial" w:hAnsi="Arial" w:cs="Arial"/>
          <w:b/>
          <w:bCs/>
        </w:rPr>
        <w:t xml:space="preserve">TERCERO. Acumulación.  </w:t>
      </w:r>
      <w:r w:rsidRPr="00A73BE3">
        <w:rPr>
          <w:rFonts w:ascii="Arial" w:eastAsia="Arial" w:hAnsi="Arial" w:cs="Arial"/>
        </w:rPr>
        <w:t xml:space="preserve">El artículo </w:t>
      </w:r>
      <w:r>
        <w:rPr>
          <w:rFonts w:ascii="Arial" w:eastAsia="Arial" w:hAnsi="Arial" w:cs="Arial"/>
        </w:rPr>
        <w:t>9</w:t>
      </w:r>
      <w:r w:rsidRPr="00A73BE3">
        <w:rPr>
          <w:rFonts w:ascii="Arial" w:eastAsia="Arial" w:hAnsi="Arial" w:cs="Arial"/>
        </w:rPr>
        <w:t xml:space="preserve"> de los</w:t>
      </w:r>
      <w:r w:rsidRPr="00A73BE3">
        <w:rPr>
          <w:rFonts w:ascii="Arial" w:eastAsia="Arial" w:hAnsi="Arial" w:cs="Arial"/>
          <w:i/>
          <w:iCs/>
        </w:rPr>
        <w:t xml:space="preserve"> </w:t>
      </w:r>
      <w:r w:rsidRPr="001D4D97">
        <w:rPr>
          <w:rFonts w:ascii="Arial" w:eastAsia="Arial" w:hAnsi="Arial" w:cs="Arial"/>
          <w:i/>
          <w:iCs/>
        </w:rPr>
        <w:t>Lineamientos para el turno</w:t>
      </w:r>
      <w:r w:rsidR="001162DF">
        <w:rPr>
          <w:rFonts w:ascii="Arial" w:eastAsia="Arial" w:hAnsi="Arial" w:cs="Arial"/>
        </w:rPr>
        <w:t>,</w:t>
      </w:r>
      <w:r w:rsidRPr="00A73BE3">
        <w:rPr>
          <w:rFonts w:ascii="Arial" w:eastAsia="Arial" w:hAnsi="Arial" w:cs="Arial"/>
        </w:rPr>
        <w:t xml:space="preserve"> establece que </w:t>
      </w:r>
      <w:r>
        <w:rPr>
          <w:rFonts w:ascii="Arial" w:eastAsia="Arial" w:hAnsi="Arial" w:cs="Arial"/>
        </w:rPr>
        <w:t xml:space="preserve">cuando se advierta que entre dos o </w:t>
      </w:r>
      <w:r w:rsidRPr="00A73BE3">
        <w:rPr>
          <w:rFonts w:ascii="Arial" w:eastAsia="Arial" w:hAnsi="Arial" w:cs="Arial"/>
        </w:rPr>
        <w:t xml:space="preserve">más medios de impugnación existe conexidad en la causa, porque se controvierte el mismo acto o resolución, o bien, se aduzca respecto de actos o resoluciones similares, una misma pretensión y causa de pedir, y por economía </w:t>
      </w:r>
      <w:r w:rsidRPr="00A73BE3">
        <w:rPr>
          <w:rFonts w:ascii="Arial" w:eastAsia="Arial" w:hAnsi="Arial" w:cs="Arial"/>
        </w:rPr>
        <w:lastRenderedPageBreak/>
        <w:t xml:space="preserve">procesal se considere conveniente su estudio en una misma </w:t>
      </w:r>
      <w:r w:rsidR="001162DF">
        <w:rPr>
          <w:rFonts w:ascii="Arial" w:eastAsia="Arial" w:hAnsi="Arial" w:cs="Arial"/>
        </w:rPr>
        <w:t>p</w:t>
      </w:r>
      <w:r w:rsidRPr="00A73BE3">
        <w:rPr>
          <w:rFonts w:ascii="Arial" w:eastAsia="Arial" w:hAnsi="Arial" w:cs="Arial"/>
        </w:rPr>
        <w:t xml:space="preserve">onencia, la </w:t>
      </w:r>
      <w:r>
        <w:rPr>
          <w:rFonts w:ascii="Arial" w:eastAsia="Arial" w:hAnsi="Arial" w:cs="Arial"/>
        </w:rPr>
        <w:t>p</w:t>
      </w:r>
      <w:r w:rsidRPr="00A73BE3">
        <w:rPr>
          <w:rFonts w:ascii="Arial" w:eastAsia="Arial" w:hAnsi="Arial" w:cs="Arial"/>
        </w:rPr>
        <w:t xml:space="preserve">residencia turnará el o los expedientes mediante </w:t>
      </w:r>
      <w:r w:rsidR="001162DF" w:rsidRPr="00A73BE3">
        <w:rPr>
          <w:rFonts w:ascii="Arial" w:eastAsia="Arial" w:hAnsi="Arial" w:cs="Arial"/>
        </w:rPr>
        <w:t xml:space="preserve">acuerdo de turno y acumulación a la magistratura </w:t>
      </w:r>
      <w:r w:rsidRPr="00A73BE3">
        <w:rPr>
          <w:rFonts w:ascii="Arial" w:eastAsia="Arial" w:hAnsi="Arial" w:cs="Arial"/>
        </w:rPr>
        <w:t>que haya sido instructora en el primero de ellos.</w:t>
      </w:r>
      <w:r w:rsidR="001162DF" w:rsidRPr="001D4D97">
        <w:rPr>
          <w:rFonts w:ascii="Arial" w:eastAsia="Arial" w:hAnsi="Arial" w:cs="Arial"/>
          <w:vertAlign w:val="superscript"/>
        </w:rPr>
        <w:footnoteReference w:id="4"/>
      </w:r>
    </w:p>
    <w:p w14:paraId="114DD9A7" w14:textId="59A9D393" w:rsidR="00135315" w:rsidRPr="00A73BE3" w:rsidRDefault="00135315" w:rsidP="00135315">
      <w:pPr>
        <w:spacing w:before="280" w:after="280" w:line="360" w:lineRule="auto"/>
        <w:jc w:val="both"/>
        <w:rPr>
          <w:rFonts w:ascii="Arial" w:eastAsia="Arial" w:hAnsi="Arial" w:cs="Arial"/>
        </w:rPr>
      </w:pPr>
      <w:r w:rsidRPr="00A73BE3">
        <w:rPr>
          <w:rFonts w:ascii="Arial" w:eastAsia="Arial" w:hAnsi="Arial" w:cs="Arial"/>
        </w:rPr>
        <w:t xml:space="preserve">En el caso, del análisis del medio de impugnación se advierte que </w:t>
      </w:r>
      <w:r>
        <w:rPr>
          <w:rFonts w:ascii="Arial" w:eastAsia="Arial" w:hAnsi="Arial" w:cs="Arial"/>
        </w:rPr>
        <w:t>el</w:t>
      </w:r>
      <w:r w:rsidRPr="00A73BE3">
        <w:rPr>
          <w:rFonts w:ascii="Arial" w:eastAsia="Arial" w:hAnsi="Arial" w:cs="Arial"/>
        </w:rPr>
        <w:t xml:space="preserve"> promovente, en su calidad de </w:t>
      </w:r>
      <w:r>
        <w:rPr>
          <w:rFonts w:ascii="Arial" w:eastAsia="Arial" w:hAnsi="Arial" w:cs="Arial"/>
        </w:rPr>
        <w:t>ciudadano</w:t>
      </w:r>
      <w:r w:rsidRPr="00A73BE3">
        <w:rPr>
          <w:rFonts w:ascii="Arial" w:eastAsia="Arial" w:hAnsi="Arial" w:cs="Arial"/>
        </w:rPr>
        <w:t>, controvierte</w:t>
      </w:r>
      <w:r>
        <w:rPr>
          <w:rFonts w:ascii="Arial" w:eastAsia="Arial" w:hAnsi="Arial" w:cs="Arial"/>
        </w:rPr>
        <w:t xml:space="preserve"> el Acuerdo CG-A-14/26 del Consejo General del Instituto Estatal Electoral de Aguascalientes, por el que se expiden los </w:t>
      </w:r>
      <w:r w:rsidRPr="00DB2078">
        <w:rPr>
          <w:rFonts w:ascii="Arial" w:eastAsia="Arial" w:hAnsi="Arial" w:cs="Arial"/>
          <w:i/>
          <w:iCs/>
        </w:rPr>
        <w:t>“Lineamientos para garantizar la paridad de género en el proceso electoral concurrente 2026-2027 en Aguascalientes”</w:t>
      </w:r>
      <w:r>
        <w:rPr>
          <w:rFonts w:ascii="Arial" w:eastAsia="Arial" w:hAnsi="Arial" w:cs="Arial"/>
        </w:rPr>
        <w:t xml:space="preserve">. </w:t>
      </w:r>
      <w:r w:rsidRPr="00A73BE3">
        <w:rPr>
          <w:rFonts w:ascii="Arial" w:eastAsia="Arial" w:hAnsi="Arial" w:cs="Arial"/>
        </w:rPr>
        <w:t>Dicha cuestión guarda conexidad con el expediente TEEA-</w:t>
      </w:r>
      <w:r>
        <w:rPr>
          <w:rFonts w:ascii="Arial" w:eastAsia="Arial" w:hAnsi="Arial" w:cs="Arial"/>
        </w:rPr>
        <w:t>RAP-001/2026,</w:t>
      </w:r>
      <w:r w:rsidRPr="00A73BE3">
        <w:rPr>
          <w:rFonts w:ascii="Arial" w:eastAsia="Arial" w:hAnsi="Arial" w:cs="Arial"/>
        </w:rPr>
        <w:t xml:space="preserve"> que por razón de turno le tocó conocer a</w:t>
      </w:r>
      <w:r>
        <w:rPr>
          <w:rFonts w:ascii="Arial" w:eastAsia="Arial" w:hAnsi="Arial" w:cs="Arial"/>
        </w:rPr>
        <w:t xml:space="preserve"> la </w:t>
      </w:r>
      <w:r w:rsidR="001162DF">
        <w:rPr>
          <w:rFonts w:ascii="Arial" w:eastAsia="Arial" w:hAnsi="Arial" w:cs="Arial"/>
        </w:rPr>
        <w:t>m</w:t>
      </w:r>
      <w:r w:rsidRPr="00A73BE3">
        <w:rPr>
          <w:rFonts w:ascii="Arial" w:eastAsia="Arial" w:hAnsi="Arial" w:cs="Arial"/>
        </w:rPr>
        <w:t>agistrad</w:t>
      </w:r>
      <w:r>
        <w:rPr>
          <w:rFonts w:ascii="Arial" w:eastAsia="Arial" w:hAnsi="Arial" w:cs="Arial"/>
        </w:rPr>
        <w:t xml:space="preserve">a Laura Hortensia Llamas Hernández. </w:t>
      </w:r>
    </w:p>
    <w:p w14:paraId="4EB82B8F" w14:textId="1E2B181C" w:rsidR="00135315" w:rsidRPr="00135315" w:rsidRDefault="00135315" w:rsidP="00A73BE3">
      <w:pPr>
        <w:spacing w:before="280" w:after="280" w:line="360" w:lineRule="auto"/>
        <w:jc w:val="both"/>
        <w:rPr>
          <w:rFonts w:ascii="Arial" w:eastAsia="Arial" w:hAnsi="Arial" w:cs="Arial"/>
        </w:rPr>
      </w:pPr>
      <w:r w:rsidRPr="00A73BE3">
        <w:rPr>
          <w:rFonts w:ascii="Arial" w:eastAsia="Arial" w:hAnsi="Arial" w:cs="Arial"/>
        </w:rPr>
        <w:t xml:space="preserve">En consecuencia, con la finalidad de </w:t>
      </w:r>
      <w:r>
        <w:rPr>
          <w:rFonts w:ascii="Arial" w:eastAsia="Arial" w:hAnsi="Arial" w:cs="Arial"/>
        </w:rPr>
        <w:t>evitar el dictado de sentencias contradictorias</w:t>
      </w:r>
      <w:r w:rsidRPr="00A73BE3">
        <w:rPr>
          <w:rFonts w:ascii="Arial" w:eastAsia="Arial" w:hAnsi="Arial" w:cs="Arial"/>
        </w:rPr>
        <w:t xml:space="preserve">; con fundamento en los artículos 327 del </w:t>
      </w:r>
      <w:r w:rsidRPr="00A73BE3">
        <w:rPr>
          <w:rFonts w:ascii="Arial" w:eastAsia="Arial" w:hAnsi="Arial" w:cs="Arial"/>
          <w:i/>
          <w:iCs/>
        </w:rPr>
        <w:t>Código Electoral,</w:t>
      </w:r>
      <w:r w:rsidRPr="00A73BE3">
        <w:rPr>
          <w:rFonts w:ascii="Arial" w:eastAsia="Arial" w:hAnsi="Arial" w:cs="Arial"/>
        </w:rPr>
        <w:t xml:space="preserve"> último párrafo del artículo 216 del </w:t>
      </w:r>
      <w:r w:rsidRPr="00A73BE3">
        <w:rPr>
          <w:rFonts w:ascii="Arial" w:eastAsia="Arial" w:hAnsi="Arial" w:cs="Arial"/>
          <w:i/>
          <w:iCs/>
        </w:rPr>
        <w:t>Reglamento Interior</w:t>
      </w:r>
      <w:r w:rsidRPr="00A73BE3">
        <w:rPr>
          <w:rFonts w:ascii="Arial" w:eastAsia="Arial" w:hAnsi="Arial" w:cs="Arial"/>
        </w:rPr>
        <w:t xml:space="preserve">, así como el artículo </w:t>
      </w:r>
      <w:r>
        <w:rPr>
          <w:rFonts w:ascii="Arial" w:eastAsia="Arial" w:hAnsi="Arial" w:cs="Arial"/>
        </w:rPr>
        <w:t>9</w:t>
      </w:r>
      <w:r w:rsidRPr="00A73BE3">
        <w:rPr>
          <w:rFonts w:ascii="Arial" w:eastAsia="Arial" w:hAnsi="Arial" w:cs="Arial"/>
        </w:rPr>
        <w:t xml:space="preserve"> de los </w:t>
      </w:r>
      <w:r w:rsidRPr="00A73BE3">
        <w:rPr>
          <w:rFonts w:ascii="Arial" w:eastAsia="Arial" w:hAnsi="Arial" w:cs="Arial"/>
          <w:i/>
          <w:iCs/>
        </w:rPr>
        <w:t xml:space="preserve">Lineamientos para el turno, </w:t>
      </w:r>
      <w:r w:rsidRPr="0062118D">
        <w:rPr>
          <w:rFonts w:ascii="Arial" w:eastAsia="Arial" w:hAnsi="Arial" w:cs="Arial"/>
          <w:b/>
          <w:bCs/>
        </w:rPr>
        <w:t>acumúlese el presente expediente al referido TEEA-RAP-001/2026</w:t>
      </w:r>
      <w:r w:rsidRPr="00A73BE3">
        <w:rPr>
          <w:rFonts w:ascii="Arial" w:eastAsia="Arial" w:hAnsi="Arial" w:cs="Arial"/>
        </w:rPr>
        <w:t>, por ser éste el primero en recibirse y registrarse en este Tribunal Electoral.</w:t>
      </w:r>
      <w:r w:rsidRPr="00A73BE3">
        <w:rPr>
          <w:rFonts w:ascii="Arial" w:eastAsia="Arial" w:hAnsi="Arial" w:cs="Arial"/>
          <w:vertAlign w:val="superscript"/>
        </w:rPr>
        <w:footnoteReference w:id="5"/>
      </w:r>
    </w:p>
    <w:p w14:paraId="1AC79771" w14:textId="05915233" w:rsidR="00C6541D" w:rsidRPr="00A73BE3" w:rsidRDefault="00135315" w:rsidP="00A73BE3">
      <w:pPr>
        <w:spacing w:before="280" w:after="280" w:line="360" w:lineRule="auto"/>
        <w:jc w:val="both"/>
        <w:rPr>
          <w:rFonts w:ascii="Arial" w:eastAsia="Arial" w:hAnsi="Arial" w:cs="Arial"/>
        </w:rPr>
      </w:pPr>
      <w:r>
        <w:rPr>
          <w:rFonts w:ascii="Arial" w:eastAsia="Arial" w:hAnsi="Arial" w:cs="Arial"/>
          <w:b/>
        </w:rPr>
        <w:t>CUARTO</w:t>
      </w:r>
      <w:r w:rsidR="00C6541D" w:rsidRPr="00C6541D">
        <w:rPr>
          <w:rFonts w:ascii="Arial" w:eastAsia="Arial" w:hAnsi="Arial" w:cs="Arial"/>
          <w:b/>
        </w:rPr>
        <w:t>.</w:t>
      </w:r>
      <w:r w:rsidR="00C6541D" w:rsidRPr="00C6541D">
        <w:rPr>
          <w:rFonts w:ascii="Arial" w:eastAsia="Arial" w:hAnsi="Arial" w:cs="Arial"/>
        </w:rPr>
        <w:t xml:space="preserve"> </w:t>
      </w:r>
      <w:r w:rsidR="00C6541D" w:rsidRPr="00C6541D">
        <w:rPr>
          <w:rFonts w:ascii="Arial" w:eastAsia="Arial" w:hAnsi="Arial" w:cs="Arial"/>
          <w:b/>
        </w:rPr>
        <w:t xml:space="preserve">Turno. </w:t>
      </w:r>
      <w:r w:rsidR="00C6541D" w:rsidRPr="00C6541D">
        <w:rPr>
          <w:rFonts w:ascii="Arial" w:eastAsia="Arial" w:hAnsi="Arial" w:cs="Arial"/>
        </w:rPr>
        <w:t xml:space="preserve">Por lo expuesto y con fundamento en los artículos </w:t>
      </w:r>
      <w:r w:rsidR="00C6541D" w:rsidRPr="00332DFC">
        <w:rPr>
          <w:rFonts w:ascii="Arial" w:eastAsia="Arial" w:hAnsi="Arial" w:cs="Arial"/>
        </w:rPr>
        <w:t xml:space="preserve">3, 4 y </w:t>
      </w:r>
      <w:r w:rsidR="0062118D">
        <w:rPr>
          <w:rFonts w:ascii="Arial" w:eastAsia="Arial" w:hAnsi="Arial" w:cs="Arial"/>
        </w:rPr>
        <w:t>9</w:t>
      </w:r>
      <w:r w:rsidR="00C6541D" w:rsidRPr="00C6541D">
        <w:rPr>
          <w:rFonts w:ascii="Arial" w:eastAsia="Arial" w:hAnsi="Arial" w:cs="Arial"/>
        </w:rPr>
        <w:t xml:space="preserve"> de los </w:t>
      </w:r>
      <w:r w:rsidR="00C6541D" w:rsidRPr="00C6541D">
        <w:rPr>
          <w:rFonts w:ascii="Arial" w:eastAsia="Arial" w:hAnsi="Arial" w:cs="Arial"/>
          <w:i/>
          <w:iCs/>
        </w:rPr>
        <w:t>Lineamientos para el turno</w:t>
      </w:r>
      <w:r w:rsidR="00C6541D" w:rsidRPr="00C6541D">
        <w:rPr>
          <w:rFonts w:ascii="Arial" w:eastAsia="Arial" w:hAnsi="Arial" w:cs="Arial"/>
        </w:rPr>
        <w:t>, túrnese los autos a la ponencia de</w:t>
      </w:r>
      <w:r w:rsidR="00DB2078">
        <w:rPr>
          <w:rFonts w:ascii="Arial" w:eastAsia="Arial" w:hAnsi="Arial" w:cs="Arial"/>
        </w:rPr>
        <w:t xml:space="preserve"> </w:t>
      </w:r>
      <w:r w:rsidR="00C6541D" w:rsidRPr="00C6541D">
        <w:rPr>
          <w:rFonts w:ascii="Arial" w:eastAsia="Arial" w:hAnsi="Arial" w:cs="Arial"/>
        </w:rPr>
        <w:t>l</w:t>
      </w:r>
      <w:r w:rsidR="00DB2078">
        <w:rPr>
          <w:rFonts w:ascii="Arial" w:eastAsia="Arial" w:hAnsi="Arial" w:cs="Arial"/>
        </w:rPr>
        <w:t>a</w:t>
      </w:r>
      <w:r w:rsidR="00C6541D" w:rsidRPr="00C6541D">
        <w:rPr>
          <w:rFonts w:ascii="Arial" w:eastAsia="Arial" w:hAnsi="Arial" w:cs="Arial"/>
        </w:rPr>
        <w:t xml:space="preserve"> </w:t>
      </w:r>
      <w:r w:rsidR="002F2E67" w:rsidRPr="002F2E67">
        <w:rPr>
          <w:rFonts w:ascii="Arial" w:eastAsia="Arial" w:hAnsi="Arial" w:cs="Arial"/>
          <w:b/>
          <w:bCs/>
        </w:rPr>
        <w:t>m</w:t>
      </w:r>
      <w:r w:rsidR="00C6541D" w:rsidRPr="002F2E67">
        <w:rPr>
          <w:rFonts w:ascii="Arial" w:eastAsia="Arial" w:hAnsi="Arial" w:cs="Arial"/>
          <w:b/>
          <w:bCs/>
        </w:rPr>
        <w:t>agistrad</w:t>
      </w:r>
      <w:r w:rsidR="00DB2078">
        <w:rPr>
          <w:rFonts w:ascii="Arial" w:eastAsia="Arial" w:hAnsi="Arial" w:cs="Arial"/>
          <w:b/>
          <w:bCs/>
        </w:rPr>
        <w:t>a</w:t>
      </w:r>
      <w:r w:rsidR="00C6541D" w:rsidRPr="002F2E67">
        <w:rPr>
          <w:rFonts w:ascii="Arial" w:eastAsia="Arial" w:hAnsi="Arial" w:cs="Arial"/>
          <w:b/>
          <w:bCs/>
        </w:rPr>
        <w:t xml:space="preserve"> </w:t>
      </w:r>
      <w:r w:rsidR="00DB2078">
        <w:rPr>
          <w:rFonts w:ascii="Arial" w:eastAsia="Arial" w:hAnsi="Arial" w:cs="Arial"/>
          <w:b/>
          <w:bCs/>
        </w:rPr>
        <w:t>Laura Hortensia Llamas Hernández</w:t>
      </w:r>
      <w:r w:rsidR="00901F16" w:rsidRPr="00901F16">
        <w:rPr>
          <w:rFonts w:ascii="Arial" w:eastAsia="Arial" w:hAnsi="Arial" w:cs="Arial"/>
        </w:rPr>
        <w:t>,</w:t>
      </w:r>
      <w:r w:rsidR="00901F16">
        <w:rPr>
          <w:rFonts w:ascii="Arial" w:eastAsia="Arial" w:hAnsi="Arial" w:cs="Arial"/>
          <w:b/>
          <w:bCs/>
        </w:rPr>
        <w:t xml:space="preserve"> </w:t>
      </w:r>
      <w:r w:rsidR="00901F16" w:rsidRPr="009811BC">
        <w:rPr>
          <w:rFonts w:ascii="Arial" w:eastAsia="Arial" w:hAnsi="Arial" w:cs="Arial"/>
        </w:rPr>
        <w:t xml:space="preserve">para los efectos previstos en los artículos 313 del del Código Electoral y; </w:t>
      </w:r>
      <w:r w:rsidR="00396B39">
        <w:rPr>
          <w:rFonts w:ascii="Arial" w:eastAsia="Arial" w:hAnsi="Arial" w:cs="Arial"/>
        </w:rPr>
        <w:t>229</w:t>
      </w:r>
      <w:r w:rsidR="00901F16" w:rsidRPr="009811BC">
        <w:rPr>
          <w:rFonts w:ascii="Arial" w:eastAsia="Arial" w:hAnsi="Arial" w:cs="Arial"/>
        </w:rPr>
        <w:t xml:space="preserve"> del Reglamento Interior</w:t>
      </w:r>
      <w:r w:rsidR="00396B39">
        <w:rPr>
          <w:rFonts w:ascii="Arial" w:eastAsia="Arial" w:hAnsi="Arial" w:cs="Arial"/>
        </w:rPr>
        <w:t>.</w:t>
      </w:r>
    </w:p>
    <w:bookmarkEnd w:id="0"/>
    <w:p w14:paraId="0BEEB1FE" w14:textId="625346BD" w:rsidR="0062118D" w:rsidRPr="00F45987" w:rsidRDefault="0062118D" w:rsidP="0062118D">
      <w:pPr>
        <w:spacing w:before="280" w:after="280" w:line="360" w:lineRule="auto"/>
        <w:jc w:val="both"/>
        <w:rPr>
          <w:rFonts w:ascii="Arial" w:eastAsia="Arial" w:hAnsi="Arial" w:cs="Arial"/>
          <w:bCs/>
          <w:sz w:val="23"/>
          <w:szCs w:val="23"/>
        </w:rPr>
      </w:pPr>
      <w:r w:rsidRPr="00F45987">
        <w:rPr>
          <w:rFonts w:ascii="Arial" w:eastAsia="Arial" w:hAnsi="Arial" w:cs="Arial"/>
          <w:b/>
          <w:sz w:val="23"/>
          <w:szCs w:val="23"/>
        </w:rPr>
        <w:t xml:space="preserve">QUINTO. </w:t>
      </w:r>
      <w:bookmarkStart w:id="1" w:name="_Hlk191655970"/>
      <w:r w:rsidRPr="00F45987">
        <w:rPr>
          <w:rFonts w:ascii="Arial" w:eastAsia="Arial" w:hAnsi="Arial" w:cs="Arial"/>
          <w:b/>
          <w:sz w:val="23"/>
          <w:szCs w:val="23"/>
        </w:rPr>
        <w:t xml:space="preserve">Remisión del expediente. </w:t>
      </w:r>
      <w:bookmarkStart w:id="2" w:name="_Hlk231565752"/>
      <w:r w:rsidRPr="00F45987">
        <w:rPr>
          <w:rFonts w:ascii="Arial" w:eastAsia="Arial" w:hAnsi="Arial" w:cs="Arial"/>
          <w:sz w:val="23"/>
          <w:szCs w:val="23"/>
        </w:rPr>
        <w:t>Se</w:t>
      </w:r>
      <w:r w:rsidRPr="00F45987">
        <w:rPr>
          <w:rFonts w:ascii="Arial" w:eastAsia="Arial" w:hAnsi="Arial" w:cs="Arial"/>
          <w:b/>
          <w:sz w:val="23"/>
          <w:szCs w:val="23"/>
        </w:rPr>
        <w:t xml:space="preserve"> ordena remitir</w:t>
      </w:r>
      <w:r w:rsidRPr="00F45987">
        <w:rPr>
          <w:rFonts w:ascii="Arial" w:eastAsia="Arial" w:hAnsi="Arial" w:cs="Arial"/>
          <w:bCs/>
          <w:sz w:val="23"/>
          <w:szCs w:val="23"/>
        </w:rPr>
        <w:t xml:space="preserve"> el expediente </w:t>
      </w:r>
      <w:r w:rsidRPr="00F45987">
        <w:rPr>
          <w:rFonts w:ascii="Arial" w:eastAsia="Arial" w:hAnsi="Arial" w:cs="Arial"/>
          <w:b/>
          <w:sz w:val="23"/>
          <w:szCs w:val="23"/>
        </w:rPr>
        <w:t>TEEA-</w:t>
      </w:r>
      <w:bookmarkEnd w:id="1"/>
      <w:r>
        <w:rPr>
          <w:rFonts w:ascii="Arial" w:eastAsia="Arial" w:hAnsi="Arial" w:cs="Arial"/>
          <w:b/>
          <w:sz w:val="23"/>
          <w:szCs w:val="23"/>
        </w:rPr>
        <w:t>RAP</w:t>
      </w:r>
      <w:r w:rsidRPr="00F45987">
        <w:rPr>
          <w:rFonts w:ascii="Arial" w:eastAsia="Arial" w:hAnsi="Arial" w:cs="Arial"/>
          <w:b/>
          <w:sz w:val="23"/>
          <w:szCs w:val="23"/>
        </w:rPr>
        <w:t>-00</w:t>
      </w:r>
      <w:r w:rsidR="001D4D97">
        <w:rPr>
          <w:rFonts w:ascii="Arial" w:eastAsia="Arial" w:hAnsi="Arial" w:cs="Arial"/>
          <w:b/>
          <w:sz w:val="23"/>
          <w:szCs w:val="23"/>
        </w:rPr>
        <w:t>4</w:t>
      </w:r>
      <w:r w:rsidRPr="00F45987">
        <w:rPr>
          <w:rFonts w:ascii="Arial" w:eastAsia="Arial" w:hAnsi="Arial" w:cs="Arial"/>
          <w:b/>
          <w:sz w:val="23"/>
          <w:szCs w:val="23"/>
        </w:rPr>
        <w:t xml:space="preserve">/2026 acumulado al TEEA-RAP-001/2026, </w:t>
      </w:r>
      <w:r w:rsidRPr="00F45987">
        <w:rPr>
          <w:rFonts w:ascii="Arial" w:eastAsia="Arial" w:hAnsi="Arial" w:cs="Arial"/>
          <w:bCs/>
          <w:sz w:val="23"/>
          <w:szCs w:val="23"/>
        </w:rPr>
        <w:t xml:space="preserve">a la ponencia instructora a cargo de la magistrada Laura Hortensia Llamas Hernández. </w:t>
      </w:r>
      <w:bookmarkEnd w:id="2"/>
    </w:p>
    <w:p w14:paraId="04893196" w14:textId="6B0B289D" w:rsidR="00AD3748" w:rsidRPr="00AD3748" w:rsidRDefault="00DC4255" w:rsidP="00901F16">
      <w:pPr>
        <w:spacing w:before="280" w:after="280" w:line="360" w:lineRule="auto"/>
        <w:jc w:val="both"/>
        <w:rPr>
          <w:rFonts w:ascii="Arial" w:eastAsia="Arial" w:hAnsi="Arial" w:cs="Arial"/>
          <w:bCs/>
        </w:rPr>
      </w:pPr>
      <w:r w:rsidRPr="00DC4255">
        <w:rPr>
          <w:rFonts w:ascii="Arial" w:eastAsia="Arial" w:hAnsi="Arial" w:cs="Arial"/>
          <w:bCs/>
        </w:rPr>
        <w:t>Hágase la publicación del presente acuerdo en los estrados físicos y electrónicos de este Tribunal.</w:t>
      </w:r>
    </w:p>
    <w:p w14:paraId="513B4C8D" w14:textId="17243069" w:rsidR="00AD3748" w:rsidRPr="00CA065B" w:rsidRDefault="000E74DC" w:rsidP="00CA065B">
      <w:pPr>
        <w:spacing w:before="280" w:after="280" w:line="360" w:lineRule="auto"/>
        <w:jc w:val="both"/>
        <w:rPr>
          <w:rFonts w:ascii="Arial" w:eastAsia="Arial" w:hAnsi="Arial" w:cs="Arial"/>
        </w:rPr>
      </w:pPr>
      <w:r w:rsidRPr="009811BC">
        <w:rPr>
          <w:rFonts w:ascii="Arial" w:eastAsia="Arial" w:hAnsi="Arial" w:cs="Arial"/>
          <w:b/>
        </w:rPr>
        <w:t xml:space="preserve">NOTIFÍQUESE. </w:t>
      </w:r>
    </w:p>
    <w:p w14:paraId="05F827E4" w14:textId="7DAEEF7F" w:rsidR="001162DF" w:rsidRPr="005E356C" w:rsidRDefault="000E74DC" w:rsidP="00873DDB">
      <w:pPr>
        <w:spacing w:after="280" w:line="360" w:lineRule="auto"/>
        <w:jc w:val="both"/>
        <w:rPr>
          <w:rFonts w:ascii="Arial" w:eastAsia="Arial" w:hAnsi="Arial" w:cs="Arial"/>
        </w:rPr>
      </w:pPr>
      <w:r w:rsidRPr="009811BC">
        <w:rPr>
          <w:rFonts w:ascii="Arial" w:eastAsia="Arial" w:hAnsi="Arial" w:cs="Arial"/>
        </w:rPr>
        <w:t xml:space="preserve">Así lo acordó y firma la </w:t>
      </w:r>
      <w:r w:rsidR="00396B39">
        <w:rPr>
          <w:rFonts w:ascii="Arial" w:eastAsia="Arial" w:hAnsi="Arial" w:cs="Arial"/>
        </w:rPr>
        <w:t>m</w:t>
      </w:r>
      <w:r w:rsidRPr="009811BC">
        <w:rPr>
          <w:rFonts w:ascii="Arial" w:eastAsia="Arial" w:hAnsi="Arial" w:cs="Arial"/>
        </w:rPr>
        <w:t xml:space="preserve">agistrada </w:t>
      </w:r>
      <w:r w:rsidR="00396B39"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396B39" w:rsidRPr="009811BC">
        <w:rPr>
          <w:rFonts w:ascii="Arial" w:eastAsia="Arial" w:hAnsi="Arial" w:cs="Arial"/>
        </w:rPr>
        <w:t>secretaria general</w:t>
      </w:r>
      <w:r w:rsidRPr="009811BC">
        <w:rPr>
          <w:rFonts w:ascii="Arial" w:eastAsia="Arial" w:hAnsi="Arial" w:cs="Arial"/>
        </w:rPr>
        <w:t xml:space="preserve"> de </w:t>
      </w:r>
      <w:r w:rsidR="00396B39">
        <w:rPr>
          <w:rFonts w:ascii="Arial" w:eastAsia="Arial" w:hAnsi="Arial" w:cs="Arial"/>
        </w:rPr>
        <w:t>a</w:t>
      </w:r>
      <w:r w:rsidRPr="009811BC">
        <w:rPr>
          <w:rFonts w:ascii="Arial" w:eastAsia="Arial" w:hAnsi="Arial" w:cs="Arial"/>
        </w:rPr>
        <w:t xml:space="preserve">cuerdos en funciones, </w:t>
      </w:r>
      <w:r w:rsidR="00BF5B29">
        <w:rPr>
          <w:rFonts w:ascii="Arial" w:eastAsia="Arial" w:hAnsi="Arial" w:cs="Arial"/>
        </w:rPr>
        <w:t>quien</w:t>
      </w:r>
      <w:r w:rsidRPr="009811BC">
        <w:rPr>
          <w:rFonts w:ascii="Arial" w:eastAsia="Arial" w:hAnsi="Arial" w:cs="Arial"/>
        </w:rPr>
        <w:t xml:space="preserve"> da fe.</w:t>
      </w:r>
      <w:r w:rsidR="00C86AC3" w:rsidRPr="00C86AC3">
        <w:rPr>
          <w:noProof/>
        </w:rPr>
        <w:t xml:space="preserve"> </w:t>
      </w:r>
    </w:p>
    <w:p w14:paraId="1C1EFD65" w14:textId="77777777" w:rsidR="001162DF" w:rsidRPr="005E356C" w:rsidRDefault="001162DF"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1B29C71-9E5B-4500-BBF5-1FE9E7AA9327}"/>
    <w:embedBold r:id="rId2" w:fontKey="{161EE3F7-970A-4590-9BE1-A13722C5550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A2FFBE0B-0DBD-4E21-8D5F-13691D4D83CB}"/>
  </w:font>
  <w:font w:name="Georgia">
    <w:panose1 w:val="02040502050405020303"/>
    <w:charset w:val="00"/>
    <w:family w:val="roman"/>
    <w:pitch w:val="variable"/>
    <w:sig w:usb0="00000287" w:usb1="00000000" w:usb2="00000000" w:usb3="00000000" w:csb0="0000009F" w:csb1="00000000"/>
    <w:embedRegular r:id="rId4" w:fontKey="{704F478C-014C-4D6F-B71E-7BA00F021DA9}"/>
    <w:embedItalic r:id="rId5" w:fontKey="{C2ED1CC3-3718-4FE3-9194-F2D29CA3D263}"/>
  </w:font>
  <w:font w:name="Calibri Light">
    <w:panose1 w:val="020F0302020204030204"/>
    <w:charset w:val="00"/>
    <w:family w:val="swiss"/>
    <w:pitch w:val="variable"/>
    <w:sig w:usb0="E4002EFF" w:usb1="C000247B" w:usb2="00000009" w:usb3="00000000" w:csb0="000001FF" w:csb1="00000000"/>
    <w:embedRegular r:id="rId6" w:fontKey="{0B5F14B8-86BE-4F1A-B456-0F68D8B0EA25}"/>
  </w:font>
  <w:font w:name="Century Gothic">
    <w:panose1 w:val="020B0502020202020204"/>
    <w:charset w:val="00"/>
    <w:family w:val="swiss"/>
    <w:pitch w:val="variable"/>
    <w:sig w:usb0="00000287" w:usb1="00000000" w:usb2="00000000" w:usb3="00000000" w:csb0="0000009F" w:csb1="00000000"/>
    <w:embedRegular r:id="rId7" w:fontKey="{DA113C1B-BA99-4410-8D00-C9E5F35609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7777777" w:rsidR="004304DC" w:rsidRDefault="004304DC" w:rsidP="004304DC">
      <w:pPr>
        <w:pStyle w:val="Textonotapie"/>
      </w:pPr>
      <w:r>
        <w:rPr>
          <w:rStyle w:val="Refdenotaalpie"/>
        </w:rPr>
        <w:footnoteRef/>
      </w:r>
      <w:r>
        <w:t xml:space="preserve"> </w:t>
      </w:r>
      <w:r w:rsidRPr="00396B39">
        <w:rPr>
          <w:rFonts w:ascii="Arial" w:hAnsi="Arial" w:cs="Arial"/>
        </w:rPr>
        <w:t>En delante, Código Electoral.</w:t>
      </w:r>
    </w:p>
  </w:footnote>
  <w:footnote w:id="2">
    <w:p w14:paraId="34782E04"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 Interior.</w:t>
      </w:r>
    </w:p>
  </w:footnote>
  <w:footnote w:id="3">
    <w:p w14:paraId="018A1F55" w14:textId="319008D0" w:rsidR="004304DC" w:rsidRDefault="004304DC" w:rsidP="004304DC">
      <w:pPr>
        <w:pStyle w:val="Textonotapie"/>
      </w:pPr>
      <w:r>
        <w:rPr>
          <w:rStyle w:val="Refdenotaalpie"/>
        </w:rPr>
        <w:footnoteRef/>
      </w:r>
      <w:r>
        <w:t xml:space="preserve"> </w:t>
      </w:r>
      <w:r w:rsidRPr="00396B39">
        <w:rPr>
          <w:rFonts w:ascii="Arial" w:hAnsi="Arial" w:cs="Arial"/>
        </w:rPr>
        <w:t xml:space="preserve">En delante, </w:t>
      </w:r>
      <w:r w:rsidR="00873DDB">
        <w:rPr>
          <w:rFonts w:ascii="Arial" w:hAnsi="Arial" w:cs="Arial"/>
        </w:rPr>
        <w:t>Lineamientos</w:t>
      </w:r>
      <w:r w:rsidRPr="00396B39">
        <w:rPr>
          <w:rFonts w:ascii="Arial" w:hAnsi="Arial" w:cs="Arial"/>
        </w:rPr>
        <w:t xml:space="preserve"> para el turno.</w:t>
      </w:r>
      <w:r>
        <w:t xml:space="preserve"> </w:t>
      </w:r>
    </w:p>
  </w:footnote>
  <w:footnote w:id="4">
    <w:p w14:paraId="6C60D1C1" w14:textId="77777777" w:rsidR="001162DF" w:rsidRDefault="001162DF" w:rsidP="001162DF">
      <w:pPr>
        <w:pStyle w:val="Textonotapie"/>
        <w:rPr>
          <w:rFonts w:ascii="Arial" w:hAnsi="Arial" w:cs="Arial"/>
        </w:rPr>
      </w:pPr>
    </w:p>
  </w:footnote>
  <w:footnote w:id="5">
    <w:p w14:paraId="3AE9C989" w14:textId="77777777" w:rsidR="00135315" w:rsidRDefault="00135315" w:rsidP="00135315">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1D4D97">
        <w:rPr>
          <w:rFonts w:ascii="Arial" w:hAnsi="Arial" w:cs="Arial"/>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CA04E5">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3905836F" w:rsidR="008702F5" w:rsidRDefault="008702F5" w:rsidP="0062118D">
    <w:pPr>
      <w:pBdr>
        <w:top w:val="nil"/>
        <w:left w:val="nil"/>
        <w:bottom w:val="nil"/>
        <w:right w:val="nil"/>
        <w:between w:val="nil"/>
      </w:pBdr>
      <w:tabs>
        <w:tab w:val="center" w:pos="4419"/>
        <w:tab w:val="right" w:pos="8505"/>
      </w:tabs>
      <w:spacing w:after="0" w:line="240" w:lineRule="auto"/>
      <w:ind w:left="2694"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ACUMULACIÓN,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D21CFA2" w:rsidR="005828B2" w:rsidRDefault="000E74DC" w:rsidP="0062118D">
    <w:pPr>
      <w:pBdr>
        <w:top w:val="nil"/>
        <w:left w:val="nil"/>
        <w:bottom w:val="nil"/>
        <w:right w:val="nil"/>
        <w:between w:val="nil"/>
      </w:pBdr>
      <w:tabs>
        <w:tab w:val="left" w:pos="4111"/>
        <w:tab w:val="center" w:pos="4419"/>
        <w:tab w:val="right" w:pos="8505"/>
      </w:tabs>
      <w:spacing w:after="0" w:line="240" w:lineRule="auto"/>
      <w:ind w:left="2835"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 xml:space="preserve">RECEPCIÓN DE CONSTANCIAS, </w:t>
    </w:r>
    <w:r w:rsidR="00CB1FCD">
      <w:rPr>
        <w:rFonts w:ascii="Arial" w:eastAsia="Arial" w:hAnsi="Arial" w:cs="Arial"/>
        <w:b/>
        <w:color w:val="000000"/>
      </w:rPr>
      <w:t xml:space="preserve">ACUMULACIÓN,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C17"/>
    <w:rsid w:val="00064203"/>
    <w:rsid w:val="000840D2"/>
    <w:rsid w:val="00086531"/>
    <w:rsid w:val="0009243C"/>
    <w:rsid w:val="000A1F37"/>
    <w:rsid w:val="000B007A"/>
    <w:rsid w:val="000B398B"/>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C025B"/>
    <w:rsid w:val="001D0E82"/>
    <w:rsid w:val="001D15B4"/>
    <w:rsid w:val="001D3D55"/>
    <w:rsid w:val="001D4D97"/>
    <w:rsid w:val="001E48A2"/>
    <w:rsid w:val="0021207F"/>
    <w:rsid w:val="002138B1"/>
    <w:rsid w:val="0021744C"/>
    <w:rsid w:val="00220D30"/>
    <w:rsid w:val="0023041D"/>
    <w:rsid w:val="0023351B"/>
    <w:rsid w:val="0023722B"/>
    <w:rsid w:val="00241D3A"/>
    <w:rsid w:val="00243179"/>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96B39"/>
    <w:rsid w:val="00397ADE"/>
    <w:rsid w:val="003C3D0C"/>
    <w:rsid w:val="003D2D82"/>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D21DB"/>
    <w:rsid w:val="005E36B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70059B"/>
    <w:rsid w:val="0070474A"/>
    <w:rsid w:val="00744962"/>
    <w:rsid w:val="00750323"/>
    <w:rsid w:val="007507BF"/>
    <w:rsid w:val="00757EE5"/>
    <w:rsid w:val="007633AB"/>
    <w:rsid w:val="00790746"/>
    <w:rsid w:val="007A1B99"/>
    <w:rsid w:val="007A3571"/>
    <w:rsid w:val="007A39DB"/>
    <w:rsid w:val="007B27E3"/>
    <w:rsid w:val="007B6C7C"/>
    <w:rsid w:val="007C00AE"/>
    <w:rsid w:val="007C71FB"/>
    <w:rsid w:val="007C7E28"/>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C2C8A"/>
    <w:rsid w:val="009C3126"/>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4E5"/>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665</Words>
  <Characters>3663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10</cp:revision>
  <cp:lastPrinted>2026-06-09T16:10:00Z</cp:lastPrinted>
  <dcterms:created xsi:type="dcterms:W3CDTF">2026-06-03T02:03:00Z</dcterms:created>
  <dcterms:modified xsi:type="dcterms:W3CDTF">2026-06-09T16:13:00Z</dcterms:modified>
</cp:coreProperties>
</file>