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B648F" w14:textId="77777777" w:rsidR="009A1271" w:rsidRDefault="00000000">
      <w:pPr>
        <w:widowControl w:val="0"/>
        <w:pBdr>
          <w:top w:val="nil"/>
          <w:left w:val="nil"/>
          <w:bottom w:val="nil"/>
          <w:right w:val="nil"/>
          <w:between w:val="nil"/>
        </w:pBdr>
        <w:spacing w:line="276" w:lineRule="auto"/>
        <w:ind w:left="3816" w:firstLine="720"/>
        <w:rPr>
          <w:rFonts w:ascii="Arial" w:eastAsia="Arial" w:hAnsi="Arial" w:cs="Arial"/>
          <w:b/>
          <w:sz w:val="24"/>
          <w:szCs w:val="24"/>
        </w:rPr>
      </w:pPr>
      <w:r>
        <w:rPr>
          <w:rFonts w:ascii="Arial" w:eastAsia="Arial" w:hAnsi="Arial" w:cs="Arial"/>
          <w:b/>
          <w:sz w:val="24"/>
          <w:szCs w:val="24"/>
        </w:rPr>
        <w:t>RECURSO DE APELACIÓN.</w:t>
      </w:r>
      <w:r>
        <w:rPr>
          <w:noProof/>
        </w:rPr>
        <mc:AlternateContent>
          <mc:Choice Requires="wps">
            <w:drawing>
              <wp:anchor distT="0" distB="0" distL="114300" distR="114300" simplePos="0" relativeHeight="251658240" behindDoc="0" locked="0" layoutInCell="1" hidden="0" allowOverlap="1" wp14:anchorId="1D67A054" wp14:editId="2B7E7263">
                <wp:simplePos x="0" y="0"/>
                <wp:positionH relativeFrom="column">
                  <wp:posOffset>1</wp:posOffset>
                </wp:positionH>
                <wp:positionV relativeFrom="paragraph">
                  <wp:posOffset>0</wp:posOffset>
                </wp:positionV>
                <wp:extent cx="644525" cy="644525"/>
                <wp:effectExtent l="0" t="0" r="0" b="0"/>
                <wp:wrapNone/>
                <wp:docPr id="13" name="Rectángulo 13"/>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130205E1" w14:textId="77777777" w:rsidR="009A1271" w:rsidRDefault="009A1271">
                            <w:pPr>
                              <w:textDirection w:val="btLr"/>
                            </w:pPr>
                          </w:p>
                        </w:txbxContent>
                      </wps:txbx>
                      <wps:bodyPr spcFirstLastPara="1" wrap="square" lIns="91425" tIns="91425" rIns="91425" bIns="91425" anchor="ctr" anchorCtr="0">
                        <a:noAutofit/>
                      </wps:bodyPr>
                    </wps:wsp>
                  </a:graphicData>
                </a:graphic>
              </wp:anchor>
            </w:drawing>
          </mc:Choice>
          <mc:Fallback>
            <w:pict>
              <v:rect w14:anchorId="1D67A054" id="Rectángulo 13" o:spid="_x0000_s1026" style="position:absolute;left:0;text-align:left;margin-left:0;margin-top:0;width:50.75pt;height:5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" filled="f" stroked="f">
                <v:textbox inset="2.53958mm,2.53958mm,2.53958mm,2.53958mm">
                  <w:txbxContent>
                    <w:p w14:paraId="130205E1" w14:textId="77777777" w:rsidR="009A1271" w:rsidRDefault="009A1271">
                      <w:pPr>
                        <w:textDirection w:val="btLr"/>
                      </w:pPr>
                    </w:p>
                  </w:txbxContent>
                </v:textbox>
              </v:rect>
            </w:pict>
          </mc:Fallback>
        </mc:AlternateContent>
      </w:r>
    </w:p>
    <w:p w14:paraId="447D9139" w14:textId="77777777" w:rsidR="009A1271" w:rsidRDefault="009A1271">
      <w:pPr>
        <w:pBdr>
          <w:top w:val="nil"/>
          <w:left w:val="nil"/>
          <w:bottom w:val="nil"/>
          <w:right w:val="nil"/>
          <w:between w:val="nil"/>
        </w:pBdr>
        <w:rPr>
          <w:color w:val="000000"/>
          <w:sz w:val="14"/>
          <w:szCs w:val="14"/>
        </w:rPr>
      </w:pPr>
    </w:p>
    <w:p w14:paraId="2039184B" w14:textId="77777777" w:rsidR="009A1271" w:rsidRDefault="00000000">
      <w:pPr>
        <w:ind w:left="4536"/>
        <w:jc w:val="both"/>
        <w:rPr>
          <w:rFonts w:ascii="Arial" w:eastAsia="Arial" w:hAnsi="Arial" w:cs="Arial"/>
          <w:sz w:val="24"/>
          <w:szCs w:val="24"/>
        </w:rPr>
      </w:pPr>
      <w:r>
        <w:rPr>
          <w:rFonts w:ascii="Arial" w:eastAsia="Arial" w:hAnsi="Arial" w:cs="Arial"/>
          <w:b/>
          <w:sz w:val="24"/>
          <w:szCs w:val="24"/>
        </w:rPr>
        <w:t xml:space="preserve">EXPEDIENTE: </w:t>
      </w:r>
      <w:r>
        <w:rPr>
          <w:rFonts w:ascii="Arial" w:eastAsia="Arial" w:hAnsi="Arial" w:cs="Arial"/>
          <w:sz w:val="24"/>
          <w:szCs w:val="24"/>
        </w:rPr>
        <w:t>TEEA-RAP-005/2023.</w:t>
      </w:r>
    </w:p>
    <w:p w14:paraId="4965ADE4" w14:textId="77777777" w:rsidR="009A1271" w:rsidRDefault="009A1271">
      <w:pPr>
        <w:ind w:left="4536"/>
        <w:jc w:val="both"/>
        <w:rPr>
          <w:rFonts w:ascii="Arial" w:eastAsia="Arial" w:hAnsi="Arial" w:cs="Arial"/>
          <w:b/>
          <w:sz w:val="14"/>
          <w:szCs w:val="14"/>
        </w:rPr>
      </w:pPr>
    </w:p>
    <w:p w14:paraId="5CCCE9F4" w14:textId="77777777" w:rsidR="009A1271" w:rsidRDefault="00000000">
      <w:pPr>
        <w:ind w:left="4536"/>
        <w:jc w:val="both"/>
        <w:rPr>
          <w:rFonts w:ascii="Arial" w:eastAsia="Arial" w:hAnsi="Arial" w:cs="Arial"/>
          <w:sz w:val="24"/>
          <w:szCs w:val="24"/>
        </w:rPr>
      </w:pPr>
      <w:r>
        <w:rPr>
          <w:rFonts w:ascii="Arial" w:eastAsia="Arial" w:hAnsi="Arial" w:cs="Arial"/>
          <w:b/>
          <w:sz w:val="24"/>
          <w:szCs w:val="24"/>
        </w:rPr>
        <w:t>RECURRENTE:</w:t>
      </w:r>
      <w:r>
        <w:rPr>
          <w:rFonts w:ascii="Arial" w:eastAsia="Arial" w:hAnsi="Arial" w:cs="Arial"/>
          <w:sz w:val="24"/>
          <w:szCs w:val="24"/>
        </w:rPr>
        <w:t xml:space="preserve"> GUADALUPE MARTÍNEZ MONTENEGRO, REPRESENTANTE LEGAL DE LA ORGANIZACIÓN CIUDADANA “JUNTOS AVANZAMOS, A.C.”.</w:t>
      </w:r>
    </w:p>
    <w:p w14:paraId="3C382596" w14:textId="77777777" w:rsidR="009A1271" w:rsidRDefault="009A1271">
      <w:pPr>
        <w:ind w:left="4536"/>
        <w:jc w:val="both"/>
        <w:rPr>
          <w:rFonts w:ascii="Arial" w:eastAsia="Arial" w:hAnsi="Arial" w:cs="Arial"/>
          <w:b/>
          <w:sz w:val="14"/>
          <w:szCs w:val="14"/>
        </w:rPr>
      </w:pPr>
    </w:p>
    <w:p w14:paraId="5106AD34" w14:textId="77777777" w:rsidR="009A1271" w:rsidRDefault="00000000">
      <w:pPr>
        <w:ind w:left="4536"/>
        <w:jc w:val="both"/>
        <w:rPr>
          <w:rFonts w:ascii="Arial" w:eastAsia="Arial" w:hAnsi="Arial" w:cs="Arial"/>
          <w:sz w:val="24"/>
          <w:szCs w:val="24"/>
        </w:rPr>
      </w:pPr>
      <w:r>
        <w:rPr>
          <w:rFonts w:ascii="Arial" w:eastAsia="Arial" w:hAnsi="Arial" w:cs="Arial"/>
          <w:b/>
          <w:sz w:val="24"/>
          <w:szCs w:val="24"/>
        </w:rPr>
        <w:t xml:space="preserve">AUTORIDAD RESPONSABLE: </w:t>
      </w:r>
      <w:r>
        <w:rPr>
          <w:rFonts w:ascii="Arial" w:eastAsia="Arial" w:hAnsi="Arial" w:cs="Arial"/>
          <w:sz w:val="24"/>
          <w:szCs w:val="24"/>
        </w:rPr>
        <w:t>CONSEJO GENERAL DEL INSTITUTO ESTATAL ELECTORAL DE AGUASCALIENTES.</w:t>
      </w:r>
    </w:p>
    <w:p w14:paraId="082F8933" w14:textId="77777777" w:rsidR="009A1271" w:rsidRDefault="009A1271">
      <w:pPr>
        <w:ind w:left="4536"/>
        <w:jc w:val="both"/>
        <w:rPr>
          <w:rFonts w:ascii="Arial" w:eastAsia="Arial" w:hAnsi="Arial" w:cs="Arial"/>
          <w:b/>
          <w:sz w:val="14"/>
          <w:szCs w:val="14"/>
        </w:rPr>
      </w:pPr>
    </w:p>
    <w:p w14:paraId="22AF0CD2" w14:textId="77777777" w:rsidR="009A1271" w:rsidRDefault="00000000">
      <w:pPr>
        <w:ind w:left="4536"/>
        <w:jc w:val="both"/>
        <w:rPr>
          <w:rFonts w:ascii="Arial" w:eastAsia="Arial" w:hAnsi="Arial" w:cs="Arial"/>
          <w:sz w:val="24"/>
          <w:szCs w:val="24"/>
        </w:rPr>
      </w:pPr>
      <w:r>
        <w:rPr>
          <w:rFonts w:ascii="Arial" w:eastAsia="Arial" w:hAnsi="Arial" w:cs="Arial"/>
          <w:b/>
          <w:sz w:val="24"/>
          <w:szCs w:val="24"/>
        </w:rPr>
        <w:t xml:space="preserve">MAGISTRADA PONENTE: </w:t>
      </w:r>
      <w:r>
        <w:rPr>
          <w:rFonts w:ascii="Arial" w:eastAsia="Arial" w:hAnsi="Arial" w:cs="Arial"/>
          <w:sz w:val="24"/>
          <w:szCs w:val="24"/>
        </w:rPr>
        <w:t>LAURA HORTENSIA LLAMAS HERNÁNDEZ.</w:t>
      </w:r>
    </w:p>
    <w:p w14:paraId="308B9CF9" w14:textId="77777777" w:rsidR="009A1271" w:rsidRDefault="009A1271">
      <w:pPr>
        <w:ind w:left="4536"/>
        <w:jc w:val="both"/>
        <w:rPr>
          <w:rFonts w:ascii="Arial" w:eastAsia="Arial" w:hAnsi="Arial" w:cs="Arial"/>
          <w:b/>
          <w:sz w:val="14"/>
          <w:szCs w:val="14"/>
        </w:rPr>
      </w:pPr>
    </w:p>
    <w:p w14:paraId="7711B746" w14:textId="77777777" w:rsidR="009A1271" w:rsidRDefault="00000000">
      <w:pPr>
        <w:ind w:left="45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w:t>
      </w:r>
      <w:r>
        <w:rPr>
          <w:rFonts w:ascii="Arial" w:eastAsia="Arial" w:hAnsi="Arial" w:cs="Arial"/>
          <w:b/>
          <w:sz w:val="24"/>
          <w:szCs w:val="24"/>
          <w:vertAlign w:val="superscript"/>
        </w:rPr>
        <w:t xml:space="preserve"> </w:t>
      </w:r>
      <w:r>
        <w:rPr>
          <w:rFonts w:ascii="Arial" w:eastAsia="Arial" w:hAnsi="Arial" w:cs="Arial"/>
          <w:sz w:val="24"/>
          <w:szCs w:val="24"/>
        </w:rPr>
        <w:t>EDGAR ALEJANDRO LÓPEZ DÁVILA.</w:t>
      </w:r>
    </w:p>
    <w:p w14:paraId="7DB0E8D2" w14:textId="77777777" w:rsidR="009A1271" w:rsidRDefault="009A1271">
      <w:pPr>
        <w:ind w:left="4536"/>
        <w:jc w:val="both"/>
        <w:rPr>
          <w:rFonts w:ascii="Arial" w:eastAsia="Arial" w:hAnsi="Arial" w:cs="Arial"/>
          <w:b/>
          <w:sz w:val="14"/>
          <w:szCs w:val="14"/>
        </w:rPr>
      </w:pPr>
    </w:p>
    <w:p w14:paraId="06E0ABD1" w14:textId="77777777" w:rsidR="009A1271" w:rsidRDefault="00000000">
      <w:pPr>
        <w:ind w:left="4536"/>
        <w:jc w:val="both"/>
        <w:rPr>
          <w:rFonts w:ascii="Arial" w:eastAsia="Arial" w:hAnsi="Arial" w:cs="Arial"/>
          <w:sz w:val="24"/>
          <w:szCs w:val="24"/>
        </w:rPr>
      </w:pPr>
      <w:r>
        <w:rPr>
          <w:rFonts w:ascii="Arial" w:eastAsia="Arial" w:hAnsi="Arial" w:cs="Arial"/>
          <w:b/>
          <w:sz w:val="24"/>
          <w:szCs w:val="24"/>
        </w:rPr>
        <w:t>COLABORÓ:</w:t>
      </w:r>
      <w:r>
        <w:rPr>
          <w:rFonts w:ascii="Arial" w:eastAsia="Arial" w:hAnsi="Arial" w:cs="Arial"/>
          <w:sz w:val="24"/>
          <w:szCs w:val="24"/>
        </w:rPr>
        <w:t xml:space="preserve"> GUADALUPE JOCELYN TAVAREZ MARTÍNEZ E IVONNE AZUCENA ZAVALA SOTO.</w:t>
      </w:r>
    </w:p>
    <w:p w14:paraId="742C1736" w14:textId="77777777" w:rsidR="009A1271" w:rsidRDefault="009A1271">
      <w:pPr>
        <w:ind w:left="4536"/>
        <w:jc w:val="both"/>
        <w:rPr>
          <w:rFonts w:ascii="Arial" w:eastAsia="Arial" w:hAnsi="Arial" w:cs="Arial"/>
          <w:b/>
        </w:rPr>
      </w:pPr>
    </w:p>
    <w:p w14:paraId="5A836BDA" w14:textId="77777777" w:rsidR="009A1271" w:rsidRDefault="009A1271">
      <w:pPr>
        <w:pBdr>
          <w:top w:val="nil"/>
          <w:left w:val="nil"/>
          <w:bottom w:val="nil"/>
          <w:right w:val="nil"/>
          <w:between w:val="nil"/>
        </w:pBdr>
        <w:rPr>
          <w:color w:val="000000"/>
          <w:sz w:val="14"/>
          <w:szCs w:val="14"/>
        </w:rPr>
      </w:pPr>
    </w:p>
    <w:p w14:paraId="7ECD6022" w14:textId="66103278" w:rsidR="009A1271" w:rsidRDefault="00000000">
      <w:pPr>
        <w:spacing w:line="360" w:lineRule="auto"/>
        <w:jc w:val="right"/>
        <w:rPr>
          <w:rFonts w:ascii="Arial" w:eastAsia="Arial" w:hAnsi="Arial" w:cs="Arial"/>
          <w:sz w:val="24"/>
          <w:szCs w:val="24"/>
        </w:rPr>
      </w:pPr>
      <w:r>
        <w:rPr>
          <w:rFonts w:ascii="Arial" w:eastAsia="Arial" w:hAnsi="Arial" w:cs="Arial"/>
          <w:sz w:val="24"/>
          <w:szCs w:val="24"/>
        </w:rPr>
        <w:t xml:space="preserve">Aguascalientes, </w:t>
      </w:r>
      <w:r w:rsidRPr="00B24BE5">
        <w:rPr>
          <w:rFonts w:ascii="Arial" w:eastAsia="Arial" w:hAnsi="Arial" w:cs="Arial"/>
          <w:sz w:val="24"/>
          <w:szCs w:val="24"/>
        </w:rPr>
        <w:t>Aguascalientes, a 1</w:t>
      </w:r>
      <w:r w:rsidR="0088650D" w:rsidRPr="00B24BE5">
        <w:rPr>
          <w:rFonts w:ascii="Arial" w:eastAsia="Arial" w:hAnsi="Arial" w:cs="Arial"/>
          <w:sz w:val="24"/>
          <w:szCs w:val="24"/>
        </w:rPr>
        <w:t>6</w:t>
      </w:r>
      <w:r w:rsidRPr="00B24BE5">
        <w:rPr>
          <w:rFonts w:ascii="Arial" w:eastAsia="Arial" w:hAnsi="Arial" w:cs="Arial"/>
          <w:sz w:val="24"/>
          <w:szCs w:val="24"/>
        </w:rPr>
        <w:t xml:space="preserve"> de marzo</w:t>
      </w:r>
      <w:r>
        <w:rPr>
          <w:rFonts w:ascii="Arial" w:eastAsia="Arial" w:hAnsi="Arial" w:cs="Arial"/>
          <w:sz w:val="24"/>
          <w:szCs w:val="24"/>
        </w:rPr>
        <w:t xml:space="preserve"> de 2023.</w:t>
      </w:r>
    </w:p>
    <w:p w14:paraId="27EE05AB" w14:textId="77777777" w:rsidR="009A1271" w:rsidRDefault="009A1271">
      <w:pPr>
        <w:pBdr>
          <w:top w:val="nil"/>
          <w:left w:val="nil"/>
          <w:bottom w:val="nil"/>
          <w:right w:val="nil"/>
          <w:between w:val="nil"/>
        </w:pBdr>
        <w:rPr>
          <w:color w:val="000000"/>
        </w:rPr>
      </w:pPr>
    </w:p>
    <w:p w14:paraId="715C3AC6" w14:textId="4F6BC988" w:rsidR="009A1271" w:rsidRDefault="00000000">
      <w:pPr>
        <w:spacing w:line="360" w:lineRule="auto"/>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Sentencia</w:t>
      </w:r>
      <w:r>
        <w:rPr>
          <w:rFonts w:ascii="Arial" w:eastAsia="Arial" w:hAnsi="Arial" w:cs="Arial"/>
          <w:sz w:val="24"/>
          <w:szCs w:val="24"/>
        </w:rPr>
        <w:t xml:space="preserve"> del Tribunal Electoral que </w:t>
      </w:r>
      <w:r>
        <w:rPr>
          <w:rFonts w:ascii="Arial" w:eastAsia="Arial" w:hAnsi="Arial" w:cs="Arial"/>
          <w:b/>
          <w:sz w:val="24"/>
          <w:szCs w:val="24"/>
        </w:rPr>
        <w:t>desecha</w:t>
      </w:r>
      <w:r>
        <w:rPr>
          <w:rFonts w:ascii="Arial" w:eastAsia="Arial" w:hAnsi="Arial" w:cs="Arial"/>
          <w:sz w:val="24"/>
          <w:szCs w:val="24"/>
        </w:rPr>
        <w:t xml:space="preserve"> </w:t>
      </w:r>
      <w:r>
        <w:rPr>
          <w:rFonts w:ascii="Arial" w:eastAsia="Arial" w:hAnsi="Arial" w:cs="Arial"/>
          <w:b/>
          <w:sz w:val="24"/>
          <w:szCs w:val="24"/>
        </w:rPr>
        <w:t>de plano</w:t>
      </w:r>
      <w:r>
        <w:rPr>
          <w:rFonts w:ascii="Arial" w:eastAsia="Arial" w:hAnsi="Arial" w:cs="Arial"/>
          <w:sz w:val="24"/>
          <w:szCs w:val="24"/>
        </w:rPr>
        <w:t xml:space="preserve"> la demanda cuya promoción se atribuye a Guadalupe Martínez Montenegro</w:t>
      </w:r>
      <w:r w:rsidR="00B24BE5">
        <w:rPr>
          <w:rFonts w:ascii="Arial" w:eastAsia="Arial" w:hAnsi="Arial" w:cs="Arial"/>
          <w:sz w:val="24"/>
          <w:szCs w:val="24"/>
        </w:rPr>
        <w:t>, representante de la organización ciudadana “Juntos Avanzamos, A.C.”</w:t>
      </w:r>
      <w:r w:rsidR="003D769D">
        <w:rPr>
          <w:rFonts w:ascii="Arial" w:eastAsia="Arial" w:hAnsi="Arial" w:cs="Arial"/>
          <w:sz w:val="24"/>
          <w:szCs w:val="24"/>
        </w:rPr>
        <w:t>, para controvertir la Resolución (CG-R-06/23) del Consejo General;</w:t>
      </w:r>
      <w:r>
        <w:rPr>
          <w:rFonts w:ascii="Arial" w:eastAsia="Arial" w:hAnsi="Arial" w:cs="Arial"/>
          <w:sz w:val="24"/>
          <w:szCs w:val="24"/>
        </w:rPr>
        <w:t xml:space="preserve"> </w:t>
      </w:r>
      <w:r w:rsidR="003D769D" w:rsidRPr="003D769D">
        <w:rPr>
          <w:rFonts w:ascii="Arial" w:eastAsia="Arial" w:hAnsi="Arial" w:cs="Arial"/>
          <w:b/>
          <w:bCs/>
          <w:sz w:val="24"/>
          <w:szCs w:val="24"/>
        </w:rPr>
        <w:t>por</w:t>
      </w:r>
      <w:r w:rsidRPr="003D769D">
        <w:rPr>
          <w:rFonts w:ascii="Arial" w:eastAsia="Arial" w:hAnsi="Arial" w:cs="Arial"/>
          <w:b/>
          <w:bCs/>
          <w:sz w:val="24"/>
          <w:szCs w:val="24"/>
        </w:rPr>
        <w:t xml:space="preserve"> carecer de firma autógrafa</w:t>
      </w:r>
      <w:r>
        <w:rPr>
          <w:rFonts w:ascii="Arial" w:eastAsia="Arial" w:hAnsi="Arial" w:cs="Arial"/>
          <w:sz w:val="24"/>
          <w:szCs w:val="24"/>
        </w:rPr>
        <w:t>.</w:t>
      </w:r>
    </w:p>
    <w:p w14:paraId="7A47ACF8" w14:textId="77777777" w:rsidR="009A1271" w:rsidRPr="001B1F60" w:rsidRDefault="00000000">
      <w:pPr>
        <w:keepNext/>
        <w:keepLines/>
        <w:pBdr>
          <w:top w:val="nil"/>
          <w:left w:val="nil"/>
          <w:bottom w:val="nil"/>
          <w:right w:val="nil"/>
          <w:between w:val="nil"/>
        </w:pBdr>
        <w:spacing w:before="280"/>
        <w:ind w:left="709" w:right="899"/>
        <w:jc w:val="center"/>
        <w:rPr>
          <w:rFonts w:ascii="Arial" w:eastAsia="Arial" w:hAnsi="Arial" w:cs="Arial"/>
          <w:b/>
          <w:color w:val="000000"/>
          <w:sz w:val="18"/>
          <w:szCs w:val="18"/>
        </w:rPr>
      </w:pPr>
      <w:r w:rsidRPr="001B1F60">
        <w:rPr>
          <w:rFonts w:ascii="Arial" w:eastAsia="Arial" w:hAnsi="Arial" w:cs="Arial"/>
          <w:b/>
          <w:color w:val="000000"/>
          <w:sz w:val="18"/>
          <w:szCs w:val="18"/>
        </w:rPr>
        <w:t>Índice</w:t>
      </w:r>
    </w:p>
    <w:sdt>
      <w:sdtPr>
        <w:id w:val="1235753041"/>
        <w:docPartObj>
          <w:docPartGallery w:val="Table of Contents"/>
          <w:docPartUnique/>
        </w:docPartObj>
      </w:sdtPr>
      <w:sdtContent>
        <w:p w14:paraId="2AC3ADCA" w14:textId="3D594DF3" w:rsidR="009A1271" w:rsidRDefault="003D769D">
          <w:pPr>
            <w:pBdr>
              <w:top w:val="nil"/>
              <w:left w:val="nil"/>
              <w:bottom w:val="nil"/>
              <w:right w:val="nil"/>
              <w:between w:val="nil"/>
            </w:pBdr>
            <w:ind w:firstLine="709"/>
            <w:rPr>
              <w:rFonts w:ascii="Arial" w:eastAsia="Arial" w:hAnsi="Arial" w:cs="Arial"/>
              <w:color w:val="000000"/>
              <w:sz w:val="18"/>
              <w:szCs w:val="18"/>
            </w:rPr>
          </w:pPr>
          <w:r>
            <w:fldChar w:fldCharType="begin"/>
          </w:r>
          <w:r>
            <w:instrText xml:space="preserve"> TOC \h \u \z \t "Heading 1,1,Heading 2,2,Heading 3,3,Heading 4,4,Heading 5,5,Heading 6,6,"</w:instrText>
          </w:r>
          <w:r>
            <w:fldChar w:fldCharType="separate"/>
          </w:r>
          <w:hyperlink w:anchor="_heading=h.30j0zll">
            <w:r>
              <w:rPr>
                <w:rFonts w:ascii="Arial" w:eastAsia="Arial" w:hAnsi="Arial" w:cs="Arial"/>
                <w:color w:val="000000"/>
                <w:sz w:val="18"/>
                <w:szCs w:val="18"/>
              </w:rPr>
              <w:t>Glosario…………………………………………………………………………………………………………</w:t>
            </w:r>
          </w:hyperlink>
          <w:r>
            <w:rPr>
              <w:rFonts w:ascii="Arial" w:eastAsia="Arial" w:hAnsi="Arial" w:cs="Arial"/>
              <w:color w:val="000000"/>
              <w:sz w:val="18"/>
              <w:szCs w:val="18"/>
            </w:rPr>
            <w:t>…….</w:t>
          </w:r>
          <w:r>
            <w:rPr>
              <w:rFonts w:ascii="Arial" w:eastAsia="Arial" w:hAnsi="Arial" w:cs="Arial"/>
              <w:color w:val="000000"/>
              <w:sz w:val="8"/>
              <w:szCs w:val="8"/>
            </w:rPr>
            <w:t>.</w:t>
          </w:r>
          <w:r>
            <w:rPr>
              <w:rFonts w:ascii="Arial" w:eastAsia="Arial" w:hAnsi="Arial" w:cs="Arial"/>
              <w:color w:val="000000"/>
              <w:sz w:val="18"/>
              <w:szCs w:val="18"/>
            </w:rPr>
            <w:t>1</w:t>
          </w:r>
        </w:p>
        <w:p w14:paraId="2FEEF66D" w14:textId="54A7205E" w:rsidR="009A1271" w:rsidRDefault="00000000">
          <w:pPr>
            <w:pBdr>
              <w:top w:val="nil"/>
              <w:left w:val="nil"/>
              <w:bottom w:val="nil"/>
              <w:right w:val="nil"/>
              <w:between w:val="nil"/>
            </w:pBdr>
            <w:ind w:firstLine="709"/>
            <w:rPr>
              <w:rFonts w:ascii="Arial" w:eastAsia="Arial" w:hAnsi="Arial" w:cs="Arial"/>
              <w:color w:val="000000"/>
              <w:sz w:val="18"/>
              <w:szCs w:val="18"/>
            </w:rPr>
          </w:pPr>
          <w:hyperlink w:anchor="_heading=h.1fob9te">
            <w:r>
              <w:rPr>
                <w:rFonts w:ascii="Arial" w:eastAsia="Arial" w:hAnsi="Arial" w:cs="Arial"/>
                <w:color w:val="000000"/>
                <w:sz w:val="18"/>
                <w:szCs w:val="18"/>
              </w:rPr>
              <w:t>I.</w:t>
            </w:r>
            <w:r w:rsidR="001B1F60">
              <w:rPr>
                <w:rFonts w:ascii="Arial" w:eastAsia="Arial" w:hAnsi="Arial" w:cs="Arial"/>
                <w:color w:val="000000"/>
                <w:sz w:val="18"/>
                <w:szCs w:val="18"/>
              </w:rPr>
              <w:t xml:space="preserve"> Contexto</w:t>
            </w:r>
            <w:r>
              <w:rPr>
                <w:rFonts w:ascii="Arial" w:eastAsia="Arial" w:hAnsi="Arial" w:cs="Arial"/>
                <w:color w:val="000000"/>
                <w:sz w:val="18"/>
                <w:szCs w:val="18"/>
              </w:rPr>
              <w:t xml:space="preserve"> del caso…………………………………………………………………………………………</w:t>
            </w:r>
            <w:r w:rsidR="001B1F60">
              <w:rPr>
                <w:rFonts w:ascii="Arial" w:eastAsia="Arial" w:hAnsi="Arial" w:cs="Arial"/>
                <w:color w:val="000000"/>
                <w:sz w:val="18"/>
                <w:szCs w:val="18"/>
              </w:rPr>
              <w:t>…...</w:t>
            </w:r>
            <w:r>
              <w:rPr>
                <w:rFonts w:ascii="Arial" w:eastAsia="Arial" w:hAnsi="Arial" w:cs="Arial"/>
                <w:color w:val="000000"/>
                <w:sz w:val="18"/>
                <w:szCs w:val="18"/>
              </w:rPr>
              <w:t>….</w:t>
            </w:r>
          </w:hyperlink>
          <w:hyperlink w:anchor="_heading=h.1fob9te">
            <w:r>
              <w:rPr>
                <w:rFonts w:ascii="Arial" w:eastAsia="Arial" w:hAnsi="Arial" w:cs="Arial"/>
                <w:color w:val="000000"/>
                <w:sz w:val="10"/>
                <w:szCs w:val="10"/>
              </w:rPr>
              <w:t>.</w:t>
            </w:r>
          </w:hyperlink>
          <w:r w:rsidR="003D769D">
            <w:rPr>
              <w:rFonts w:ascii="Arial" w:eastAsia="Arial" w:hAnsi="Arial" w:cs="Arial"/>
              <w:color w:val="000000"/>
              <w:sz w:val="18"/>
              <w:szCs w:val="18"/>
            </w:rPr>
            <w:t>1</w:t>
          </w:r>
        </w:p>
        <w:p w14:paraId="7D70777B" w14:textId="2E89E05C" w:rsidR="009A1271" w:rsidRDefault="00000000">
          <w:pPr>
            <w:pBdr>
              <w:top w:val="nil"/>
              <w:left w:val="nil"/>
              <w:bottom w:val="nil"/>
              <w:right w:val="nil"/>
              <w:between w:val="nil"/>
            </w:pBdr>
            <w:ind w:firstLine="709"/>
            <w:rPr>
              <w:rFonts w:ascii="Arial" w:eastAsia="Arial" w:hAnsi="Arial" w:cs="Arial"/>
              <w:color w:val="000000"/>
              <w:sz w:val="18"/>
              <w:szCs w:val="18"/>
            </w:rPr>
          </w:pPr>
          <w:r>
            <w:rPr>
              <w:rFonts w:ascii="Arial" w:eastAsia="Arial" w:hAnsi="Arial" w:cs="Arial"/>
              <w:color w:val="000000"/>
              <w:sz w:val="18"/>
              <w:szCs w:val="18"/>
            </w:rPr>
            <w:t>II. Competencia……………………………………………………………………………………………………....</w:t>
          </w:r>
          <w:r w:rsidR="003D769D">
            <w:rPr>
              <w:rFonts w:ascii="Arial" w:eastAsia="Arial" w:hAnsi="Arial" w:cs="Arial"/>
              <w:color w:val="000000"/>
              <w:sz w:val="18"/>
              <w:szCs w:val="18"/>
            </w:rPr>
            <w:t>2</w:t>
          </w:r>
        </w:p>
        <w:p w14:paraId="5EA49940" w14:textId="57D429D8" w:rsidR="009A1271" w:rsidRDefault="00000000">
          <w:pPr>
            <w:pBdr>
              <w:top w:val="nil"/>
              <w:left w:val="nil"/>
              <w:bottom w:val="nil"/>
              <w:right w:val="nil"/>
              <w:between w:val="nil"/>
            </w:pBdr>
            <w:ind w:firstLine="709"/>
            <w:rPr>
              <w:rFonts w:ascii="Arial" w:eastAsia="Arial" w:hAnsi="Arial" w:cs="Arial"/>
              <w:color w:val="000000"/>
              <w:sz w:val="18"/>
              <w:szCs w:val="18"/>
            </w:rPr>
          </w:pPr>
          <w:r>
            <w:rPr>
              <w:rFonts w:ascii="Arial" w:eastAsia="Arial" w:hAnsi="Arial" w:cs="Arial"/>
              <w:color w:val="000000"/>
              <w:sz w:val="18"/>
              <w:szCs w:val="18"/>
            </w:rPr>
            <w:t>III. Causales de improcedencia……………………………………………………………………………............</w:t>
          </w:r>
          <w:r w:rsidR="003D769D">
            <w:rPr>
              <w:rFonts w:ascii="Arial" w:eastAsia="Arial" w:hAnsi="Arial" w:cs="Arial"/>
              <w:color w:val="000000"/>
              <w:sz w:val="18"/>
              <w:szCs w:val="18"/>
            </w:rPr>
            <w:t>2</w:t>
          </w:r>
        </w:p>
        <w:p w14:paraId="5ECEE24E" w14:textId="3DED0340" w:rsidR="009A1271" w:rsidRPr="001B1F60" w:rsidRDefault="00000000" w:rsidP="001B1F60">
          <w:pPr>
            <w:pStyle w:val="Prrafodelista"/>
            <w:numPr>
              <w:ilvl w:val="0"/>
              <w:numId w:val="3"/>
            </w:numPr>
            <w:pBdr>
              <w:top w:val="nil"/>
              <w:left w:val="nil"/>
              <w:bottom w:val="nil"/>
              <w:right w:val="nil"/>
              <w:between w:val="nil"/>
            </w:pBdr>
            <w:ind w:left="993" w:hanging="284"/>
            <w:rPr>
              <w:rFonts w:ascii="Arial" w:eastAsia="Arial" w:hAnsi="Arial" w:cs="Arial"/>
              <w:color w:val="000000"/>
              <w:sz w:val="18"/>
              <w:szCs w:val="18"/>
            </w:rPr>
          </w:pPr>
          <w:hyperlink w:anchor="_heading=h.4d34og8">
            <w:r w:rsidR="001B1F60" w:rsidRPr="001B1F60">
              <w:rPr>
                <w:rFonts w:ascii="Arial" w:hAnsi="Arial" w:cs="Arial"/>
                <w:sz w:val="18"/>
                <w:szCs w:val="18"/>
              </w:rPr>
              <w:t>Marco normativo</w:t>
            </w:r>
            <w:r w:rsidRPr="001B1F60">
              <w:rPr>
                <w:rFonts w:ascii="Arial" w:eastAsia="Arial" w:hAnsi="Arial" w:cs="Arial"/>
                <w:color w:val="000000"/>
                <w:sz w:val="18"/>
                <w:szCs w:val="18"/>
              </w:rPr>
              <w:t>…………………………………………………………………………………………</w:t>
            </w:r>
          </w:hyperlink>
          <w:r w:rsidRPr="001B1F60">
            <w:rPr>
              <w:rFonts w:ascii="Arial" w:eastAsia="Arial" w:hAnsi="Arial" w:cs="Arial"/>
              <w:color w:val="000000"/>
              <w:sz w:val="18"/>
              <w:szCs w:val="18"/>
            </w:rPr>
            <w:t>……</w:t>
          </w:r>
          <w:r w:rsidR="003D769D">
            <w:rPr>
              <w:rFonts w:ascii="Arial" w:eastAsia="Arial" w:hAnsi="Arial" w:cs="Arial"/>
              <w:color w:val="000000"/>
              <w:sz w:val="18"/>
              <w:szCs w:val="18"/>
            </w:rPr>
            <w:t>…</w:t>
          </w:r>
          <w:hyperlink w:anchor="_heading=h.4d34og8">
            <w:r w:rsidR="003D769D">
              <w:rPr>
                <w:rFonts w:ascii="Arial" w:eastAsia="Arial" w:hAnsi="Arial" w:cs="Arial"/>
                <w:color w:val="000000"/>
                <w:sz w:val="18"/>
                <w:szCs w:val="18"/>
              </w:rPr>
              <w:t>2</w:t>
            </w:r>
          </w:hyperlink>
        </w:p>
        <w:p w14:paraId="41CCC24C" w14:textId="1E122E9E" w:rsidR="009A1271" w:rsidRPr="001B1F60" w:rsidRDefault="00000000" w:rsidP="001B1F60">
          <w:pPr>
            <w:pStyle w:val="Prrafodelista"/>
            <w:numPr>
              <w:ilvl w:val="0"/>
              <w:numId w:val="3"/>
            </w:numPr>
            <w:pBdr>
              <w:top w:val="nil"/>
              <w:left w:val="nil"/>
              <w:bottom w:val="nil"/>
              <w:right w:val="nil"/>
              <w:between w:val="nil"/>
            </w:pBdr>
            <w:ind w:left="993" w:hanging="284"/>
            <w:rPr>
              <w:rFonts w:ascii="Arial" w:eastAsia="Arial" w:hAnsi="Arial" w:cs="Arial"/>
              <w:color w:val="000000"/>
              <w:sz w:val="18"/>
              <w:szCs w:val="18"/>
            </w:rPr>
          </w:pPr>
          <w:hyperlink w:anchor="_heading=h.2s8eyo1">
            <w:r w:rsidR="001B1F60" w:rsidRPr="001B1F60">
              <w:rPr>
                <w:rFonts w:ascii="Arial" w:hAnsi="Arial" w:cs="Arial"/>
                <w:sz w:val="18"/>
                <w:szCs w:val="18"/>
              </w:rPr>
              <w:t>Caso concreto y valoración</w:t>
            </w:r>
            <w:r w:rsidR="001B1F60" w:rsidRPr="001B1F60">
              <w:rPr>
                <w:rFonts w:ascii="Arial" w:eastAsia="Arial" w:hAnsi="Arial" w:cs="Arial"/>
                <w:color w:val="000000"/>
                <w:sz w:val="18"/>
                <w:szCs w:val="18"/>
              </w:rPr>
              <w:t xml:space="preserve"> </w:t>
            </w:r>
            <w:r w:rsidRPr="001B1F60">
              <w:rPr>
                <w:rFonts w:ascii="Arial" w:eastAsia="Arial" w:hAnsi="Arial" w:cs="Arial"/>
                <w:color w:val="000000"/>
                <w:sz w:val="18"/>
                <w:szCs w:val="18"/>
              </w:rPr>
              <w:t>……………………………………………………</w:t>
            </w:r>
          </w:hyperlink>
          <w:r w:rsidRPr="001B1F60">
            <w:rPr>
              <w:rFonts w:ascii="Arial" w:eastAsia="Arial" w:hAnsi="Arial" w:cs="Arial"/>
              <w:color w:val="000000"/>
              <w:sz w:val="18"/>
              <w:szCs w:val="18"/>
            </w:rPr>
            <w:t>……..</w:t>
          </w:r>
          <w:hyperlink w:anchor="_heading=h.2s8eyo1">
            <w:r w:rsidRPr="001B1F60">
              <w:rPr>
                <w:rFonts w:ascii="Arial" w:eastAsia="Arial" w:hAnsi="Arial" w:cs="Arial"/>
                <w:color w:val="000000"/>
                <w:sz w:val="18"/>
                <w:szCs w:val="18"/>
              </w:rPr>
              <w:t>…</w:t>
            </w:r>
            <w:r w:rsidR="001B1F60">
              <w:rPr>
                <w:rFonts w:ascii="Arial" w:eastAsia="Arial" w:hAnsi="Arial" w:cs="Arial"/>
                <w:color w:val="000000"/>
                <w:sz w:val="18"/>
                <w:szCs w:val="18"/>
              </w:rPr>
              <w:t>……………………..</w:t>
            </w:r>
          </w:hyperlink>
          <w:r w:rsidR="003D769D">
            <w:rPr>
              <w:rFonts w:ascii="Arial" w:eastAsia="Arial" w:hAnsi="Arial" w:cs="Arial"/>
              <w:color w:val="000000"/>
              <w:sz w:val="18"/>
              <w:szCs w:val="18"/>
            </w:rPr>
            <w:t>3</w:t>
          </w:r>
        </w:p>
        <w:p w14:paraId="1DDBF541" w14:textId="3C7F564C" w:rsidR="009A1271" w:rsidRDefault="003D769D">
          <w:pPr>
            <w:pBdr>
              <w:top w:val="nil"/>
              <w:left w:val="nil"/>
              <w:bottom w:val="nil"/>
              <w:right w:val="nil"/>
              <w:between w:val="nil"/>
            </w:pBdr>
            <w:ind w:firstLine="720"/>
            <w:rPr>
              <w:rFonts w:ascii="Arial" w:eastAsia="Arial" w:hAnsi="Arial" w:cs="Arial"/>
              <w:color w:val="000000"/>
              <w:sz w:val="18"/>
              <w:szCs w:val="18"/>
            </w:rPr>
          </w:pPr>
          <w:r w:rsidRPr="003D769D">
            <w:rPr>
              <w:rFonts w:ascii="Arial" w:hAnsi="Arial" w:cs="Arial"/>
              <w:sz w:val="18"/>
              <w:szCs w:val="18"/>
            </w:rPr>
            <w:t xml:space="preserve">IV. Se </w:t>
          </w:r>
          <w:hyperlink w:anchor="_heading=h.3rdcrjn">
            <w:r>
              <w:rPr>
                <w:rFonts w:ascii="Arial" w:eastAsia="Arial" w:hAnsi="Arial" w:cs="Arial"/>
                <w:color w:val="000000"/>
                <w:sz w:val="18"/>
                <w:szCs w:val="18"/>
              </w:rPr>
              <w:t>resuelve:……………………………………………………………………………………………………</w:t>
            </w:r>
          </w:hyperlink>
          <w:hyperlink w:anchor="_heading=h.3rdcrjn">
            <w:r>
              <w:rPr>
                <w:rFonts w:ascii="Arial" w:eastAsia="Arial" w:hAnsi="Arial" w:cs="Arial"/>
                <w:color w:val="000000"/>
                <w:sz w:val="12"/>
                <w:szCs w:val="12"/>
              </w:rPr>
              <w:t>.</w:t>
            </w:r>
          </w:hyperlink>
          <w:r>
            <w:fldChar w:fldCharType="end"/>
          </w:r>
          <w:r>
            <w:t>...</w:t>
          </w:r>
          <w:r w:rsidRPr="003D769D">
            <w:rPr>
              <w:rFonts w:ascii="Arial" w:hAnsi="Arial" w:cs="Arial"/>
              <w:sz w:val="18"/>
              <w:szCs w:val="18"/>
            </w:rPr>
            <w:t>5</w:t>
          </w:r>
          <w:r w:rsidRPr="003D769D">
            <w:rPr>
              <w:rFonts w:ascii="Arial" w:hAnsi="Arial" w:cs="Arial"/>
            </w:rPr>
            <w:t xml:space="preserve"> </w:t>
          </w:r>
        </w:p>
      </w:sdtContent>
    </w:sdt>
    <w:p w14:paraId="1A5C89FE" w14:textId="77777777" w:rsidR="009A1271" w:rsidRPr="001B1F60" w:rsidRDefault="009A1271" w:rsidP="001B1F60">
      <w:pPr>
        <w:pStyle w:val="Sinespaciado"/>
      </w:pPr>
      <w:bookmarkStart w:id="1" w:name="_heading=h.30j0zll" w:colFirst="0" w:colLast="0"/>
      <w:bookmarkEnd w:id="1"/>
    </w:p>
    <w:p w14:paraId="6B26A4C5" w14:textId="77777777" w:rsidR="009A1271" w:rsidRDefault="00000000">
      <w:pPr>
        <w:pStyle w:val="Ttulo1"/>
        <w:jc w:val="center"/>
        <w:rPr>
          <w:smallCaps w:val="0"/>
          <w:sz w:val="18"/>
          <w:szCs w:val="18"/>
        </w:rPr>
      </w:pPr>
      <w:r w:rsidRPr="001B1F60">
        <w:rPr>
          <w:smallCaps w:val="0"/>
          <w:sz w:val="18"/>
          <w:szCs w:val="18"/>
        </w:rPr>
        <w:t>Glosario</w:t>
      </w:r>
    </w:p>
    <w:tbl>
      <w:tblPr>
        <w:tblStyle w:val="a"/>
        <w:tblW w:w="9213"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693"/>
        <w:gridCol w:w="6520"/>
      </w:tblGrid>
      <w:tr w:rsidR="009A1271" w14:paraId="68C74109" w14:textId="77777777" w:rsidTr="001B1F60">
        <w:trPr>
          <w:trHeight w:val="247"/>
        </w:trPr>
        <w:tc>
          <w:tcPr>
            <w:tcW w:w="2693" w:type="dxa"/>
          </w:tcPr>
          <w:p w14:paraId="448C0F0E" w14:textId="77777777" w:rsidR="009A1271" w:rsidRDefault="00000000">
            <w:pPr>
              <w:rPr>
                <w:rFonts w:ascii="Arial" w:eastAsia="Arial" w:hAnsi="Arial" w:cs="Arial"/>
                <w:b/>
                <w:sz w:val="18"/>
                <w:szCs w:val="18"/>
              </w:rPr>
            </w:pPr>
            <w:r>
              <w:rPr>
                <w:rFonts w:ascii="Arial" w:eastAsia="Arial" w:hAnsi="Arial" w:cs="Arial"/>
                <w:b/>
                <w:sz w:val="18"/>
                <w:szCs w:val="18"/>
              </w:rPr>
              <w:t xml:space="preserve">    Código Electoral:</w:t>
            </w:r>
          </w:p>
          <w:p w14:paraId="4C2A5EBB" w14:textId="77777777" w:rsidR="009A1271" w:rsidRDefault="00000000">
            <w:pPr>
              <w:ind w:left="179"/>
              <w:rPr>
                <w:rFonts w:ascii="Arial" w:eastAsia="Arial" w:hAnsi="Arial" w:cs="Arial"/>
                <w:b/>
                <w:sz w:val="18"/>
                <w:szCs w:val="18"/>
              </w:rPr>
            </w:pPr>
            <w:r>
              <w:rPr>
                <w:rFonts w:ascii="Arial" w:eastAsia="Arial" w:hAnsi="Arial" w:cs="Arial"/>
                <w:b/>
                <w:sz w:val="18"/>
                <w:szCs w:val="18"/>
              </w:rPr>
              <w:t>Consejo General:</w:t>
            </w:r>
          </w:p>
          <w:p w14:paraId="545B4DC3" w14:textId="77777777" w:rsidR="009A1271" w:rsidRDefault="00000000">
            <w:pPr>
              <w:ind w:left="179"/>
              <w:rPr>
                <w:rFonts w:ascii="Arial" w:eastAsia="Arial" w:hAnsi="Arial" w:cs="Arial"/>
                <w:b/>
                <w:sz w:val="18"/>
                <w:szCs w:val="18"/>
              </w:rPr>
            </w:pPr>
            <w:r>
              <w:rPr>
                <w:rFonts w:ascii="Arial" w:eastAsia="Arial" w:hAnsi="Arial" w:cs="Arial"/>
                <w:b/>
                <w:sz w:val="18"/>
                <w:szCs w:val="18"/>
              </w:rPr>
              <w:t>Instituto Local:</w:t>
            </w:r>
          </w:p>
          <w:p w14:paraId="4DC31CC3" w14:textId="137DF39E" w:rsidR="009A1271" w:rsidRDefault="00000000">
            <w:pPr>
              <w:ind w:left="179"/>
              <w:rPr>
                <w:rFonts w:ascii="Arial" w:eastAsia="Arial" w:hAnsi="Arial" w:cs="Arial"/>
                <w:b/>
                <w:sz w:val="18"/>
                <w:szCs w:val="18"/>
              </w:rPr>
            </w:pPr>
            <w:r>
              <w:rPr>
                <w:rFonts w:ascii="Arial" w:eastAsia="Arial" w:hAnsi="Arial" w:cs="Arial"/>
                <w:b/>
                <w:sz w:val="18"/>
                <w:szCs w:val="18"/>
              </w:rPr>
              <w:t>L</w:t>
            </w:r>
            <w:r w:rsidR="001B1F60">
              <w:rPr>
                <w:rFonts w:ascii="Arial" w:eastAsia="Arial" w:hAnsi="Arial" w:cs="Arial"/>
                <w:b/>
                <w:sz w:val="18"/>
                <w:szCs w:val="18"/>
              </w:rPr>
              <w:t>ey de Medios</w:t>
            </w:r>
            <w:r>
              <w:rPr>
                <w:rFonts w:ascii="Arial" w:eastAsia="Arial" w:hAnsi="Arial" w:cs="Arial"/>
                <w:b/>
                <w:sz w:val="18"/>
                <w:szCs w:val="18"/>
              </w:rPr>
              <w:t>:</w:t>
            </w:r>
          </w:p>
        </w:tc>
        <w:tc>
          <w:tcPr>
            <w:tcW w:w="6520" w:type="dxa"/>
          </w:tcPr>
          <w:p w14:paraId="51334665" w14:textId="77777777" w:rsidR="009A1271" w:rsidRDefault="00000000">
            <w:pPr>
              <w:rPr>
                <w:rFonts w:ascii="Arial" w:eastAsia="Arial" w:hAnsi="Arial" w:cs="Arial"/>
                <w:sz w:val="18"/>
                <w:szCs w:val="18"/>
              </w:rPr>
            </w:pPr>
            <w:r>
              <w:rPr>
                <w:rFonts w:ascii="Arial" w:eastAsia="Arial" w:hAnsi="Arial" w:cs="Arial"/>
                <w:sz w:val="18"/>
                <w:szCs w:val="18"/>
              </w:rPr>
              <w:t>Código Electoral del Estado de Aguascalientes.</w:t>
            </w:r>
          </w:p>
          <w:p w14:paraId="37207D90" w14:textId="77777777" w:rsidR="009A1271" w:rsidRDefault="00000000">
            <w:pPr>
              <w:rPr>
                <w:rFonts w:ascii="Arial" w:eastAsia="Arial" w:hAnsi="Arial" w:cs="Arial"/>
                <w:sz w:val="18"/>
                <w:szCs w:val="18"/>
              </w:rPr>
            </w:pPr>
            <w:r>
              <w:rPr>
                <w:rFonts w:ascii="Arial" w:eastAsia="Arial" w:hAnsi="Arial" w:cs="Arial"/>
                <w:sz w:val="18"/>
                <w:szCs w:val="18"/>
              </w:rPr>
              <w:t>Consejo General del Instituto Estatal Electoral de Aguascalientes.</w:t>
            </w:r>
          </w:p>
          <w:p w14:paraId="30D923D6" w14:textId="77777777" w:rsidR="009A1271" w:rsidRDefault="00000000">
            <w:pPr>
              <w:rPr>
                <w:rFonts w:ascii="Arial" w:eastAsia="Arial" w:hAnsi="Arial" w:cs="Arial"/>
                <w:sz w:val="18"/>
                <w:szCs w:val="18"/>
              </w:rPr>
            </w:pPr>
            <w:r>
              <w:rPr>
                <w:rFonts w:ascii="Arial" w:eastAsia="Arial" w:hAnsi="Arial" w:cs="Arial"/>
                <w:sz w:val="18"/>
                <w:szCs w:val="18"/>
              </w:rPr>
              <w:t>Instituto Estatal Electoral de Aguascalientes.</w:t>
            </w:r>
          </w:p>
          <w:p w14:paraId="15408F54" w14:textId="24E5839F" w:rsidR="009A1271" w:rsidRDefault="00000000">
            <w:pPr>
              <w:rPr>
                <w:rFonts w:ascii="Arial" w:eastAsia="Arial" w:hAnsi="Arial" w:cs="Arial"/>
                <w:sz w:val="18"/>
                <w:szCs w:val="18"/>
              </w:rPr>
            </w:pPr>
            <w:r>
              <w:rPr>
                <w:rFonts w:ascii="Arial" w:eastAsia="Arial" w:hAnsi="Arial" w:cs="Arial"/>
                <w:sz w:val="18"/>
                <w:szCs w:val="18"/>
              </w:rPr>
              <w:t>Ley General de</w:t>
            </w:r>
            <w:r w:rsidR="001B1F60">
              <w:rPr>
                <w:rFonts w:ascii="Arial" w:eastAsia="Arial" w:hAnsi="Arial" w:cs="Arial"/>
                <w:sz w:val="18"/>
                <w:szCs w:val="18"/>
              </w:rPr>
              <w:t>l Sistema de Medios de Impugnación en Materia Electoral</w:t>
            </w:r>
            <w:r>
              <w:rPr>
                <w:rFonts w:ascii="Arial" w:eastAsia="Arial" w:hAnsi="Arial" w:cs="Arial"/>
                <w:sz w:val="18"/>
                <w:szCs w:val="18"/>
              </w:rPr>
              <w:t>.</w:t>
            </w:r>
          </w:p>
        </w:tc>
      </w:tr>
      <w:tr w:rsidR="009A1271" w14:paraId="7701AA7E" w14:textId="77777777" w:rsidTr="001B1F60">
        <w:trPr>
          <w:trHeight w:val="735"/>
        </w:trPr>
        <w:tc>
          <w:tcPr>
            <w:tcW w:w="2693" w:type="dxa"/>
          </w:tcPr>
          <w:p w14:paraId="6CA74C66" w14:textId="77777777" w:rsidR="009A1271" w:rsidRDefault="00000000">
            <w:pPr>
              <w:ind w:left="179"/>
              <w:rPr>
                <w:rFonts w:ascii="Arial" w:eastAsia="Arial" w:hAnsi="Arial" w:cs="Arial"/>
                <w:b/>
                <w:sz w:val="18"/>
                <w:szCs w:val="18"/>
              </w:rPr>
            </w:pPr>
            <w:r>
              <w:rPr>
                <w:rFonts w:ascii="Arial" w:eastAsia="Arial" w:hAnsi="Arial" w:cs="Arial"/>
                <w:b/>
                <w:sz w:val="18"/>
                <w:szCs w:val="18"/>
              </w:rPr>
              <w:t xml:space="preserve">Sala Superior:    </w:t>
            </w:r>
          </w:p>
          <w:p w14:paraId="23B18116" w14:textId="64E7D6EC" w:rsidR="009A1271" w:rsidRDefault="00000000">
            <w:pPr>
              <w:rPr>
                <w:rFonts w:ascii="Arial" w:eastAsia="Arial" w:hAnsi="Arial" w:cs="Arial"/>
                <w:b/>
                <w:sz w:val="18"/>
                <w:szCs w:val="18"/>
              </w:rPr>
            </w:pPr>
            <w:r>
              <w:rPr>
                <w:rFonts w:ascii="Arial" w:eastAsia="Arial" w:hAnsi="Arial" w:cs="Arial"/>
                <w:b/>
                <w:sz w:val="18"/>
                <w:szCs w:val="18"/>
              </w:rPr>
              <w:t xml:space="preserve">   TEPJF:</w:t>
            </w:r>
          </w:p>
          <w:p w14:paraId="692AC782" w14:textId="4C77270F" w:rsidR="001B1F60" w:rsidRDefault="001B1F60" w:rsidP="001B1F60">
            <w:pPr>
              <w:ind w:left="170"/>
              <w:rPr>
                <w:rFonts w:ascii="Arial" w:eastAsia="Arial" w:hAnsi="Arial" w:cs="Arial"/>
                <w:b/>
                <w:sz w:val="18"/>
                <w:szCs w:val="18"/>
              </w:rPr>
            </w:pPr>
            <w:r>
              <w:rPr>
                <w:rFonts w:ascii="Arial" w:eastAsia="Arial" w:hAnsi="Arial" w:cs="Arial"/>
                <w:b/>
                <w:sz w:val="18"/>
                <w:szCs w:val="18"/>
              </w:rPr>
              <w:t>Tribunal Electoral:</w:t>
            </w:r>
          </w:p>
        </w:tc>
        <w:tc>
          <w:tcPr>
            <w:tcW w:w="6520" w:type="dxa"/>
          </w:tcPr>
          <w:p w14:paraId="66D5D0D7" w14:textId="77777777" w:rsidR="009A1271" w:rsidRDefault="00000000">
            <w:pPr>
              <w:rPr>
                <w:rFonts w:ascii="Arial" w:eastAsia="Arial" w:hAnsi="Arial" w:cs="Arial"/>
                <w:sz w:val="18"/>
                <w:szCs w:val="18"/>
              </w:rPr>
            </w:pPr>
            <w:r>
              <w:rPr>
                <w:rFonts w:ascii="Arial" w:eastAsia="Arial" w:hAnsi="Arial" w:cs="Arial"/>
                <w:sz w:val="18"/>
                <w:szCs w:val="18"/>
              </w:rPr>
              <w:t>Sala Superior del Tribunal Electoral del Poder Judicial de la Federación.</w:t>
            </w:r>
          </w:p>
          <w:p w14:paraId="33B9B92C" w14:textId="327A2418" w:rsidR="009A1271" w:rsidRDefault="00000000">
            <w:pPr>
              <w:rPr>
                <w:rFonts w:ascii="Arial" w:eastAsia="Arial" w:hAnsi="Arial" w:cs="Arial"/>
                <w:sz w:val="18"/>
                <w:szCs w:val="18"/>
              </w:rPr>
            </w:pPr>
            <w:r>
              <w:rPr>
                <w:rFonts w:ascii="Arial" w:eastAsia="Arial" w:hAnsi="Arial" w:cs="Arial"/>
                <w:sz w:val="18"/>
                <w:szCs w:val="18"/>
              </w:rPr>
              <w:t xml:space="preserve">Tribunal Electoral del Poder Judicial de la Federación. </w:t>
            </w:r>
            <w:r w:rsidR="001B1F60">
              <w:rPr>
                <w:rFonts w:ascii="Arial" w:eastAsia="Arial" w:hAnsi="Arial" w:cs="Arial"/>
                <w:sz w:val="18"/>
                <w:szCs w:val="18"/>
              </w:rPr>
              <w:br/>
              <w:t>Tribunal Electoral del Estado de Aguascalientes.</w:t>
            </w:r>
          </w:p>
        </w:tc>
      </w:tr>
      <w:tr w:rsidR="009A1271" w14:paraId="79118F86" w14:textId="77777777" w:rsidTr="001B1F60">
        <w:trPr>
          <w:trHeight w:val="360"/>
        </w:trPr>
        <w:tc>
          <w:tcPr>
            <w:tcW w:w="2693" w:type="dxa"/>
          </w:tcPr>
          <w:p w14:paraId="15F697FD" w14:textId="77777777" w:rsidR="009A1271" w:rsidRDefault="009A1271">
            <w:pPr>
              <w:rPr>
                <w:rFonts w:ascii="Arial" w:eastAsia="Arial" w:hAnsi="Arial" w:cs="Arial"/>
                <w:b/>
                <w:sz w:val="18"/>
                <w:szCs w:val="18"/>
              </w:rPr>
            </w:pPr>
          </w:p>
        </w:tc>
        <w:tc>
          <w:tcPr>
            <w:tcW w:w="6520" w:type="dxa"/>
          </w:tcPr>
          <w:p w14:paraId="30319443" w14:textId="77777777" w:rsidR="009A1271" w:rsidRDefault="009A1271">
            <w:pPr>
              <w:rPr>
                <w:rFonts w:ascii="Arial" w:eastAsia="Arial" w:hAnsi="Arial" w:cs="Arial"/>
                <w:sz w:val="18"/>
                <w:szCs w:val="18"/>
              </w:rPr>
            </w:pPr>
          </w:p>
        </w:tc>
      </w:tr>
    </w:tbl>
    <w:p w14:paraId="15AF790A" w14:textId="77777777" w:rsidR="009A1271" w:rsidRDefault="00000000">
      <w:pPr>
        <w:pStyle w:val="Ttulo1"/>
        <w:numPr>
          <w:ilvl w:val="0"/>
          <w:numId w:val="2"/>
        </w:numPr>
        <w:ind w:left="0" w:firstLine="0"/>
        <w:jc w:val="left"/>
        <w:rPr>
          <w:smallCaps w:val="0"/>
        </w:rPr>
      </w:pPr>
      <w:bookmarkStart w:id="2" w:name="_heading=h.1fob9te" w:colFirst="0" w:colLast="0"/>
      <w:bookmarkEnd w:id="2"/>
      <w:r>
        <w:rPr>
          <w:smallCaps w:val="0"/>
        </w:rPr>
        <w:t>Contexto del caso</w:t>
      </w:r>
      <w:r>
        <w:rPr>
          <w:vertAlign w:val="superscript"/>
        </w:rPr>
        <w:footnoteReference w:id="2"/>
      </w:r>
    </w:p>
    <w:p w14:paraId="07C341AA" w14:textId="77777777" w:rsidR="009A1271" w:rsidRDefault="009A1271">
      <w:pPr>
        <w:pBdr>
          <w:top w:val="nil"/>
          <w:left w:val="nil"/>
          <w:bottom w:val="nil"/>
          <w:right w:val="nil"/>
          <w:between w:val="nil"/>
        </w:pBdr>
        <w:rPr>
          <w:color w:val="000000"/>
        </w:rPr>
      </w:pPr>
    </w:p>
    <w:p w14:paraId="68BABFBE" w14:textId="77777777" w:rsidR="009A1271" w:rsidRDefault="00000000">
      <w:pPr>
        <w:numPr>
          <w:ilvl w:val="0"/>
          <w:numId w:val="1"/>
        </w:numPr>
        <w:pBdr>
          <w:top w:val="nil"/>
          <w:left w:val="nil"/>
          <w:bottom w:val="nil"/>
          <w:right w:val="nil"/>
          <w:between w:val="nil"/>
        </w:pBdr>
        <w:tabs>
          <w:tab w:val="left" w:pos="284"/>
        </w:tabs>
        <w:spacing w:line="360" w:lineRule="auto"/>
        <w:ind w:left="0" w:firstLine="0"/>
        <w:jc w:val="both"/>
        <w:rPr>
          <w:color w:val="000000"/>
          <w:sz w:val="24"/>
          <w:szCs w:val="24"/>
        </w:rPr>
      </w:pPr>
      <w:r>
        <w:rPr>
          <w:rFonts w:ascii="Arial" w:eastAsia="Arial" w:hAnsi="Arial" w:cs="Arial"/>
          <w:b/>
          <w:color w:val="000000"/>
          <w:sz w:val="24"/>
          <w:szCs w:val="24"/>
        </w:rPr>
        <w:t xml:space="preserve">Manifestación de intención de constituir un partido político local. </w:t>
      </w:r>
      <w:r>
        <w:rPr>
          <w:rFonts w:ascii="Arial" w:eastAsia="Arial" w:hAnsi="Arial" w:cs="Arial"/>
          <w:sz w:val="24"/>
          <w:szCs w:val="24"/>
        </w:rPr>
        <w:t xml:space="preserve">El 31 de enero, la ciudadana Guadalupe Martínez Montenegro, quien se ostentó como la representante legal de la organización ciudadana “Juntos Avanzamos, A.C.”, presentó ante el Instituto Local, un escrito de manifestación de intención de constituir un partido político local en el estado de Aguascalientes. </w:t>
      </w:r>
    </w:p>
    <w:p w14:paraId="5F5AC393" w14:textId="77777777" w:rsidR="009A1271" w:rsidRDefault="009A1271">
      <w:pPr>
        <w:pBdr>
          <w:top w:val="nil"/>
          <w:left w:val="nil"/>
          <w:bottom w:val="nil"/>
          <w:right w:val="nil"/>
          <w:between w:val="nil"/>
        </w:pBdr>
        <w:rPr>
          <w:color w:val="000000"/>
        </w:rPr>
      </w:pPr>
    </w:p>
    <w:p w14:paraId="380DB94B" w14:textId="77777777" w:rsidR="009A1271" w:rsidRDefault="00000000" w:rsidP="001B1F60">
      <w:pPr>
        <w:widowControl w:val="0"/>
        <w:numPr>
          <w:ilvl w:val="0"/>
          <w:numId w:val="1"/>
        </w:numPr>
        <w:pBdr>
          <w:top w:val="nil"/>
          <w:left w:val="nil"/>
          <w:bottom w:val="nil"/>
          <w:right w:val="nil"/>
          <w:between w:val="nil"/>
        </w:pBdr>
        <w:tabs>
          <w:tab w:val="left" w:pos="284"/>
        </w:tabs>
        <w:spacing w:line="360" w:lineRule="auto"/>
        <w:ind w:left="0" w:firstLine="0"/>
        <w:jc w:val="both"/>
        <w:rPr>
          <w:rFonts w:ascii="Arial" w:eastAsia="Arial" w:hAnsi="Arial" w:cs="Arial"/>
          <w:sz w:val="24"/>
          <w:szCs w:val="24"/>
        </w:rPr>
      </w:pPr>
      <w:r>
        <w:rPr>
          <w:rFonts w:ascii="Arial" w:eastAsia="Arial" w:hAnsi="Arial" w:cs="Arial"/>
          <w:b/>
          <w:sz w:val="24"/>
          <w:szCs w:val="24"/>
        </w:rPr>
        <w:lastRenderedPageBreak/>
        <w:t xml:space="preserve">Resolución del Consejo General (CG-R-06/23). </w:t>
      </w:r>
      <w:r>
        <w:rPr>
          <w:rFonts w:ascii="Arial" w:eastAsia="Arial" w:hAnsi="Arial" w:cs="Arial"/>
          <w:sz w:val="24"/>
          <w:szCs w:val="24"/>
        </w:rPr>
        <w:t xml:space="preserve">El 28 de febrero, el Consejo General del Instituto Local declaró improcedente la manifestación de la intención de la organización ciudadana en cuestión, dado que, a pesar del requerimiento realizado por el Secretario Ejecutivo, esta no cumplió integralmente con los requisitos legales en su manifestación de intención de constituirse como partido político local. </w:t>
      </w:r>
    </w:p>
    <w:p w14:paraId="018A3264" w14:textId="77777777" w:rsidR="009A1271" w:rsidRDefault="009A1271">
      <w:pPr>
        <w:pBdr>
          <w:top w:val="nil"/>
          <w:left w:val="nil"/>
          <w:bottom w:val="nil"/>
          <w:right w:val="nil"/>
          <w:between w:val="nil"/>
        </w:pBdr>
        <w:rPr>
          <w:color w:val="000000"/>
        </w:rPr>
      </w:pPr>
    </w:p>
    <w:p w14:paraId="2DBBC606" w14:textId="181D7016" w:rsidR="009A1271" w:rsidRDefault="00000000">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bookmarkStart w:id="3" w:name="_heading=h.3znysh7" w:colFirst="0" w:colLast="0"/>
      <w:bookmarkEnd w:id="3"/>
      <w:r>
        <w:rPr>
          <w:rFonts w:ascii="Arial" w:eastAsia="Arial" w:hAnsi="Arial" w:cs="Arial"/>
          <w:b/>
          <w:sz w:val="24"/>
          <w:szCs w:val="24"/>
        </w:rPr>
        <w:t>Recurso de apelación (TEEA-RAP-005/2023).</w:t>
      </w:r>
      <w:r>
        <w:rPr>
          <w:rFonts w:ascii="Arial" w:eastAsia="Arial" w:hAnsi="Arial" w:cs="Arial"/>
          <w:sz w:val="24"/>
          <w:szCs w:val="24"/>
        </w:rPr>
        <w:t xml:space="preserve"> </w:t>
      </w:r>
      <w:r w:rsidR="0088650D">
        <w:rPr>
          <w:rFonts w:ascii="Arial" w:eastAsia="Arial" w:hAnsi="Arial" w:cs="Arial"/>
          <w:sz w:val="24"/>
          <w:szCs w:val="24"/>
        </w:rPr>
        <w:t>E</w:t>
      </w:r>
      <w:r>
        <w:rPr>
          <w:rFonts w:ascii="Arial" w:eastAsia="Arial" w:hAnsi="Arial" w:cs="Arial"/>
          <w:sz w:val="24"/>
          <w:szCs w:val="24"/>
        </w:rPr>
        <w:t>l 8 de marzo,</w:t>
      </w:r>
      <w:r w:rsidR="0088650D">
        <w:rPr>
          <w:rFonts w:ascii="Arial" w:eastAsia="Arial" w:hAnsi="Arial" w:cs="Arial"/>
          <w:sz w:val="24"/>
          <w:szCs w:val="24"/>
        </w:rPr>
        <w:t xml:space="preserve"> se presentó un escrito que se atribuye a</w:t>
      </w:r>
      <w:r>
        <w:rPr>
          <w:rFonts w:ascii="Arial" w:eastAsia="Arial" w:hAnsi="Arial" w:cs="Arial"/>
          <w:sz w:val="24"/>
          <w:szCs w:val="24"/>
        </w:rPr>
        <w:t xml:space="preserve"> la representante legal de la organización ciudadana “Juntos Avanzamos, A.C.”, </w:t>
      </w:r>
      <w:r w:rsidR="0088650D">
        <w:rPr>
          <w:rFonts w:ascii="Arial" w:eastAsia="Arial" w:hAnsi="Arial" w:cs="Arial"/>
          <w:sz w:val="24"/>
          <w:szCs w:val="24"/>
        </w:rPr>
        <w:t>consistente en</w:t>
      </w:r>
      <w:r>
        <w:rPr>
          <w:rFonts w:ascii="Arial" w:eastAsia="Arial" w:hAnsi="Arial" w:cs="Arial"/>
          <w:sz w:val="24"/>
          <w:szCs w:val="24"/>
        </w:rPr>
        <w:t xml:space="preserve"> el recurso de apelación de mérito ante el Instituto Local, </w:t>
      </w:r>
      <w:r w:rsidR="0088650D">
        <w:rPr>
          <w:rFonts w:ascii="Arial" w:eastAsia="Arial" w:hAnsi="Arial" w:cs="Arial"/>
          <w:sz w:val="24"/>
          <w:szCs w:val="24"/>
        </w:rPr>
        <w:t xml:space="preserve">en el que </w:t>
      </w:r>
      <w:r w:rsidR="00B24BE5">
        <w:rPr>
          <w:rFonts w:ascii="Arial" w:eastAsia="Arial" w:hAnsi="Arial" w:cs="Arial"/>
          <w:sz w:val="24"/>
          <w:szCs w:val="24"/>
        </w:rPr>
        <w:t>se considera</w:t>
      </w:r>
      <w:r>
        <w:rPr>
          <w:rFonts w:ascii="Arial" w:eastAsia="Arial" w:hAnsi="Arial" w:cs="Arial"/>
          <w:sz w:val="24"/>
          <w:szCs w:val="24"/>
        </w:rPr>
        <w:t xml:space="preserve"> que se vulneró su derecho de asociación, ya que, a su criterio, se realizó una indebida valoración de los requisitos presentados respecto de su manifestación de intención para constituir un partido político local.</w:t>
      </w:r>
    </w:p>
    <w:p w14:paraId="17A8A7A7" w14:textId="77777777" w:rsidR="009A1271" w:rsidRDefault="009A1271">
      <w:pPr>
        <w:pBdr>
          <w:top w:val="nil"/>
          <w:left w:val="nil"/>
          <w:bottom w:val="nil"/>
          <w:right w:val="nil"/>
          <w:between w:val="nil"/>
        </w:pBdr>
        <w:ind w:left="720"/>
        <w:rPr>
          <w:rFonts w:ascii="Arial" w:eastAsia="Arial" w:hAnsi="Arial" w:cs="Arial"/>
          <w:color w:val="000000"/>
          <w:sz w:val="24"/>
          <w:szCs w:val="24"/>
        </w:rPr>
      </w:pPr>
    </w:p>
    <w:p w14:paraId="3C347DFC" w14:textId="77777777" w:rsidR="009A1271" w:rsidRDefault="00000000">
      <w:pPr>
        <w:widowControl w:val="0"/>
        <w:pBdr>
          <w:top w:val="nil"/>
          <w:left w:val="nil"/>
          <w:bottom w:val="nil"/>
          <w:right w:val="nil"/>
          <w:between w:val="nil"/>
        </w:pBd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El 14 siguiente, el Secretario Ejecutivo rindió el informe justificado y al día siguiente remitió las constancias respectivas a esta autoridad jurisdiccional. </w:t>
      </w:r>
    </w:p>
    <w:p w14:paraId="44D1F33E" w14:textId="77777777" w:rsidR="009A1271" w:rsidRDefault="009A1271">
      <w:pPr>
        <w:pBdr>
          <w:top w:val="nil"/>
          <w:left w:val="nil"/>
          <w:bottom w:val="nil"/>
          <w:right w:val="nil"/>
          <w:between w:val="nil"/>
        </w:pBdr>
        <w:rPr>
          <w:color w:val="000000"/>
        </w:rPr>
      </w:pPr>
    </w:p>
    <w:p w14:paraId="456D66A4" w14:textId="77777777" w:rsidR="009A1271" w:rsidRDefault="00000000">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Pr>
          <w:rFonts w:ascii="Arial" w:eastAsia="Arial" w:hAnsi="Arial" w:cs="Arial"/>
          <w:b/>
          <w:sz w:val="24"/>
          <w:szCs w:val="24"/>
        </w:rPr>
        <w:t>Turno, radicación, admisión y cierre de instrucción.</w:t>
      </w:r>
      <w:r>
        <w:rPr>
          <w:rFonts w:ascii="Arial" w:eastAsia="Arial" w:hAnsi="Arial" w:cs="Arial"/>
          <w:sz w:val="24"/>
          <w:szCs w:val="24"/>
        </w:rPr>
        <w:t xml:space="preserve"> En misma fecha, se registró con el número de expediente (TEEA-RAP-005/2023) y fue turnado a la Ponencia de la Magistrada Laura Hortensia Llamas Hernández, quien en su oportunidad lo radicó. </w:t>
      </w:r>
    </w:p>
    <w:p w14:paraId="1107889C" w14:textId="77777777" w:rsidR="009A1271" w:rsidRDefault="009A1271" w:rsidP="001B1F60">
      <w:pPr>
        <w:pStyle w:val="Sinespaciado"/>
        <w:rPr>
          <w:rFonts w:eastAsia="Arial"/>
        </w:rPr>
      </w:pPr>
    </w:p>
    <w:p w14:paraId="691072C8" w14:textId="77777777" w:rsidR="009A1271" w:rsidRDefault="00000000">
      <w:pPr>
        <w:spacing w:line="360" w:lineRule="auto"/>
        <w:jc w:val="both"/>
        <w:rPr>
          <w:rFonts w:ascii="Arial" w:eastAsia="Arial" w:hAnsi="Arial" w:cs="Arial"/>
          <w:sz w:val="24"/>
          <w:szCs w:val="24"/>
        </w:rPr>
      </w:pPr>
      <w:r>
        <w:rPr>
          <w:rFonts w:ascii="Arial" w:eastAsia="Arial" w:hAnsi="Arial" w:cs="Arial"/>
          <w:b/>
          <w:color w:val="000000"/>
          <w:sz w:val="24"/>
          <w:szCs w:val="24"/>
        </w:rPr>
        <w:t>II. Competencia</w:t>
      </w:r>
    </w:p>
    <w:p w14:paraId="37103FA5" w14:textId="77777777" w:rsidR="009A1271" w:rsidRDefault="009A1271">
      <w:pPr>
        <w:pBdr>
          <w:top w:val="nil"/>
          <w:left w:val="nil"/>
          <w:bottom w:val="nil"/>
          <w:right w:val="nil"/>
          <w:between w:val="nil"/>
        </w:pBdr>
        <w:jc w:val="both"/>
        <w:rPr>
          <w:color w:val="000000"/>
        </w:rPr>
      </w:pPr>
    </w:p>
    <w:p w14:paraId="05666061" w14:textId="77777777" w:rsidR="009A1271" w:rsidRDefault="00000000">
      <w:pPr>
        <w:spacing w:line="360" w:lineRule="auto"/>
        <w:jc w:val="both"/>
        <w:rPr>
          <w:rFonts w:ascii="Arial" w:eastAsia="Arial" w:hAnsi="Arial" w:cs="Arial"/>
          <w:sz w:val="24"/>
          <w:szCs w:val="24"/>
        </w:rPr>
      </w:pPr>
      <w:r>
        <w:rPr>
          <w:rFonts w:ascii="Arial" w:eastAsia="Arial" w:hAnsi="Arial" w:cs="Arial"/>
          <w:sz w:val="24"/>
          <w:szCs w:val="24"/>
        </w:rPr>
        <w:t>Este Tribunal es competente para conocer y resolver el presente recurso, por tratarse de un medio de impugnación interpuesto para controvertir una resolución del Consejo General del Instituto Local que determinó la improcedencia de la manifestación de intención de la organización ciudadana “Juntos Avanzamos, A.C.” para constituirse como partido político local en Aguascalientes. Lo anterior, de conformidad con los artículos 297, fracción II, 335, fracción II, 336 y 337 del Código Electoral.</w:t>
      </w:r>
    </w:p>
    <w:p w14:paraId="438C2EFF" w14:textId="77777777" w:rsidR="009A1271" w:rsidRDefault="009A1271">
      <w:pPr>
        <w:pBdr>
          <w:top w:val="nil"/>
          <w:left w:val="nil"/>
          <w:bottom w:val="nil"/>
          <w:right w:val="nil"/>
          <w:between w:val="nil"/>
        </w:pBdr>
        <w:rPr>
          <w:color w:val="000000"/>
        </w:rPr>
      </w:pPr>
    </w:p>
    <w:p w14:paraId="73F3CA98" w14:textId="080A3D3B" w:rsidR="009A1271" w:rsidRDefault="00000000">
      <w:pPr>
        <w:pStyle w:val="Ttulo1"/>
        <w:rPr>
          <w:b w:val="0"/>
          <w:smallCaps w:val="0"/>
        </w:rPr>
      </w:pPr>
      <w:bookmarkStart w:id="4" w:name="_heading=h.2et92p0" w:colFirst="0" w:colLast="0"/>
      <w:bookmarkEnd w:id="4"/>
      <w:r>
        <w:rPr>
          <w:smallCaps w:val="0"/>
        </w:rPr>
        <w:t xml:space="preserve">III. Improcedencia. </w:t>
      </w:r>
      <w:r>
        <w:rPr>
          <w:b w:val="0"/>
          <w:smallCaps w:val="0"/>
        </w:rPr>
        <w:t xml:space="preserve">El presente medio de impugnación es improcedente y, por tanto, la demanda debe </w:t>
      </w:r>
      <w:r w:rsidRPr="00B24BE5">
        <w:rPr>
          <w:bCs/>
          <w:smallCaps w:val="0"/>
        </w:rPr>
        <w:t>desecharse de plano</w:t>
      </w:r>
      <w:r>
        <w:rPr>
          <w:b w:val="0"/>
          <w:smallCaps w:val="0"/>
        </w:rPr>
        <w:t xml:space="preserve">, ya que, con independencia de que se actualice alguna otra causal de improcedencia, el escrito presentado no cumple con el requisito relativo a </w:t>
      </w:r>
      <w:r w:rsidRPr="00B24BE5">
        <w:rPr>
          <w:bCs/>
          <w:smallCaps w:val="0"/>
        </w:rPr>
        <w:t>contener la firma autógrafa de la parte recurrente</w:t>
      </w:r>
      <w:r w:rsidR="001B1F60">
        <w:rPr>
          <w:b w:val="0"/>
          <w:smallCaps w:val="0"/>
        </w:rPr>
        <w:t>, conforme a las consideraciones siguientes.</w:t>
      </w:r>
    </w:p>
    <w:p w14:paraId="166EAC2B" w14:textId="77777777" w:rsidR="001B1F60" w:rsidRDefault="001B1F60">
      <w:pPr>
        <w:pBdr>
          <w:top w:val="nil"/>
          <w:left w:val="nil"/>
          <w:bottom w:val="nil"/>
          <w:right w:val="nil"/>
          <w:between w:val="nil"/>
        </w:pBdr>
        <w:jc w:val="both"/>
        <w:rPr>
          <w:color w:val="000000"/>
        </w:rPr>
      </w:pPr>
    </w:p>
    <w:p w14:paraId="10F58702" w14:textId="77777777" w:rsidR="009A1271" w:rsidRPr="001B1F60" w:rsidRDefault="00000000">
      <w:pPr>
        <w:spacing w:line="360" w:lineRule="auto"/>
        <w:jc w:val="both"/>
        <w:rPr>
          <w:rFonts w:ascii="Arial" w:eastAsia="Arial" w:hAnsi="Arial" w:cs="Arial"/>
          <w:b/>
          <w:sz w:val="24"/>
          <w:szCs w:val="24"/>
        </w:rPr>
      </w:pPr>
      <w:r w:rsidRPr="005A645B">
        <w:rPr>
          <w:rFonts w:ascii="Arial" w:eastAsia="Arial" w:hAnsi="Arial" w:cs="Arial"/>
          <w:b/>
          <w:sz w:val="24"/>
          <w:szCs w:val="24"/>
        </w:rPr>
        <w:t>1. Marco normativo</w:t>
      </w:r>
    </w:p>
    <w:p w14:paraId="36491D7D" w14:textId="77777777" w:rsidR="009A1271" w:rsidRPr="001B1F60" w:rsidRDefault="009A1271" w:rsidP="001B1F60">
      <w:pPr>
        <w:pStyle w:val="Sinespaciado"/>
        <w:rPr>
          <w:rFonts w:eastAsia="Arial"/>
        </w:rPr>
      </w:pPr>
    </w:p>
    <w:p w14:paraId="60CF2252" w14:textId="4E9C2994" w:rsidR="009A1271" w:rsidRDefault="00000000" w:rsidP="001B1F60">
      <w:pPr>
        <w:spacing w:line="360" w:lineRule="auto"/>
        <w:jc w:val="both"/>
        <w:rPr>
          <w:rFonts w:ascii="Arial" w:eastAsia="Arial" w:hAnsi="Arial" w:cs="Arial"/>
          <w:sz w:val="24"/>
          <w:szCs w:val="24"/>
        </w:rPr>
      </w:pPr>
      <w:r w:rsidRPr="001B1F60">
        <w:rPr>
          <w:rFonts w:ascii="Arial" w:eastAsia="Arial" w:hAnsi="Arial" w:cs="Arial"/>
          <w:sz w:val="24"/>
          <w:szCs w:val="24"/>
        </w:rPr>
        <w:t xml:space="preserve">El artículo 302, fracción VII, del Código Electoral, en armonía con el diverso artículo 9, numeral 1, inciso g), de la Ley de Medios, prevén que los medios de impugnación deben cumplir, entre otros requisitos, el de hacer constar la </w:t>
      </w:r>
      <w:r w:rsidRPr="001B1F60">
        <w:rPr>
          <w:rFonts w:ascii="Arial" w:eastAsia="Arial" w:hAnsi="Arial" w:cs="Arial"/>
          <w:b/>
          <w:sz w:val="24"/>
          <w:szCs w:val="24"/>
        </w:rPr>
        <w:t>firma autógrafa de la parte recurrente</w:t>
      </w:r>
      <w:r w:rsidRPr="001B1F60">
        <w:rPr>
          <w:rFonts w:ascii="Arial" w:eastAsia="Arial" w:hAnsi="Arial" w:cs="Arial"/>
          <w:sz w:val="24"/>
          <w:szCs w:val="24"/>
        </w:rPr>
        <w:t>.</w:t>
      </w:r>
    </w:p>
    <w:p w14:paraId="57F3E868" w14:textId="77777777" w:rsidR="001B1F60" w:rsidRPr="001B1F60" w:rsidRDefault="001B1F60" w:rsidP="001B1F60">
      <w:pPr>
        <w:pStyle w:val="Sinespaciado"/>
        <w:rPr>
          <w:rFonts w:eastAsia="Arial"/>
        </w:rPr>
      </w:pPr>
    </w:p>
    <w:p w14:paraId="05648187" w14:textId="7269F87E" w:rsidR="009A1271" w:rsidRPr="001B1F60" w:rsidRDefault="00000000" w:rsidP="001B1F60">
      <w:pPr>
        <w:spacing w:line="360" w:lineRule="auto"/>
        <w:jc w:val="both"/>
        <w:rPr>
          <w:rFonts w:ascii="Arial" w:eastAsia="Arial" w:hAnsi="Arial" w:cs="Arial"/>
          <w:sz w:val="24"/>
          <w:szCs w:val="24"/>
        </w:rPr>
      </w:pPr>
      <w:r w:rsidRPr="001B1F60">
        <w:rPr>
          <w:rFonts w:ascii="Arial" w:eastAsia="Arial" w:hAnsi="Arial" w:cs="Arial"/>
          <w:sz w:val="24"/>
          <w:szCs w:val="24"/>
        </w:rPr>
        <w:lastRenderedPageBreak/>
        <w:t xml:space="preserve">Asimismo, el artículo 303, fracción II, de </w:t>
      </w:r>
      <w:r w:rsidR="005A645B">
        <w:rPr>
          <w:rFonts w:ascii="Arial" w:eastAsia="Arial" w:hAnsi="Arial" w:cs="Arial"/>
          <w:sz w:val="24"/>
          <w:szCs w:val="24"/>
        </w:rPr>
        <w:t>la Ley local</w:t>
      </w:r>
      <w:r w:rsidRPr="001B1F60">
        <w:rPr>
          <w:rFonts w:ascii="Arial" w:eastAsia="Arial" w:hAnsi="Arial" w:cs="Arial"/>
          <w:sz w:val="24"/>
          <w:szCs w:val="24"/>
        </w:rPr>
        <w:t xml:space="preserve">, establece que, </w:t>
      </w:r>
      <w:r w:rsidRPr="001B1F60">
        <w:rPr>
          <w:rFonts w:ascii="Arial" w:eastAsia="Arial" w:hAnsi="Arial" w:cs="Arial"/>
          <w:b/>
          <w:sz w:val="24"/>
          <w:szCs w:val="24"/>
        </w:rPr>
        <w:t>de incumplirse</w:t>
      </w:r>
      <w:r w:rsidRPr="001B1F60">
        <w:rPr>
          <w:rFonts w:ascii="Arial" w:eastAsia="Arial" w:hAnsi="Arial" w:cs="Arial"/>
          <w:sz w:val="24"/>
          <w:szCs w:val="24"/>
        </w:rPr>
        <w:t xml:space="preserve"> el requisito anterior, </w:t>
      </w:r>
      <w:r w:rsidRPr="001B1F60">
        <w:rPr>
          <w:rFonts w:ascii="Arial" w:eastAsia="Arial" w:hAnsi="Arial" w:cs="Arial"/>
          <w:b/>
          <w:sz w:val="24"/>
          <w:szCs w:val="24"/>
        </w:rPr>
        <w:t xml:space="preserve">procederá el desechamiento de plano </w:t>
      </w:r>
      <w:r w:rsidRPr="001B1F60">
        <w:rPr>
          <w:rFonts w:ascii="Arial" w:eastAsia="Arial" w:hAnsi="Arial" w:cs="Arial"/>
          <w:sz w:val="24"/>
          <w:szCs w:val="24"/>
        </w:rPr>
        <w:t>de tal medio.</w:t>
      </w:r>
    </w:p>
    <w:p w14:paraId="367CC25D" w14:textId="2C48E1A2" w:rsidR="009A1271" w:rsidRDefault="00000000" w:rsidP="005A645B">
      <w:pPr>
        <w:spacing w:before="240" w:line="360" w:lineRule="auto"/>
        <w:jc w:val="both"/>
        <w:rPr>
          <w:rFonts w:ascii="Arial" w:eastAsia="Arial" w:hAnsi="Arial" w:cs="Arial"/>
          <w:sz w:val="24"/>
          <w:szCs w:val="24"/>
        </w:rPr>
      </w:pPr>
      <w:r w:rsidRPr="001B1F60">
        <w:rPr>
          <w:rFonts w:ascii="Arial" w:eastAsia="Arial" w:hAnsi="Arial" w:cs="Arial"/>
          <w:sz w:val="24"/>
          <w:szCs w:val="24"/>
        </w:rPr>
        <w:t xml:space="preserve">Al respecto, es criterio reiterado de las diversas Salas del TEPJF que la firma autógrafa constituye un requisito que, si bien es formal, es </w:t>
      </w:r>
      <w:r w:rsidRPr="001B1F60">
        <w:rPr>
          <w:rFonts w:ascii="Arial" w:eastAsia="Arial" w:hAnsi="Arial" w:cs="Arial"/>
          <w:b/>
          <w:sz w:val="24"/>
          <w:szCs w:val="24"/>
        </w:rPr>
        <w:t>indispensable para la validez del escrito</w:t>
      </w:r>
      <w:r w:rsidRPr="001B1F60">
        <w:rPr>
          <w:rFonts w:ascii="Arial" w:eastAsia="Arial" w:hAnsi="Arial" w:cs="Arial"/>
          <w:sz w:val="24"/>
          <w:szCs w:val="24"/>
        </w:rPr>
        <w:t>, pues ello dota de certeza y autenticidad el escrito de demanda, ya que hace posible identificar a la o el autor y, a su vez, demuestra su voluntad de suscribir el documento en cuestión.</w:t>
      </w:r>
      <w:r w:rsidR="005A645B">
        <w:rPr>
          <w:rStyle w:val="Refdenotaalpie"/>
          <w:rFonts w:ascii="Arial" w:eastAsia="Arial" w:hAnsi="Arial" w:cs="Arial"/>
          <w:sz w:val="24"/>
          <w:szCs w:val="24"/>
        </w:rPr>
        <w:footnoteReference w:id="3"/>
      </w:r>
    </w:p>
    <w:p w14:paraId="4794C0AA" w14:textId="77777777" w:rsidR="005A645B" w:rsidRPr="001B1F60" w:rsidRDefault="005A645B" w:rsidP="005A645B">
      <w:pPr>
        <w:pStyle w:val="Sinespaciado"/>
        <w:rPr>
          <w:rFonts w:eastAsia="Arial"/>
        </w:rPr>
      </w:pPr>
    </w:p>
    <w:p w14:paraId="6B394532" w14:textId="77777777" w:rsidR="009A1271" w:rsidRPr="001B1F60" w:rsidRDefault="00000000">
      <w:pPr>
        <w:spacing w:line="360" w:lineRule="auto"/>
        <w:jc w:val="both"/>
        <w:rPr>
          <w:rFonts w:ascii="Arial" w:eastAsia="Arial" w:hAnsi="Arial" w:cs="Arial"/>
          <w:sz w:val="24"/>
          <w:szCs w:val="24"/>
        </w:rPr>
      </w:pPr>
      <w:r w:rsidRPr="001B1F60">
        <w:rPr>
          <w:rFonts w:ascii="Arial" w:eastAsia="Arial" w:hAnsi="Arial" w:cs="Arial"/>
          <w:sz w:val="24"/>
          <w:szCs w:val="24"/>
        </w:rPr>
        <w:t xml:space="preserve">Ahora bien, la Sala Superior ha establecido como </w:t>
      </w:r>
      <w:r w:rsidRPr="001B1F60">
        <w:rPr>
          <w:rFonts w:ascii="Arial" w:eastAsia="Arial" w:hAnsi="Arial" w:cs="Arial"/>
          <w:b/>
          <w:sz w:val="24"/>
          <w:szCs w:val="24"/>
        </w:rPr>
        <w:t>excepción</w:t>
      </w:r>
      <w:r w:rsidRPr="001B1F60">
        <w:rPr>
          <w:rFonts w:ascii="Arial" w:eastAsia="Arial" w:hAnsi="Arial" w:cs="Arial"/>
          <w:sz w:val="24"/>
          <w:szCs w:val="24"/>
        </w:rPr>
        <w:t xml:space="preserve"> a dicha regla, el hecho de que </w:t>
      </w:r>
      <w:r w:rsidRPr="001B1F60">
        <w:rPr>
          <w:rFonts w:ascii="Arial" w:eastAsia="Arial" w:hAnsi="Arial" w:cs="Arial"/>
          <w:b/>
          <w:sz w:val="24"/>
          <w:szCs w:val="24"/>
        </w:rPr>
        <w:t>el escrito de presentación contenga firma</w:t>
      </w:r>
      <w:r w:rsidRPr="001B1F60">
        <w:rPr>
          <w:rFonts w:ascii="Arial" w:eastAsia="Arial" w:hAnsi="Arial" w:cs="Arial"/>
          <w:sz w:val="24"/>
          <w:szCs w:val="24"/>
        </w:rPr>
        <w:t xml:space="preserve"> autógrafa de la parte actora, aun cuando el escrito de demanda carezca de esta, al estimar que ambos escritos deben considerarse como una unidad a través del cual se promueve un medio de impugnación.</w:t>
      </w:r>
      <w:r w:rsidRPr="001B1F60">
        <w:rPr>
          <w:rFonts w:ascii="Arial" w:eastAsia="Arial" w:hAnsi="Arial" w:cs="Arial"/>
          <w:sz w:val="24"/>
          <w:szCs w:val="24"/>
          <w:vertAlign w:val="superscript"/>
        </w:rPr>
        <w:footnoteReference w:id="4"/>
      </w:r>
      <w:r w:rsidRPr="001B1F60">
        <w:rPr>
          <w:rFonts w:ascii="Arial" w:eastAsia="Arial" w:hAnsi="Arial" w:cs="Arial"/>
          <w:sz w:val="24"/>
          <w:szCs w:val="24"/>
        </w:rPr>
        <w:t xml:space="preserve"> Asimismo, se ha flexibilizado ante posibles errores en la presentación, propiamente, entre la confusión al momento de entregar el acuse en lugar de la demanda.</w:t>
      </w:r>
      <w:r w:rsidRPr="001B1F60">
        <w:rPr>
          <w:rFonts w:ascii="Arial" w:eastAsia="Arial" w:hAnsi="Arial" w:cs="Arial"/>
          <w:sz w:val="24"/>
          <w:szCs w:val="24"/>
          <w:vertAlign w:val="superscript"/>
        </w:rPr>
        <w:footnoteReference w:id="5"/>
      </w:r>
    </w:p>
    <w:p w14:paraId="0F208016" w14:textId="77777777" w:rsidR="009A1271" w:rsidRPr="001B1F60" w:rsidRDefault="009A1271" w:rsidP="005A645B">
      <w:pPr>
        <w:pStyle w:val="Sinespaciado"/>
        <w:rPr>
          <w:rFonts w:eastAsia="Arial"/>
        </w:rPr>
      </w:pPr>
    </w:p>
    <w:p w14:paraId="6CDE7546" w14:textId="77777777" w:rsidR="009A1271" w:rsidRPr="001B1F60" w:rsidRDefault="00000000" w:rsidP="005A645B">
      <w:pPr>
        <w:spacing w:line="360" w:lineRule="auto"/>
        <w:jc w:val="both"/>
        <w:rPr>
          <w:rFonts w:ascii="Arial" w:eastAsia="Arial" w:hAnsi="Arial" w:cs="Arial"/>
          <w:sz w:val="24"/>
          <w:szCs w:val="24"/>
        </w:rPr>
      </w:pPr>
      <w:r w:rsidRPr="001B1F60">
        <w:rPr>
          <w:rFonts w:ascii="Arial" w:eastAsia="Arial" w:hAnsi="Arial" w:cs="Arial"/>
          <w:sz w:val="24"/>
          <w:szCs w:val="24"/>
        </w:rPr>
        <w:t xml:space="preserve">De lo expuesto, se concluye que la importancia de que la demanda contenga la firma de puño y letra del promovente, radica en que la autoridad resolutora tenga plena certeza de que </w:t>
      </w:r>
      <w:r w:rsidRPr="001B1F60">
        <w:rPr>
          <w:rFonts w:ascii="Arial" w:eastAsia="Arial" w:hAnsi="Arial" w:cs="Arial"/>
          <w:b/>
          <w:sz w:val="24"/>
          <w:szCs w:val="24"/>
        </w:rPr>
        <w:t>es voluntad de quien suscribe, tanto ejercer un derecho u acción</w:t>
      </w:r>
      <w:r w:rsidRPr="001B1F60">
        <w:rPr>
          <w:rFonts w:ascii="Arial" w:eastAsia="Arial" w:hAnsi="Arial" w:cs="Arial"/>
          <w:sz w:val="24"/>
          <w:szCs w:val="24"/>
        </w:rPr>
        <w:t>, como acudir ante el órgano jurisdiccional y, en consecuencia, estar en posibilidad jurídica de vincularlo con el contenido del mismo.</w:t>
      </w:r>
    </w:p>
    <w:p w14:paraId="71C1F91C" w14:textId="77777777" w:rsidR="009A1271" w:rsidRDefault="009A1271">
      <w:pPr>
        <w:pBdr>
          <w:top w:val="nil"/>
          <w:left w:val="nil"/>
          <w:bottom w:val="nil"/>
          <w:right w:val="nil"/>
          <w:between w:val="nil"/>
        </w:pBdr>
        <w:jc w:val="both"/>
        <w:rPr>
          <w:color w:val="000000"/>
          <w:sz w:val="14"/>
          <w:szCs w:val="14"/>
        </w:rPr>
      </w:pPr>
    </w:p>
    <w:p w14:paraId="397E9D1C" w14:textId="17909C11" w:rsidR="009A1271" w:rsidRDefault="00000000">
      <w:pPr>
        <w:spacing w:line="360" w:lineRule="auto"/>
        <w:jc w:val="both"/>
        <w:rPr>
          <w:rFonts w:ascii="Arial" w:eastAsia="Arial" w:hAnsi="Arial" w:cs="Arial"/>
          <w:b/>
          <w:sz w:val="24"/>
          <w:szCs w:val="24"/>
        </w:rPr>
      </w:pPr>
      <w:r>
        <w:rPr>
          <w:rFonts w:ascii="Arial" w:eastAsia="Arial" w:hAnsi="Arial" w:cs="Arial"/>
          <w:b/>
          <w:sz w:val="24"/>
          <w:szCs w:val="24"/>
        </w:rPr>
        <w:t xml:space="preserve">2. Caso concreto y valoración </w:t>
      </w:r>
    </w:p>
    <w:p w14:paraId="21BFF146" w14:textId="77777777" w:rsidR="005A645B" w:rsidRDefault="005A645B" w:rsidP="005A645B">
      <w:pPr>
        <w:pStyle w:val="Sinespaciado"/>
        <w:rPr>
          <w:rFonts w:eastAsia="Arial"/>
        </w:rPr>
      </w:pPr>
    </w:p>
    <w:p w14:paraId="495E116A" w14:textId="77777777" w:rsidR="009A1271" w:rsidRDefault="00000000">
      <w:pPr>
        <w:spacing w:line="360" w:lineRule="auto"/>
        <w:jc w:val="both"/>
        <w:rPr>
          <w:rFonts w:ascii="Arial" w:eastAsia="Arial" w:hAnsi="Arial" w:cs="Arial"/>
          <w:sz w:val="24"/>
          <w:szCs w:val="24"/>
        </w:rPr>
      </w:pPr>
      <w:r>
        <w:rPr>
          <w:rFonts w:ascii="Arial" w:eastAsia="Arial" w:hAnsi="Arial" w:cs="Arial"/>
          <w:sz w:val="24"/>
          <w:szCs w:val="24"/>
        </w:rPr>
        <w:t>En el caso, del escrito del medio de impugnación se advierte que el mismo es presentado a nombre de Guadalupe Martínez Montenegro, a fin de controvertir la resolución (CG-R-06/23) del Consejo General, en la cual se pronunció sobre la manifestación de intención para constituir un partido político local en Aguascalientes, presentada por la “Organización Ciudadana Juntos Avanzamos A.C.”.</w:t>
      </w:r>
    </w:p>
    <w:p w14:paraId="38CEEBF8" w14:textId="77777777" w:rsidR="009A1271" w:rsidRPr="005A645B" w:rsidRDefault="009A1271" w:rsidP="005A645B">
      <w:pPr>
        <w:pStyle w:val="Sinespaciado"/>
        <w:rPr>
          <w:rFonts w:eastAsia="Arial"/>
        </w:rPr>
      </w:pPr>
    </w:p>
    <w:p w14:paraId="753F6879" w14:textId="0204129C" w:rsidR="009A1271" w:rsidRDefault="005A645B">
      <w:pPr>
        <w:spacing w:line="360" w:lineRule="auto"/>
        <w:jc w:val="both"/>
        <w:rPr>
          <w:rFonts w:ascii="Arial" w:eastAsia="Arial" w:hAnsi="Arial" w:cs="Arial"/>
          <w:sz w:val="24"/>
          <w:szCs w:val="24"/>
        </w:rPr>
      </w:pPr>
      <w:r>
        <w:rPr>
          <w:rFonts w:ascii="Arial" w:eastAsia="Arial" w:hAnsi="Arial" w:cs="Arial"/>
          <w:sz w:val="24"/>
          <w:szCs w:val="24"/>
        </w:rPr>
        <w:t xml:space="preserve">No obstante, este Tribunal Electoral considera que el recurso de apelación presentado por la parte recurrente </w:t>
      </w:r>
      <w:r w:rsidRPr="005A645B">
        <w:rPr>
          <w:rFonts w:ascii="Arial" w:eastAsia="Arial" w:hAnsi="Arial" w:cs="Arial"/>
          <w:b/>
          <w:bCs/>
          <w:sz w:val="24"/>
          <w:szCs w:val="24"/>
        </w:rPr>
        <w:t>debe desecharse de plano</w:t>
      </w:r>
      <w:r>
        <w:rPr>
          <w:rFonts w:ascii="Arial" w:eastAsia="Arial" w:hAnsi="Arial" w:cs="Arial"/>
          <w:sz w:val="24"/>
          <w:szCs w:val="24"/>
        </w:rPr>
        <w:t xml:space="preserve">, </w:t>
      </w:r>
      <w:r w:rsidRPr="005A645B">
        <w:rPr>
          <w:rFonts w:ascii="Arial" w:eastAsia="Arial" w:hAnsi="Arial" w:cs="Arial"/>
          <w:b/>
          <w:bCs/>
          <w:sz w:val="24"/>
          <w:szCs w:val="24"/>
        </w:rPr>
        <w:t>ya que carece de firma autógrafa</w:t>
      </w:r>
      <w:r>
        <w:rPr>
          <w:rFonts w:ascii="Arial" w:eastAsia="Arial" w:hAnsi="Arial" w:cs="Arial"/>
          <w:sz w:val="24"/>
          <w:szCs w:val="24"/>
        </w:rPr>
        <w:t>.</w:t>
      </w:r>
    </w:p>
    <w:p w14:paraId="714AA8A3" w14:textId="77777777" w:rsidR="005A645B" w:rsidRDefault="005A645B" w:rsidP="005A645B">
      <w:pPr>
        <w:pStyle w:val="Sinespaciado"/>
        <w:rPr>
          <w:rFonts w:eastAsia="Arial"/>
        </w:rPr>
      </w:pPr>
    </w:p>
    <w:p w14:paraId="1C97F2EE" w14:textId="77777777" w:rsidR="009A1271"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se considera así, ya que, como se precisó en el marco normativo, el artículo 302, fracción VII, del Código Electoral, establece como </w:t>
      </w:r>
      <w:r w:rsidRPr="005A645B">
        <w:rPr>
          <w:rFonts w:ascii="Arial" w:eastAsia="Arial" w:hAnsi="Arial" w:cs="Arial"/>
          <w:b/>
          <w:bCs/>
          <w:sz w:val="24"/>
          <w:szCs w:val="24"/>
        </w:rPr>
        <w:t>requisito indispensable</w:t>
      </w:r>
      <w:r>
        <w:rPr>
          <w:rFonts w:ascii="Arial" w:eastAsia="Arial" w:hAnsi="Arial" w:cs="Arial"/>
          <w:sz w:val="24"/>
          <w:szCs w:val="24"/>
        </w:rPr>
        <w:t xml:space="preserve"> que el escrito de demanda contenga tanto el nombre, como la firma de puño y letra de quien funge como parte actora.</w:t>
      </w:r>
    </w:p>
    <w:p w14:paraId="0C4F4970" w14:textId="77777777" w:rsidR="009A1271" w:rsidRDefault="009A1271" w:rsidP="005A645B">
      <w:pPr>
        <w:pStyle w:val="Sinespaciado"/>
        <w:rPr>
          <w:rFonts w:eastAsia="Arial"/>
        </w:rPr>
      </w:pPr>
    </w:p>
    <w:p w14:paraId="58C11146" w14:textId="2B68789E" w:rsidR="009A1271"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En tal sentido, de las constancias que obran en el </w:t>
      </w:r>
      <w:r w:rsidR="005A645B">
        <w:rPr>
          <w:rFonts w:ascii="Arial" w:eastAsia="Arial" w:hAnsi="Arial" w:cs="Arial"/>
          <w:sz w:val="24"/>
          <w:szCs w:val="24"/>
        </w:rPr>
        <w:t>expediente</w:t>
      </w:r>
      <w:r w:rsidR="00B24BE5">
        <w:rPr>
          <w:rFonts w:ascii="Arial" w:eastAsia="Arial" w:hAnsi="Arial" w:cs="Arial"/>
          <w:sz w:val="24"/>
          <w:szCs w:val="24"/>
        </w:rPr>
        <w:t>,</w:t>
      </w:r>
      <w:r w:rsidR="005A645B">
        <w:rPr>
          <w:rStyle w:val="Refdenotaalpie"/>
          <w:rFonts w:ascii="Arial" w:eastAsia="Arial" w:hAnsi="Arial" w:cs="Arial"/>
          <w:sz w:val="24"/>
          <w:szCs w:val="24"/>
        </w:rPr>
        <w:footnoteReference w:id="6"/>
      </w:r>
      <w:r>
        <w:rPr>
          <w:rFonts w:ascii="Arial" w:eastAsia="Arial" w:hAnsi="Arial" w:cs="Arial"/>
          <w:sz w:val="24"/>
          <w:szCs w:val="24"/>
        </w:rPr>
        <w:t xml:space="preserve"> se observa que, tanto el escrito de presentación del medio de impugnación como el de demanda, carecen de firma autógrafa por parte de quien supuestamente promueve el recurso en cuestión, tal como se aprecia a continuación:</w:t>
      </w:r>
    </w:p>
    <w:p w14:paraId="0CFB18B1" w14:textId="323FD41B" w:rsidR="005A645B" w:rsidRDefault="005A645B" w:rsidP="005A645B">
      <w:pPr>
        <w:pStyle w:val="Sinespaciado"/>
        <w:rPr>
          <w:rFonts w:eastAsia="Arial"/>
        </w:rPr>
      </w:pPr>
      <w:r>
        <w:rPr>
          <w:noProof/>
        </w:rPr>
        <w:drawing>
          <wp:anchor distT="0" distB="0" distL="114300" distR="114300" simplePos="0" relativeHeight="251661312" behindDoc="0" locked="0" layoutInCell="1" allowOverlap="1" wp14:anchorId="6F757B1C" wp14:editId="4B0E2865">
            <wp:simplePos x="0" y="0"/>
            <wp:positionH relativeFrom="column">
              <wp:posOffset>1043940</wp:posOffset>
            </wp:positionH>
            <wp:positionV relativeFrom="paragraph">
              <wp:posOffset>142875</wp:posOffset>
            </wp:positionV>
            <wp:extent cx="1739265" cy="22098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6389" t="13833" r="15612" b="4886"/>
                    <a:stretch/>
                  </pic:blipFill>
                  <pic:spPr bwMode="auto">
                    <a:xfrm>
                      <a:off x="0" y="0"/>
                      <a:ext cx="173926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E46644B" wp14:editId="6A4DF072">
            <wp:simplePos x="0" y="0"/>
            <wp:positionH relativeFrom="column">
              <wp:posOffset>2920780</wp:posOffset>
            </wp:positionH>
            <wp:positionV relativeFrom="paragraph">
              <wp:posOffset>142820</wp:posOffset>
            </wp:positionV>
            <wp:extent cx="1787857" cy="2215389"/>
            <wp:effectExtent l="0" t="0" r="317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66632" t="12968" r="16583" b="13092"/>
                    <a:stretch/>
                  </pic:blipFill>
                  <pic:spPr bwMode="auto">
                    <a:xfrm>
                      <a:off x="0" y="0"/>
                      <a:ext cx="1787857" cy="22153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8C40FC" w14:textId="62AC5A18" w:rsidR="005A645B" w:rsidRDefault="005A645B" w:rsidP="005A645B">
      <w:pPr>
        <w:pStyle w:val="Sinespaciado"/>
        <w:rPr>
          <w:rFonts w:eastAsia="Arial"/>
        </w:rPr>
      </w:pPr>
    </w:p>
    <w:p w14:paraId="01C07E21" w14:textId="050131A7" w:rsidR="009A1271" w:rsidRDefault="009A1271">
      <w:pPr>
        <w:spacing w:line="360" w:lineRule="auto"/>
        <w:jc w:val="both"/>
        <w:rPr>
          <w:rFonts w:ascii="Arial" w:eastAsia="Arial" w:hAnsi="Arial" w:cs="Arial"/>
          <w:sz w:val="24"/>
          <w:szCs w:val="24"/>
        </w:rPr>
      </w:pPr>
    </w:p>
    <w:p w14:paraId="50B36758" w14:textId="739829B6" w:rsidR="009A1271" w:rsidRDefault="009A1271">
      <w:pPr>
        <w:spacing w:line="360" w:lineRule="auto"/>
        <w:jc w:val="both"/>
        <w:rPr>
          <w:rFonts w:ascii="Arial" w:eastAsia="Arial" w:hAnsi="Arial" w:cs="Arial"/>
          <w:sz w:val="24"/>
          <w:szCs w:val="24"/>
        </w:rPr>
      </w:pPr>
    </w:p>
    <w:p w14:paraId="0D906D05" w14:textId="77777777" w:rsidR="009A1271" w:rsidRDefault="009A1271">
      <w:pPr>
        <w:spacing w:line="360" w:lineRule="auto"/>
        <w:jc w:val="both"/>
        <w:rPr>
          <w:rFonts w:ascii="Arial" w:eastAsia="Arial" w:hAnsi="Arial" w:cs="Arial"/>
          <w:sz w:val="24"/>
          <w:szCs w:val="24"/>
        </w:rPr>
      </w:pPr>
    </w:p>
    <w:p w14:paraId="78B31F52" w14:textId="77777777" w:rsidR="009A1271" w:rsidRDefault="009A1271">
      <w:pPr>
        <w:spacing w:line="360" w:lineRule="auto"/>
        <w:jc w:val="both"/>
        <w:rPr>
          <w:rFonts w:ascii="Arial" w:eastAsia="Arial" w:hAnsi="Arial" w:cs="Arial"/>
          <w:sz w:val="24"/>
          <w:szCs w:val="24"/>
        </w:rPr>
      </w:pPr>
    </w:p>
    <w:p w14:paraId="0AC58A13" w14:textId="77777777" w:rsidR="009A1271" w:rsidRDefault="009A1271">
      <w:pPr>
        <w:spacing w:line="360" w:lineRule="auto"/>
        <w:jc w:val="both"/>
        <w:rPr>
          <w:rFonts w:ascii="Arial" w:eastAsia="Arial" w:hAnsi="Arial" w:cs="Arial"/>
          <w:sz w:val="24"/>
          <w:szCs w:val="24"/>
        </w:rPr>
      </w:pPr>
    </w:p>
    <w:p w14:paraId="574EA2FD" w14:textId="77777777" w:rsidR="009A1271" w:rsidRDefault="009A1271">
      <w:pPr>
        <w:spacing w:line="360" w:lineRule="auto"/>
        <w:jc w:val="both"/>
        <w:rPr>
          <w:rFonts w:ascii="Arial" w:eastAsia="Arial" w:hAnsi="Arial" w:cs="Arial"/>
          <w:sz w:val="24"/>
          <w:szCs w:val="24"/>
        </w:rPr>
      </w:pPr>
    </w:p>
    <w:p w14:paraId="7ECFA490" w14:textId="77777777" w:rsidR="009A1271" w:rsidRDefault="009A1271">
      <w:pPr>
        <w:spacing w:line="360" w:lineRule="auto"/>
        <w:jc w:val="both"/>
        <w:rPr>
          <w:rFonts w:ascii="Arial" w:eastAsia="Arial" w:hAnsi="Arial" w:cs="Arial"/>
          <w:sz w:val="24"/>
          <w:szCs w:val="24"/>
        </w:rPr>
      </w:pPr>
    </w:p>
    <w:p w14:paraId="7EE934A6" w14:textId="77777777" w:rsidR="009A1271" w:rsidRDefault="009A1271">
      <w:pPr>
        <w:spacing w:line="360" w:lineRule="auto"/>
        <w:jc w:val="both"/>
        <w:rPr>
          <w:rFonts w:ascii="Arial" w:eastAsia="Arial" w:hAnsi="Arial" w:cs="Arial"/>
          <w:sz w:val="24"/>
          <w:szCs w:val="24"/>
        </w:rPr>
      </w:pPr>
    </w:p>
    <w:p w14:paraId="5395CCC0" w14:textId="77777777" w:rsidR="009A1271" w:rsidRDefault="009A1271">
      <w:pPr>
        <w:spacing w:line="360" w:lineRule="auto"/>
        <w:jc w:val="both"/>
        <w:rPr>
          <w:rFonts w:ascii="Arial" w:eastAsia="Arial" w:hAnsi="Arial" w:cs="Arial"/>
          <w:sz w:val="24"/>
          <w:szCs w:val="24"/>
        </w:rPr>
      </w:pPr>
    </w:p>
    <w:p w14:paraId="34DCB2C0" w14:textId="48227128" w:rsidR="009A1271" w:rsidRDefault="005A645B">
      <w:pPr>
        <w:spacing w:line="360" w:lineRule="auto"/>
        <w:jc w:val="both"/>
        <w:rPr>
          <w:rFonts w:ascii="Arial" w:eastAsia="Arial" w:hAnsi="Arial" w:cs="Arial"/>
          <w:sz w:val="24"/>
          <w:szCs w:val="24"/>
        </w:rPr>
      </w:pPr>
      <w:r>
        <w:rPr>
          <w:rFonts w:ascii="Arial" w:eastAsia="Arial" w:hAnsi="Arial" w:cs="Arial"/>
          <w:sz w:val="24"/>
          <w:szCs w:val="24"/>
        </w:rPr>
        <w:t xml:space="preserve">Además, tal situación se corrobora con </w:t>
      </w:r>
      <w:r w:rsidR="002148B9">
        <w:rPr>
          <w:rFonts w:ascii="Arial" w:eastAsia="Arial" w:hAnsi="Arial" w:cs="Arial"/>
          <w:sz w:val="24"/>
          <w:szCs w:val="24"/>
        </w:rPr>
        <w:t>el acuse</w:t>
      </w:r>
      <w:r>
        <w:rPr>
          <w:rFonts w:ascii="Arial" w:eastAsia="Arial" w:hAnsi="Arial" w:cs="Arial"/>
          <w:sz w:val="24"/>
          <w:szCs w:val="24"/>
        </w:rPr>
        <w:t xml:space="preserve"> de recibido del medio de impugnación </w:t>
      </w:r>
      <w:r w:rsidR="002148B9">
        <w:rPr>
          <w:rFonts w:ascii="Arial" w:eastAsia="Arial" w:hAnsi="Arial" w:cs="Arial"/>
          <w:sz w:val="24"/>
          <w:szCs w:val="24"/>
        </w:rPr>
        <w:t>de</w:t>
      </w:r>
      <w:r>
        <w:rPr>
          <w:rFonts w:ascii="Arial" w:eastAsia="Arial" w:hAnsi="Arial" w:cs="Arial"/>
          <w:sz w:val="24"/>
          <w:szCs w:val="24"/>
        </w:rPr>
        <w:t xml:space="preserve"> la</w:t>
      </w:r>
      <w:r w:rsidR="002148B9">
        <w:rPr>
          <w:rFonts w:ascii="Arial" w:eastAsia="Arial" w:hAnsi="Arial" w:cs="Arial"/>
          <w:sz w:val="24"/>
          <w:szCs w:val="24"/>
        </w:rPr>
        <w:t xml:space="preserve"> Oficialía de Partes del Consejo General</w:t>
      </w:r>
      <w:r>
        <w:rPr>
          <w:rFonts w:ascii="Arial" w:eastAsia="Arial" w:hAnsi="Arial" w:cs="Arial"/>
          <w:sz w:val="24"/>
          <w:szCs w:val="24"/>
        </w:rPr>
        <w:t xml:space="preserve">, en </w:t>
      </w:r>
      <w:r w:rsidR="002148B9">
        <w:rPr>
          <w:rFonts w:ascii="Arial" w:eastAsia="Arial" w:hAnsi="Arial" w:cs="Arial"/>
          <w:sz w:val="24"/>
          <w:szCs w:val="24"/>
        </w:rPr>
        <w:t>el cual</w:t>
      </w:r>
      <w:r>
        <w:rPr>
          <w:rFonts w:ascii="Arial" w:eastAsia="Arial" w:hAnsi="Arial" w:cs="Arial"/>
          <w:sz w:val="24"/>
          <w:szCs w:val="24"/>
        </w:rPr>
        <w:t xml:space="preserve">, consta que dichos escritos no contienen firma alguna. </w:t>
      </w:r>
    </w:p>
    <w:p w14:paraId="550B8A92" w14:textId="77777777" w:rsidR="005A645B" w:rsidRDefault="005A645B" w:rsidP="005A645B">
      <w:pPr>
        <w:pStyle w:val="Sinespaciado"/>
        <w:rPr>
          <w:rFonts w:eastAsia="Arial"/>
        </w:rPr>
      </w:pPr>
    </w:p>
    <w:p w14:paraId="11C230CA" w14:textId="6B5FA8CF" w:rsidR="009A1271"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consecuencia, el hecho de que, tanto en el escrito de presentación como </w:t>
      </w:r>
      <w:r w:rsidR="0088650D">
        <w:rPr>
          <w:rFonts w:ascii="Arial" w:eastAsia="Arial" w:hAnsi="Arial" w:cs="Arial"/>
          <w:sz w:val="24"/>
          <w:szCs w:val="24"/>
        </w:rPr>
        <w:t xml:space="preserve">en el </w:t>
      </w:r>
      <w:r>
        <w:rPr>
          <w:rFonts w:ascii="Arial" w:eastAsia="Arial" w:hAnsi="Arial" w:cs="Arial"/>
          <w:sz w:val="24"/>
          <w:szCs w:val="24"/>
        </w:rPr>
        <w:t xml:space="preserve">de demanda carezcan de firma autógrafa, </w:t>
      </w:r>
      <w:r w:rsidRPr="005A645B">
        <w:rPr>
          <w:rFonts w:ascii="Arial" w:eastAsia="Arial" w:hAnsi="Arial" w:cs="Arial"/>
          <w:b/>
          <w:bCs/>
          <w:sz w:val="24"/>
          <w:szCs w:val="24"/>
        </w:rPr>
        <w:t xml:space="preserve">imposibilitan a esta autoridad tener certeza </w:t>
      </w:r>
      <w:r>
        <w:rPr>
          <w:rFonts w:ascii="Arial" w:eastAsia="Arial" w:hAnsi="Arial" w:cs="Arial"/>
          <w:sz w:val="24"/>
          <w:szCs w:val="24"/>
        </w:rPr>
        <w:t>respecto a que, efectivamente, es voluntad de la parte recurrente impugnar el referido acuerdo, así como de la autenticidad del propio documento.</w:t>
      </w:r>
    </w:p>
    <w:p w14:paraId="3ACB5F96" w14:textId="77777777" w:rsidR="005A645B" w:rsidRDefault="005A645B" w:rsidP="005A645B">
      <w:pPr>
        <w:pStyle w:val="Sinespaciado"/>
        <w:rPr>
          <w:rFonts w:eastAsia="Arial"/>
        </w:rPr>
      </w:pPr>
    </w:p>
    <w:p w14:paraId="61D68255" w14:textId="455498B0" w:rsidR="009A1271" w:rsidRDefault="005A645B">
      <w:pPr>
        <w:spacing w:line="360" w:lineRule="auto"/>
        <w:jc w:val="both"/>
        <w:rPr>
          <w:rFonts w:ascii="Arial" w:eastAsia="Arial" w:hAnsi="Arial" w:cs="Arial"/>
          <w:sz w:val="24"/>
          <w:szCs w:val="24"/>
        </w:rPr>
      </w:pPr>
      <w:r>
        <w:rPr>
          <w:rFonts w:ascii="Arial" w:eastAsia="Arial" w:hAnsi="Arial" w:cs="Arial"/>
          <w:sz w:val="24"/>
          <w:szCs w:val="24"/>
        </w:rPr>
        <w:t>Ello porque, como se demostró, en el caso, no se actualiza ninguno de los casos de excepción o flexibilización previstos por la Sala Superior</w:t>
      </w:r>
      <w:r w:rsidR="0088650D">
        <w:rPr>
          <w:rFonts w:ascii="Arial" w:eastAsia="Arial" w:hAnsi="Arial" w:cs="Arial"/>
          <w:sz w:val="24"/>
          <w:szCs w:val="24"/>
        </w:rPr>
        <w:t>,</w:t>
      </w:r>
      <w:r w:rsidR="003D769D">
        <w:rPr>
          <w:rStyle w:val="Refdenotaalpie"/>
          <w:rFonts w:ascii="Arial" w:eastAsia="Arial" w:hAnsi="Arial" w:cs="Arial"/>
          <w:sz w:val="24"/>
          <w:szCs w:val="24"/>
        </w:rPr>
        <w:footnoteReference w:id="7"/>
      </w:r>
      <w:r>
        <w:rPr>
          <w:rFonts w:ascii="Arial" w:eastAsia="Arial" w:hAnsi="Arial" w:cs="Arial"/>
          <w:sz w:val="24"/>
          <w:szCs w:val="24"/>
        </w:rPr>
        <w:t xml:space="preserve"> como lo son: </w:t>
      </w:r>
      <w:r w:rsidRPr="005A645B">
        <w:rPr>
          <w:rFonts w:ascii="Arial" w:eastAsia="Arial" w:hAnsi="Arial" w:cs="Arial"/>
          <w:b/>
          <w:bCs/>
          <w:i/>
          <w:iCs/>
          <w:sz w:val="24"/>
          <w:szCs w:val="24"/>
        </w:rPr>
        <w:t>i)</w:t>
      </w:r>
      <w:r>
        <w:rPr>
          <w:rFonts w:ascii="Arial" w:eastAsia="Arial" w:hAnsi="Arial" w:cs="Arial"/>
          <w:sz w:val="24"/>
          <w:szCs w:val="24"/>
        </w:rPr>
        <w:t xml:space="preserve"> la convalidación de tal requisito en el escrito de demanda, derivado de que del escrito de presentación sí se encuentre signad</w:t>
      </w:r>
      <w:r w:rsidR="003D769D">
        <w:rPr>
          <w:rFonts w:ascii="Arial" w:eastAsia="Arial" w:hAnsi="Arial" w:cs="Arial"/>
          <w:sz w:val="24"/>
          <w:szCs w:val="24"/>
        </w:rPr>
        <w:t>o</w:t>
      </w:r>
      <w:r>
        <w:rPr>
          <w:rFonts w:ascii="Arial" w:eastAsia="Arial" w:hAnsi="Arial" w:cs="Arial"/>
          <w:sz w:val="24"/>
          <w:szCs w:val="24"/>
        </w:rPr>
        <w:t xml:space="preserve">; </w:t>
      </w:r>
      <w:r w:rsidRPr="005A645B">
        <w:rPr>
          <w:rFonts w:ascii="Arial" w:eastAsia="Arial" w:hAnsi="Arial" w:cs="Arial"/>
          <w:b/>
          <w:bCs/>
          <w:i/>
          <w:iCs/>
          <w:sz w:val="24"/>
          <w:szCs w:val="24"/>
        </w:rPr>
        <w:t>ii)</w:t>
      </w:r>
      <w:r>
        <w:rPr>
          <w:rFonts w:ascii="Arial" w:eastAsia="Arial" w:hAnsi="Arial" w:cs="Arial"/>
          <w:sz w:val="24"/>
          <w:szCs w:val="24"/>
        </w:rPr>
        <w:t xml:space="preserve"> tampoco se observa que la parte recurrente estuviese en imposibilidad de satisfacer el requisito en cuestión o bien, </w:t>
      </w:r>
      <w:r w:rsidRPr="005A645B">
        <w:rPr>
          <w:rFonts w:ascii="Arial" w:eastAsia="Arial" w:hAnsi="Arial" w:cs="Arial"/>
          <w:b/>
          <w:bCs/>
          <w:i/>
          <w:iCs/>
          <w:sz w:val="24"/>
          <w:szCs w:val="24"/>
        </w:rPr>
        <w:t>iii)</w:t>
      </w:r>
      <w:r>
        <w:rPr>
          <w:rFonts w:ascii="Arial" w:eastAsia="Arial" w:hAnsi="Arial" w:cs="Arial"/>
          <w:sz w:val="24"/>
          <w:szCs w:val="24"/>
        </w:rPr>
        <w:t xml:space="preserve"> que se haya tratado de un error en la presentación del acuse en lugar de la demanda.</w:t>
      </w:r>
    </w:p>
    <w:p w14:paraId="797574D6" w14:textId="77777777" w:rsidR="005A645B" w:rsidRDefault="005A645B" w:rsidP="005A645B">
      <w:pPr>
        <w:pStyle w:val="Sinespaciado"/>
        <w:rPr>
          <w:rFonts w:eastAsia="Arial"/>
        </w:rPr>
      </w:pPr>
    </w:p>
    <w:p w14:paraId="7D52E59F" w14:textId="77777777" w:rsidR="009A1271"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Así, de las circunstancias expuestas, este Tribunal Electoral concluye que, en efecto, el medio de impugnación no reúne los requisitos de procedibilidad exigidos por el Código Electoral y, por tanto, </w:t>
      </w:r>
      <w:r w:rsidRPr="005A645B">
        <w:rPr>
          <w:rFonts w:ascii="Arial" w:eastAsia="Arial" w:hAnsi="Arial" w:cs="Arial"/>
          <w:b/>
          <w:bCs/>
          <w:sz w:val="24"/>
          <w:szCs w:val="24"/>
        </w:rPr>
        <w:t>debe desecharse de plano</w:t>
      </w:r>
      <w:r>
        <w:rPr>
          <w:rFonts w:ascii="Arial" w:eastAsia="Arial" w:hAnsi="Arial" w:cs="Arial"/>
          <w:sz w:val="24"/>
          <w:szCs w:val="24"/>
        </w:rPr>
        <w:t xml:space="preserve"> la demanda</w:t>
      </w:r>
    </w:p>
    <w:p w14:paraId="3BB157B6" w14:textId="77777777" w:rsidR="009A1271" w:rsidRDefault="009A1271" w:rsidP="005A645B">
      <w:pPr>
        <w:pStyle w:val="Ttulo2"/>
        <w:spacing w:before="0" w:line="360" w:lineRule="auto"/>
        <w:rPr>
          <w:rFonts w:ascii="Arial" w:eastAsia="Arial" w:hAnsi="Arial" w:cs="Arial"/>
          <w:color w:val="000000"/>
          <w:sz w:val="24"/>
          <w:szCs w:val="24"/>
        </w:rPr>
      </w:pPr>
    </w:p>
    <w:p w14:paraId="1D7EBEA1" w14:textId="023EE0AB" w:rsidR="009A1271" w:rsidRDefault="003D769D">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IV. Se resuelve:</w:t>
      </w:r>
    </w:p>
    <w:p w14:paraId="2263F457" w14:textId="77777777" w:rsidR="009A1271" w:rsidRDefault="009A1271">
      <w:pPr>
        <w:pBdr>
          <w:top w:val="nil"/>
          <w:left w:val="nil"/>
          <w:bottom w:val="nil"/>
          <w:right w:val="nil"/>
          <w:between w:val="nil"/>
        </w:pBdr>
        <w:jc w:val="both"/>
        <w:rPr>
          <w:color w:val="000000"/>
        </w:rPr>
      </w:pPr>
    </w:p>
    <w:p w14:paraId="6FA17CE1" w14:textId="77777777" w:rsidR="009A1271" w:rsidRDefault="00000000">
      <w:pPr>
        <w:spacing w:line="360" w:lineRule="auto"/>
        <w:jc w:val="both"/>
        <w:rPr>
          <w:rFonts w:ascii="Arial" w:eastAsia="Arial" w:hAnsi="Arial" w:cs="Arial"/>
          <w:color w:val="000000"/>
          <w:sz w:val="24"/>
          <w:szCs w:val="24"/>
        </w:rPr>
      </w:pPr>
      <w:r>
        <w:rPr>
          <w:rFonts w:ascii="Arial" w:eastAsia="Arial" w:hAnsi="Arial" w:cs="Arial"/>
          <w:b/>
          <w:sz w:val="24"/>
          <w:szCs w:val="24"/>
        </w:rPr>
        <w:t xml:space="preserve">Único. </w:t>
      </w:r>
      <w:r>
        <w:rPr>
          <w:rFonts w:ascii="Arial" w:eastAsia="Arial" w:hAnsi="Arial" w:cs="Arial"/>
          <w:sz w:val="24"/>
          <w:szCs w:val="24"/>
        </w:rPr>
        <w:t>Se</w:t>
      </w:r>
      <w:r>
        <w:rPr>
          <w:rFonts w:ascii="Arial" w:eastAsia="Arial" w:hAnsi="Arial" w:cs="Arial"/>
          <w:b/>
          <w:sz w:val="24"/>
          <w:szCs w:val="24"/>
        </w:rPr>
        <w:t xml:space="preserve"> desecha </w:t>
      </w:r>
      <w:r>
        <w:rPr>
          <w:rFonts w:ascii="Arial" w:eastAsia="Arial" w:hAnsi="Arial" w:cs="Arial"/>
          <w:sz w:val="24"/>
          <w:szCs w:val="24"/>
        </w:rPr>
        <w:t>de plano la demanda</w:t>
      </w:r>
      <w:r>
        <w:rPr>
          <w:rFonts w:ascii="Arial" w:eastAsia="Arial" w:hAnsi="Arial" w:cs="Arial"/>
          <w:color w:val="000000"/>
          <w:sz w:val="24"/>
          <w:szCs w:val="24"/>
        </w:rPr>
        <w:t>.</w:t>
      </w:r>
    </w:p>
    <w:p w14:paraId="2140A453" w14:textId="77777777" w:rsidR="009A1271" w:rsidRDefault="009A1271">
      <w:pPr>
        <w:pBdr>
          <w:top w:val="nil"/>
          <w:left w:val="nil"/>
          <w:bottom w:val="nil"/>
          <w:right w:val="nil"/>
          <w:between w:val="nil"/>
        </w:pBdr>
        <w:jc w:val="both"/>
        <w:rPr>
          <w:color w:val="000000"/>
          <w:sz w:val="14"/>
          <w:szCs w:val="14"/>
        </w:rPr>
      </w:pPr>
    </w:p>
    <w:p w14:paraId="47ECBCDF" w14:textId="77777777" w:rsidR="009A1271" w:rsidRDefault="00000000">
      <w:pPr>
        <w:tabs>
          <w:tab w:val="left" w:pos="0"/>
          <w:tab w:val="left" w:pos="426"/>
        </w:tabs>
        <w:spacing w:line="360" w:lineRule="auto"/>
        <w:jc w:val="both"/>
        <w:rPr>
          <w:rFonts w:ascii="Arial" w:eastAsia="Arial" w:hAnsi="Arial" w:cs="Arial"/>
          <w:color w:val="000000"/>
          <w:sz w:val="23"/>
          <w:szCs w:val="23"/>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6016A41B" w14:textId="77777777" w:rsidR="009A1271" w:rsidRDefault="009A1271">
      <w:pPr>
        <w:jc w:val="both"/>
        <w:rPr>
          <w:rFonts w:ascii="Arial" w:eastAsia="Arial" w:hAnsi="Arial" w:cs="Arial"/>
          <w:color w:val="000000"/>
          <w:sz w:val="14"/>
          <w:szCs w:val="14"/>
        </w:rPr>
      </w:pPr>
    </w:p>
    <w:p w14:paraId="5FA28BA1" w14:textId="61B1199C" w:rsidR="009A1271"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Así lo resolvieron, por</w:t>
      </w:r>
      <w:r>
        <w:rPr>
          <w:rFonts w:ascii="Arial" w:eastAsia="Arial" w:hAnsi="Arial" w:cs="Arial"/>
          <w:b/>
          <w:sz w:val="24"/>
          <w:szCs w:val="24"/>
        </w:rPr>
        <w:t xml:space="preserve"> </w:t>
      </w:r>
      <w:r w:rsidR="00B24BE5">
        <w:rPr>
          <w:rFonts w:ascii="Arial" w:eastAsia="Arial" w:hAnsi="Arial" w:cs="Arial"/>
          <w:sz w:val="24"/>
          <w:szCs w:val="24"/>
        </w:rPr>
        <w:t>unanimidad</w:t>
      </w:r>
      <w:r>
        <w:rPr>
          <w:rFonts w:ascii="Arial" w:eastAsia="Arial" w:hAnsi="Arial" w:cs="Arial"/>
          <w:sz w:val="24"/>
          <w:szCs w:val="24"/>
        </w:rPr>
        <w:t xml:space="preserve"> de votos las magistraturas del Tribunal Electoral del Estado de Aguascalientes, ante el Secretario General de Acuerdos en funciones que autoriza y da fe.</w:t>
      </w:r>
    </w:p>
    <w:p w14:paraId="79D387EF" w14:textId="569F8609" w:rsidR="009A1271" w:rsidRDefault="009A1271">
      <w:pPr>
        <w:spacing w:line="360" w:lineRule="auto"/>
        <w:jc w:val="both"/>
        <w:rPr>
          <w:rFonts w:ascii="Arial" w:eastAsia="Arial" w:hAnsi="Arial" w:cs="Arial"/>
          <w:sz w:val="24"/>
          <w:szCs w:val="24"/>
        </w:rPr>
      </w:pPr>
    </w:p>
    <w:tbl>
      <w:tblPr>
        <w:tblStyle w:val="a0"/>
        <w:tblW w:w="9120" w:type="dxa"/>
        <w:jc w:val="center"/>
        <w:tblInd w:w="0" w:type="dxa"/>
        <w:tblLayout w:type="fixed"/>
        <w:tblLook w:val="0400" w:firstRow="0" w:lastRow="0" w:firstColumn="0" w:lastColumn="0" w:noHBand="0" w:noVBand="1"/>
      </w:tblPr>
      <w:tblGrid>
        <w:gridCol w:w="4559"/>
        <w:gridCol w:w="4561"/>
      </w:tblGrid>
      <w:tr w:rsidR="009A1271" w14:paraId="242156F0" w14:textId="77777777">
        <w:trPr>
          <w:trHeight w:val="1463"/>
          <w:jc w:val="center"/>
        </w:trPr>
        <w:tc>
          <w:tcPr>
            <w:tcW w:w="9120" w:type="dxa"/>
            <w:gridSpan w:val="2"/>
          </w:tcPr>
          <w:p w14:paraId="4312E3F8" w14:textId="66079C29" w:rsidR="009A1271" w:rsidRDefault="00000000">
            <w:pPr>
              <w:spacing w:line="360" w:lineRule="auto"/>
              <w:jc w:val="center"/>
              <w:rPr>
                <w:rFonts w:ascii="Arial" w:eastAsia="Arial" w:hAnsi="Arial" w:cs="Arial"/>
                <w:b/>
                <w:color w:val="000000"/>
                <w:sz w:val="24"/>
                <w:szCs w:val="24"/>
              </w:rPr>
            </w:pPr>
            <w:bookmarkStart w:id="5" w:name="_heading=h.tyjcwt" w:colFirst="0" w:colLast="0"/>
            <w:bookmarkEnd w:id="5"/>
            <w:r>
              <w:rPr>
                <w:rFonts w:ascii="Arial" w:eastAsia="Arial" w:hAnsi="Arial" w:cs="Arial"/>
                <w:b/>
                <w:color w:val="000000"/>
                <w:sz w:val="24"/>
                <w:szCs w:val="24"/>
              </w:rPr>
              <w:t>MAGISTRADO PRESIDENTE</w:t>
            </w:r>
          </w:p>
          <w:p w14:paraId="46C07C95" w14:textId="5C7BBBE4" w:rsidR="009A1271" w:rsidRDefault="009A1271">
            <w:pPr>
              <w:jc w:val="center"/>
              <w:rPr>
                <w:rFonts w:ascii="Arial" w:eastAsia="Arial" w:hAnsi="Arial" w:cs="Arial"/>
                <w:b/>
                <w:color w:val="000000"/>
                <w:sz w:val="24"/>
                <w:szCs w:val="24"/>
              </w:rPr>
            </w:pPr>
          </w:p>
          <w:p w14:paraId="617831A6" w14:textId="77777777" w:rsidR="009A1271" w:rsidRDefault="009A1271">
            <w:pPr>
              <w:jc w:val="center"/>
              <w:rPr>
                <w:rFonts w:ascii="Arial" w:eastAsia="Arial" w:hAnsi="Arial" w:cs="Arial"/>
                <w:b/>
                <w:color w:val="000000"/>
                <w:sz w:val="24"/>
                <w:szCs w:val="24"/>
              </w:rPr>
            </w:pPr>
          </w:p>
          <w:p w14:paraId="5B159F1F" w14:textId="77777777" w:rsidR="009A1271" w:rsidRDefault="0000000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HÉCTOR SALVADOR HERNÁNDEZ GALLEGOS</w:t>
            </w:r>
          </w:p>
          <w:p w14:paraId="67863EBA" w14:textId="77777777" w:rsidR="009A1271" w:rsidRDefault="009A1271">
            <w:pPr>
              <w:spacing w:line="360" w:lineRule="auto"/>
              <w:jc w:val="center"/>
              <w:rPr>
                <w:rFonts w:ascii="Arial" w:eastAsia="Arial" w:hAnsi="Arial" w:cs="Arial"/>
                <w:b/>
                <w:color w:val="000000"/>
                <w:sz w:val="24"/>
                <w:szCs w:val="24"/>
              </w:rPr>
            </w:pPr>
          </w:p>
        </w:tc>
      </w:tr>
      <w:tr w:rsidR="009A1271" w14:paraId="153A6C7E" w14:textId="77777777">
        <w:trPr>
          <w:trHeight w:val="1549"/>
          <w:jc w:val="center"/>
        </w:trPr>
        <w:tc>
          <w:tcPr>
            <w:tcW w:w="4559" w:type="dxa"/>
          </w:tcPr>
          <w:p w14:paraId="2E110836" w14:textId="4CFEC5DB" w:rsidR="009A1271" w:rsidRDefault="0000000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5E74BCFB" w14:textId="77777777" w:rsidR="009A1271" w:rsidRDefault="009A1271">
            <w:pPr>
              <w:jc w:val="center"/>
              <w:rPr>
                <w:rFonts w:ascii="Arial" w:eastAsia="Arial" w:hAnsi="Arial" w:cs="Arial"/>
                <w:b/>
                <w:color w:val="000000"/>
                <w:sz w:val="24"/>
                <w:szCs w:val="24"/>
              </w:rPr>
            </w:pPr>
          </w:p>
          <w:p w14:paraId="3F82E052" w14:textId="3A2258C9" w:rsidR="009A1271" w:rsidRDefault="009A1271">
            <w:pPr>
              <w:jc w:val="center"/>
              <w:rPr>
                <w:rFonts w:ascii="Arial" w:eastAsia="Arial" w:hAnsi="Arial" w:cs="Arial"/>
                <w:b/>
                <w:color w:val="000000"/>
                <w:sz w:val="24"/>
                <w:szCs w:val="24"/>
              </w:rPr>
            </w:pPr>
          </w:p>
          <w:p w14:paraId="1AE47C4A" w14:textId="77777777" w:rsidR="009A1271" w:rsidRDefault="00000000">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A80D5D5" w14:textId="77777777" w:rsidR="009A1271" w:rsidRDefault="00000000">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4B983A00" w14:textId="64F95127" w:rsidR="009A1271" w:rsidRDefault="0000000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MAGISTRADE EN FUNCIONES </w:t>
            </w:r>
          </w:p>
          <w:p w14:paraId="29F5E1E0" w14:textId="77777777" w:rsidR="009A1271" w:rsidRDefault="009A1271">
            <w:pPr>
              <w:jc w:val="center"/>
              <w:rPr>
                <w:rFonts w:ascii="Arial" w:eastAsia="Arial" w:hAnsi="Arial" w:cs="Arial"/>
                <w:b/>
                <w:color w:val="000000"/>
                <w:sz w:val="24"/>
                <w:szCs w:val="24"/>
              </w:rPr>
            </w:pPr>
          </w:p>
          <w:p w14:paraId="58E719FA" w14:textId="119B9050" w:rsidR="009A1271" w:rsidRDefault="009A1271">
            <w:pPr>
              <w:jc w:val="center"/>
              <w:rPr>
                <w:rFonts w:ascii="Arial" w:eastAsia="Arial" w:hAnsi="Arial" w:cs="Arial"/>
                <w:b/>
                <w:color w:val="000000"/>
                <w:sz w:val="24"/>
                <w:szCs w:val="24"/>
              </w:rPr>
            </w:pPr>
          </w:p>
          <w:p w14:paraId="34DC703A" w14:textId="77777777" w:rsidR="009A1271" w:rsidRDefault="00000000">
            <w:pPr>
              <w:jc w:val="center"/>
              <w:rPr>
                <w:rFonts w:ascii="Arial" w:eastAsia="Arial" w:hAnsi="Arial" w:cs="Arial"/>
                <w:b/>
                <w:color w:val="000000"/>
                <w:sz w:val="24"/>
                <w:szCs w:val="24"/>
              </w:rPr>
            </w:pPr>
            <w:r>
              <w:rPr>
                <w:rFonts w:ascii="Arial" w:eastAsia="Arial" w:hAnsi="Arial" w:cs="Arial"/>
                <w:b/>
                <w:color w:val="000000"/>
                <w:sz w:val="24"/>
                <w:szCs w:val="24"/>
              </w:rPr>
              <w:t>JESÚS OCIEL</w:t>
            </w:r>
          </w:p>
          <w:p w14:paraId="07CA23D6" w14:textId="77777777" w:rsidR="009A1271" w:rsidRDefault="00000000">
            <w:pPr>
              <w:jc w:val="center"/>
              <w:rPr>
                <w:rFonts w:ascii="Arial" w:eastAsia="Arial" w:hAnsi="Arial" w:cs="Arial"/>
                <w:b/>
                <w:color w:val="000000"/>
                <w:sz w:val="24"/>
                <w:szCs w:val="24"/>
              </w:rPr>
            </w:pPr>
            <w:r>
              <w:rPr>
                <w:rFonts w:ascii="Arial" w:eastAsia="Arial" w:hAnsi="Arial" w:cs="Arial"/>
                <w:b/>
                <w:color w:val="000000"/>
                <w:sz w:val="24"/>
                <w:szCs w:val="24"/>
              </w:rPr>
              <w:t>BAENA SAUCEDO</w:t>
            </w:r>
          </w:p>
          <w:p w14:paraId="430114EE" w14:textId="77777777" w:rsidR="009A1271" w:rsidRDefault="009A1271">
            <w:pPr>
              <w:rPr>
                <w:sz w:val="36"/>
                <w:szCs w:val="36"/>
              </w:rPr>
            </w:pPr>
          </w:p>
          <w:p w14:paraId="70CD7625" w14:textId="3E1B93C7" w:rsidR="003D769D" w:rsidRDefault="003D769D">
            <w:pPr>
              <w:rPr>
                <w:sz w:val="36"/>
                <w:szCs w:val="36"/>
              </w:rPr>
            </w:pPr>
          </w:p>
        </w:tc>
      </w:tr>
      <w:tr w:rsidR="009A1271" w14:paraId="62F9B492" w14:textId="77777777">
        <w:trPr>
          <w:jc w:val="center"/>
        </w:trPr>
        <w:tc>
          <w:tcPr>
            <w:tcW w:w="9120" w:type="dxa"/>
            <w:gridSpan w:val="2"/>
          </w:tcPr>
          <w:p w14:paraId="7D60EBC5" w14:textId="4BAB22E7" w:rsidR="009A1271" w:rsidRDefault="0000000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EN FUNCIONES </w:t>
            </w:r>
          </w:p>
          <w:p w14:paraId="0A41E825" w14:textId="77777777" w:rsidR="009A1271" w:rsidRDefault="009A1271">
            <w:pPr>
              <w:jc w:val="center"/>
              <w:rPr>
                <w:rFonts w:ascii="Arial" w:eastAsia="Arial" w:hAnsi="Arial" w:cs="Arial"/>
                <w:b/>
                <w:color w:val="000000"/>
                <w:sz w:val="24"/>
                <w:szCs w:val="24"/>
              </w:rPr>
            </w:pPr>
          </w:p>
          <w:p w14:paraId="1D73856C" w14:textId="4B9DBBC2" w:rsidR="009A1271" w:rsidRDefault="009A1271">
            <w:pPr>
              <w:jc w:val="center"/>
              <w:rPr>
                <w:rFonts w:ascii="Arial" w:eastAsia="Arial" w:hAnsi="Arial" w:cs="Arial"/>
                <w:b/>
                <w:color w:val="000000"/>
                <w:sz w:val="24"/>
                <w:szCs w:val="24"/>
              </w:rPr>
            </w:pPr>
          </w:p>
          <w:p w14:paraId="73D239A0" w14:textId="77777777" w:rsidR="009A1271" w:rsidRDefault="0000000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tbl>
    <w:p w14:paraId="20913236" w14:textId="77777777" w:rsidR="009A1271" w:rsidRDefault="009A1271">
      <w:pPr>
        <w:spacing w:line="360" w:lineRule="auto"/>
        <w:jc w:val="both"/>
        <w:rPr>
          <w:rFonts w:ascii="Arial" w:eastAsia="Arial" w:hAnsi="Arial" w:cs="Arial"/>
          <w:sz w:val="24"/>
          <w:szCs w:val="24"/>
        </w:rPr>
      </w:pPr>
    </w:p>
    <w:p w14:paraId="7D400E0A" w14:textId="77777777" w:rsidR="009A1271" w:rsidRDefault="009A1271">
      <w:pPr>
        <w:spacing w:line="360" w:lineRule="auto"/>
        <w:jc w:val="both"/>
        <w:rPr>
          <w:rFonts w:ascii="Arial" w:eastAsia="Arial" w:hAnsi="Arial" w:cs="Arial"/>
          <w:sz w:val="24"/>
          <w:szCs w:val="24"/>
        </w:rPr>
      </w:pPr>
    </w:p>
    <w:sectPr w:rsidR="009A1271">
      <w:headerReference w:type="even" r:id="rId11"/>
      <w:headerReference w:type="default" r:id="rId12"/>
      <w:footerReference w:type="even" r:id="rId13"/>
      <w:footerReference w:type="default" r:id="rId14"/>
      <w:headerReference w:type="first" r:id="rId15"/>
      <w:footerReference w:type="first" r:id="rId16"/>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DCFE7" w14:textId="77777777" w:rsidR="006B2C76" w:rsidRDefault="006B2C76">
      <w:r>
        <w:separator/>
      </w:r>
    </w:p>
  </w:endnote>
  <w:endnote w:type="continuationSeparator" w:id="0">
    <w:p w14:paraId="53B25569" w14:textId="77777777" w:rsidR="006B2C76" w:rsidRDefault="006B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232B" w14:textId="77777777" w:rsidR="009A1271" w:rsidRDefault="009A1271">
    <w:pPr>
      <w:pBdr>
        <w:top w:val="nil"/>
        <w:left w:val="nil"/>
        <w:bottom w:val="nil"/>
        <w:right w:val="nil"/>
        <w:between w:val="nil"/>
      </w:pBdr>
      <w:tabs>
        <w:tab w:val="center" w:pos="4419"/>
        <w:tab w:val="right" w:pos="8838"/>
      </w:tabs>
      <w:jc w:val="right"/>
      <w:rPr>
        <w:color w:val="000000"/>
      </w:rPr>
    </w:pPr>
  </w:p>
  <w:p w14:paraId="477FE6BD" w14:textId="77777777" w:rsidR="009A1271" w:rsidRDefault="00000000">
    <w:pPr>
      <w:pBdr>
        <w:top w:val="nil"/>
        <w:left w:val="nil"/>
        <w:bottom w:val="nil"/>
        <w:right w:val="nil"/>
        <w:between w:val="nil"/>
      </w:pBdr>
      <w:tabs>
        <w:tab w:val="center" w:pos="4419"/>
        <w:tab w:val="right" w:pos="8838"/>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8DFA" w14:textId="77777777" w:rsidR="009A1271" w:rsidRDefault="009A1271">
    <w:pPr>
      <w:pBdr>
        <w:top w:val="nil"/>
        <w:left w:val="nil"/>
        <w:bottom w:val="nil"/>
        <w:right w:val="nil"/>
        <w:between w:val="nil"/>
      </w:pBdr>
      <w:tabs>
        <w:tab w:val="center" w:pos="4419"/>
        <w:tab w:val="right" w:pos="8838"/>
      </w:tabs>
      <w:rPr>
        <w:color w:val="A6A6A6"/>
        <w:sz w:val="36"/>
        <w:szCs w:val="36"/>
      </w:rPr>
    </w:pPr>
  </w:p>
  <w:p w14:paraId="088F8CE3" w14:textId="77777777" w:rsidR="009A1271" w:rsidRDefault="009A1271">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DD89" w14:textId="77777777" w:rsidR="009A1271" w:rsidRDefault="009A127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B2BF1" w14:textId="77777777" w:rsidR="006B2C76" w:rsidRDefault="006B2C76">
      <w:r>
        <w:separator/>
      </w:r>
    </w:p>
  </w:footnote>
  <w:footnote w:type="continuationSeparator" w:id="0">
    <w:p w14:paraId="4AE59EF0" w14:textId="77777777" w:rsidR="006B2C76" w:rsidRDefault="006B2C76">
      <w:r>
        <w:continuationSeparator/>
      </w:r>
    </w:p>
  </w:footnote>
  <w:footnote w:id="1">
    <w:p w14:paraId="1AEE7F3D" w14:textId="77777777" w:rsidR="009A1271"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4A940F2A" w14:textId="77777777" w:rsidR="009A1271"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Todas las fechas corresponden al 2023, salvo precisión en contrario.</w:t>
      </w:r>
    </w:p>
  </w:footnote>
  <w:footnote w:id="3">
    <w:p w14:paraId="0304C019" w14:textId="285BDE01" w:rsidR="005A645B" w:rsidRPr="00B24BE5" w:rsidRDefault="005A645B" w:rsidP="005A645B">
      <w:pPr>
        <w:pStyle w:val="Textonotapie"/>
        <w:rPr>
          <w:rFonts w:ascii="Arial" w:hAnsi="Arial" w:cs="Arial"/>
        </w:rPr>
      </w:pPr>
      <w:r>
        <w:rPr>
          <w:rStyle w:val="Refdenotaalpie"/>
        </w:rPr>
        <w:footnoteRef/>
      </w:r>
      <w:r>
        <w:t xml:space="preserve"> </w:t>
      </w:r>
      <w:r w:rsidRPr="00B24BE5">
        <w:rPr>
          <w:rFonts w:ascii="Arial" w:hAnsi="Arial" w:cs="Arial"/>
        </w:rPr>
        <w:t>Véanse los asuntos SUP-REC-67/2021, SUP-JDC-1554/2019 y SM-JDC-142/2016.</w:t>
      </w:r>
    </w:p>
  </w:footnote>
  <w:footnote w:id="4">
    <w:p w14:paraId="2D16AD74" w14:textId="77777777" w:rsidR="009A1271" w:rsidRDefault="00000000" w:rsidP="005A645B">
      <w:pPr>
        <w:jc w:val="both"/>
      </w:pPr>
      <w:r>
        <w:rPr>
          <w:vertAlign w:val="superscript"/>
        </w:rPr>
        <w:footnoteRef/>
      </w:r>
      <w:r>
        <w:t xml:space="preserve"> </w:t>
      </w:r>
      <w:r w:rsidRPr="005A645B">
        <w:rPr>
          <w:rFonts w:ascii="Arial" w:hAnsi="Arial" w:cs="Arial"/>
        </w:rPr>
        <w:t>Jurisprudencia 1/99, de rubro: FIRMA AUTÓGRAFA. EN LA PROMOCIÓN DE UN MEDIO DE IMPUGNACIÓN EN MATERIA ELECTORAL SE SATISFACE ESTE REQUISITO, AUN CUANDO LA FIRMA NO APAREZCA EN EL ESCRITO DE EXPRESIÓN DE AGRAVIOS Y SÍ EN EL DOCUMENTO DE PRESENTACIÓN DE DICHO MEDIO IMPUGNATIVO.</w:t>
      </w:r>
    </w:p>
  </w:footnote>
  <w:footnote w:id="5">
    <w:p w14:paraId="5A0903E5" w14:textId="77777777" w:rsidR="009A1271" w:rsidRDefault="00000000">
      <w:r>
        <w:rPr>
          <w:vertAlign w:val="superscript"/>
        </w:rPr>
        <w:footnoteRef/>
      </w:r>
      <w:r>
        <w:t xml:space="preserve"> </w:t>
      </w:r>
      <w:r>
        <w:rPr>
          <w:rFonts w:ascii="Arial" w:eastAsia="Arial" w:hAnsi="Arial" w:cs="Arial"/>
        </w:rPr>
        <w:t xml:space="preserve">Véase la resolución </w:t>
      </w:r>
      <w:r>
        <w:rPr>
          <w:rFonts w:ascii="Arial" w:eastAsia="Arial" w:hAnsi="Arial" w:cs="Arial"/>
          <w:highlight w:val="white"/>
        </w:rPr>
        <w:t>SUP-</w:t>
      </w:r>
      <w:r>
        <w:rPr>
          <w:rFonts w:ascii="Arial" w:eastAsia="Arial" w:hAnsi="Arial" w:cs="Arial"/>
        </w:rPr>
        <w:t>JDC-769/2020.</w:t>
      </w:r>
    </w:p>
  </w:footnote>
  <w:footnote w:id="6">
    <w:p w14:paraId="1A9224EF" w14:textId="2E94B0FD" w:rsidR="005A645B" w:rsidRPr="005A645B" w:rsidRDefault="005A645B">
      <w:pPr>
        <w:pStyle w:val="Textonotapie"/>
        <w:rPr>
          <w:rFonts w:ascii="Arial" w:hAnsi="Arial" w:cs="Arial"/>
        </w:rPr>
      </w:pPr>
      <w:r w:rsidRPr="005A645B">
        <w:rPr>
          <w:rStyle w:val="Refdenotaalpie"/>
          <w:rFonts w:ascii="Arial" w:hAnsi="Arial" w:cs="Arial"/>
        </w:rPr>
        <w:footnoteRef/>
      </w:r>
      <w:r w:rsidRPr="005A645B">
        <w:rPr>
          <w:rFonts w:ascii="Arial" w:hAnsi="Arial" w:cs="Arial"/>
        </w:rPr>
        <w:t xml:space="preserve"> Véase las fojas </w:t>
      </w:r>
      <w:r w:rsidR="00B24BE5">
        <w:rPr>
          <w:rFonts w:ascii="Arial" w:hAnsi="Arial" w:cs="Arial"/>
        </w:rPr>
        <w:t>6 y 35</w:t>
      </w:r>
      <w:r w:rsidRPr="005A645B">
        <w:rPr>
          <w:rFonts w:ascii="Arial" w:hAnsi="Arial" w:cs="Arial"/>
        </w:rPr>
        <w:t xml:space="preserve"> del expediente físico. </w:t>
      </w:r>
    </w:p>
  </w:footnote>
  <w:footnote w:id="7">
    <w:p w14:paraId="0D5E2119" w14:textId="0D3CF031" w:rsidR="003D769D" w:rsidRPr="003D769D" w:rsidRDefault="003D769D">
      <w:pPr>
        <w:pStyle w:val="Textonotapie"/>
        <w:rPr>
          <w:rFonts w:ascii="Arial" w:hAnsi="Arial" w:cs="Arial"/>
        </w:rPr>
      </w:pPr>
      <w:r w:rsidRPr="003D769D">
        <w:rPr>
          <w:rStyle w:val="Refdenotaalpie"/>
          <w:rFonts w:ascii="Arial" w:hAnsi="Arial" w:cs="Arial"/>
        </w:rPr>
        <w:footnoteRef/>
      </w:r>
      <w:r w:rsidRPr="003D769D">
        <w:rPr>
          <w:rFonts w:ascii="Arial" w:hAnsi="Arial" w:cs="Arial"/>
        </w:rPr>
        <w:t xml:space="preserve"> Véanse los criterios siguientes: Jurisprudencia 1/99 y el asunto SUP-JDC-769/2020, respectivamente.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BB2B" w14:textId="550F6FAC" w:rsidR="009A1271" w:rsidRDefault="00000000">
    <w:pPr>
      <w:pBdr>
        <w:top w:val="nil"/>
        <w:left w:val="nil"/>
        <w:bottom w:val="nil"/>
        <w:right w:val="nil"/>
        <w:between w:val="nil"/>
      </w:pBdr>
      <w:tabs>
        <w:tab w:val="center" w:pos="4419"/>
        <w:tab w:val="right" w:pos="8838"/>
      </w:tabs>
      <w:rPr>
        <w:color w:val="000000"/>
      </w:rPr>
    </w:pPr>
    <w:r>
      <w:rPr>
        <w:noProof/>
      </w:rPr>
      <w:pict w14:anchorId="2E92E9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570876" o:spid="_x0000_s1026"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AF4DF8">
      <w:rPr>
        <w:noProof/>
        <w:color w:val="000000"/>
      </w:rPr>
      <mc:AlternateContent>
        <mc:Choice Requires="wps">
          <w:drawing>
            <wp:anchor distT="0" distB="0" distL="0" distR="0" simplePos="0" relativeHeight="251660288" behindDoc="1" locked="0" layoutInCell="1" hidden="0" allowOverlap="1" wp14:anchorId="5A53AAF6" wp14:editId="56D28917">
              <wp:simplePos x="0" y="0"/>
              <wp:positionH relativeFrom="margin">
                <wp:align>center</wp:align>
              </wp:positionH>
              <wp:positionV relativeFrom="margin">
                <wp:align>center</wp:align>
              </wp:positionV>
              <wp:extent cx="17444488" cy="17444488"/>
              <wp:effectExtent l="0" t="0" r="0" b="0"/>
              <wp:wrapNone/>
              <wp:docPr id="14" name="Rectángulo 14"/>
              <wp:cNvGraphicFramePr/>
              <a:graphic xmlns:a="http://schemas.openxmlformats.org/drawingml/2006/main">
                <a:graphicData uri="http://schemas.microsoft.com/office/word/2010/wordprocessingShape">
                  <wps:wsp>
                    <wps:cNvSpPr/>
                    <wps:spPr>
                      <a:xfrm rot="-2700000">
                        <a:off x="1587435" y="3201833"/>
                        <a:ext cx="7517130" cy="1156335"/>
                      </a:xfrm>
                      <a:prstGeom prst="rect">
                        <a:avLst/>
                      </a:prstGeom>
                      <a:noFill/>
                      <a:ln>
                        <a:noFill/>
                      </a:ln>
                    </wps:spPr>
                    <wps:txbx>
                      <w:txbxContent>
                        <w:p w14:paraId="60B25887" w14:textId="77777777" w:rsidR="009A1271" w:rsidRDefault="00000000">
                          <w:pPr>
                            <w:jc w:val="center"/>
                            <w:textDirection w:val="btLr"/>
                          </w:pPr>
                          <w:r>
                            <w:rPr>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5A53AAF6" id="Rectángulo 14" o:spid="_x0000_s1027" style="position:absolute;margin-left:0;margin-top:0;width:1373.6pt;height:1373.6pt;rotation:-45;z-index:-25165619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" filled="f" stroked="f">
              <v:textbox inset="2.53958mm,2.53958mm,2.53958mm,2.53958mm">
                <w:txbxContent>
                  <w:p w14:paraId="60B25887" w14:textId="77777777" w:rsidR="009A1271" w:rsidRDefault="00000000">
                    <w:pPr>
                      <w:jc w:val="center"/>
                      <w:textDirection w:val="btLr"/>
                    </w:pPr>
                    <w:r>
                      <w:rPr>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42B4" w14:textId="1CCAE839" w:rsidR="009A1271" w:rsidRDefault="00000000">
    <w:pPr>
      <w:spacing w:line="200" w:lineRule="auto"/>
    </w:pPr>
    <w:r>
      <w:rPr>
        <w:noProof/>
      </w:rPr>
      <w:pict w14:anchorId="22331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570877" o:spid="_x0000_s1027" type="#_x0000_t136" style="position:absolute;margin-left:0;margin-top:0;width:591.9pt;height:91.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641114368"/>
      <w:docPartObj>
        <w:docPartGallery w:val="Page Numbers (Margins)"/>
        <w:docPartUnique/>
      </w:docPartObj>
    </w:sdtPr>
    <w:sdtContent>
      <w:p w14:paraId="3F607B2D" w14:textId="77777777" w:rsidR="009A1271" w:rsidRDefault="003D769D">
        <w:pPr>
          <w:spacing w:line="200" w:lineRule="auto"/>
        </w:pPr>
        <w:r>
          <w:rPr>
            <w:noProof/>
          </w:rPr>
          <mc:AlternateContent>
            <mc:Choice Requires="wps">
              <w:drawing>
                <wp:anchor distT="0" distB="0" distL="114300" distR="114300" simplePos="0" relativeHeight="251662336" behindDoc="0" locked="0" layoutInCell="0" allowOverlap="1" wp14:anchorId="2C3EE276" wp14:editId="7797BFCB">
                  <wp:simplePos x="0" y="0"/>
                  <wp:positionH relativeFrom="rightMargin">
                    <wp:align>right</wp:align>
                  </wp:positionH>
                  <wp:positionV relativeFrom="margin">
                    <wp:align>center</wp:align>
                  </wp:positionV>
                  <wp:extent cx="727710" cy="329565"/>
                  <wp:effectExtent l="0" t="0" r="0" b="381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2A675" w14:textId="77777777" w:rsidR="003D769D" w:rsidRDefault="003D769D">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C3EE276" id="Rectángulo 5" o:spid="_x0000_s1028" style="position:absolute;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0382A675" w14:textId="77777777" w:rsidR="003D769D" w:rsidRDefault="003D769D">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034CDD32" w14:textId="77777777" w:rsidR="009A1271" w:rsidRDefault="009A1271">
    <w:pPr>
      <w:spacing w:line="200" w:lineRule="auto"/>
    </w:pPr>
  </w:p>
  <w:p w14:paraId="36CE668F" w14:textId="77777777" w:rsidR="009A1271" w:rsidRDefault="009A1271">
    <w:pPr>
      <w:spacing w:line="200" w:lineRule="auto"/>
    </w:pPr>
  </w:p>
  <w:p w14:paraId="274159EA" w14:textId="77777777" w:rsidR="009A1271" w:rsidRDefault="009A1271">
    <w:pPr>
      <w:spacing w:line="200" w:lineRule="auto"/>
    </w:pPr>
  </w:p>
  <w:p w14:paraId="112327F3" w14:textId="77777777" w:rsidR="009A1271" w:rsidRDefault="009A1271">
    <w:pPr>
      <w:spacing w:line="200" w:lineRule="auto"/>
    </w:pPr>
  </w:p>
  <w:p w14:paraId="0CC042C3" w14:textId="77777777" w:rsidR="009A1271" w:rsidRDefault="009A1271">
    <w:pPr>
      <w:spacing w:line="200" w:lineRule="auto"/>
    </w:pPr>
  </w:p>
  <w:p w14:paraId="46CDF022" w14:textId="77777777" w:rsidR="009A1271" w:rsidRDefault="009A1271">
    <w:pPr>
      <w:spacing w:line="200" w:lineRule="auto"/>
    </w:pPr>
  </w:p>
  <w:p w14:paraId="65821227" w14:textId="77777777" w:rsidR="009A1271" w:rsidRDefault="009A1271">
    <w:pPr>
      <w:spacing w:line="200" w:lineRule="auto"/>
    </w:pPr>
  </w:p>
  <w:p w14:paraId="49FF5F26" w14:textId="77777777" w:rsidR="009A1271" w:rsidRDefault="00000000">
    <w:pPr>
      <w:spacing w:line="200" w:lineRule="auto"/>
    </w:pPr>
    <w:r>
      <w:rPr>
        <w:noProof/>
      </w:rPr>
      <w:drawing>
        <wp:anchor distT="0" distB="0" distL="0" distR="0" simplePos="0" relativeHeight="251658240" behindDoc="1" locked="0" layoutInCell="1" hidden="0" allowOverlap="1" wp14:anchorId="65E21C82" wp14:editId="2E6C894F">
          <wp:simplePos x="0" y="0"/>
          <wp:positionH relativeFrom="page">
            <wp:posOffset>708660</wp:posOffset>
          </wp:positionH>
          <wp:positionV relativeFrom="page">
            <wp:posOffset>174625</wp:posOffset>
          </wp:positionV>
          <wp:extent cx="1179830" cy="140462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30DE" w14:textId="5358B500" w:rsidR="009A1271" w:rsidRDefault="00000000">
    <w:pPr>
      <w:pBdr>
        <w:top w:val="nil"/>
        <w:left w:val="nil"/>
        <w:bottom w:val="nil"/>
        <w:right w:val="nil"/>
        <w:between w:val="nil"/>
      </w:pBdr>
      <w:tabs>
        <w:tab w:val="center" w:pos="4419"/>
        <w:tab w:val="right" w:pos="8838"/>
      </w:tabs>
      <w:rPr>
        <w:color w:val="000000"/>
      </w:rPr>
    </w:pPr>
    <w:r>
      <w:rPr>
        <w:noProof/>
      </w:rPr>
      <w:pict w14:anchorId="182EB8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570875" o:spid="_x0000_s1025"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AF4DF8">
      <w:rPr>
        <w:noProof/>
        <w:color w:val="000000"/>
      </w:rPr>
      <mc:AlternateContent>
        <mc:Choice Requires="wps">
          <w:drawing>
            <wp:anchor distT="0" distB="0" distL="0" distR="0" simplePos="0" relativeHeight="251659264" behindDoc="1" locked="0" layoutInCell="1" hidden="0" allowOverlap="1" wp14:anchorId="14DC6CA0" wp14:editId="673FF031">
              <wp:simplePos x="0" y="0"/>
              <wp:positionH relativeFrom="margin">
                <wp:align>center</wp:align>
              </wp:positionH>
              <wp:positionV relativeFrom="margin">
                <wp:align>center</wp:align>
              </wp:positionV>
              <wp:extent cx="17444488" cy="17444488"/>
              <wp:effectExtent l="0" t="0" r="0" b="0"/>
              <wp:wrapNone/>
              <wp:docPr id="15" name="Rectángulo 15"/>
              <wp:cNvGraphicFramePr/>
              <a:graphic xmlns:a="http://schemas.openxmlformats.org/drawingml/2006/main">
                <a:graphicData uri="http://schemas.microsoft.com/office/word/2010/wordprocessingShape">
                  <wps:wsp>
                    <wps:cNvSpPr/>
                    <wps:spPr>
                      <a:xfrm rot="-2700000">
                        <a:off x="1587435" y="3201833"/>
                        <a:ext cx="7517130" cy="1156335"/>
                      </a:xfrm>
                      <a:prstGeom prst="rect">
                        <a:avLst/>
                      </a:prstGeom>
                      <a:noFill/>
                      <a:ln>
                        <a:noFill/>
                      </a:ln>
                    </wps:spPr>
                    <wps:txbx>
                      <w:txbxContent>
                        <w:p w14:paraId="65B31EB5" w14:textId="77777777" w:rsidR="009A1271" w:rsidRDefault="00000000">
                          <w:pPr>
                            <w:jc w:val="center"/>
                            <w:textDirection w:val="btLr"/>
                          </w:pPr>
                          <w:r>
                            <w:rPr>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4DC6CA0" id="Rectángulo 15" o:spid="_x0000_s1029" style="position:absolute;margin-left:0;margin-top:0;width:1373.6pt;height:1373.6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" filled="f" stroked="f">
              <v:textbox inset="2.53958mm,2.53958mm,2.53958mm,2.53958mm">
                <w:txbxContent>
                  <w:p w14:paraId="65B31EB5" w14:textId="77777777" w:rsidR="009A1271" w:rsidRDefault="00000000">
                    <w:pPr>
                      <w:jc w:val="center"/>
                      <w:textDirection w:val="btLr"/>
                    </w:pPr>
                    <w:r>
                      <w:rPr>
                        <w:color w:val="C0C0C0"/>
                        <w:sz w:val="144"/>
                      </w:rPr>
                      <w:t>Para consulta</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F96"/>
    <w:multiLevelType w:val="multilevel"/>
    <w:tmpl w:val="257A44BE"/>
    <w:lvl w:ilvl="0">
      <w:start w:val="1"/>
      <w:numFmt w:val="decimal"/>
      <w:lvlText w:val="%1."/>
      <w:lvlJc w:val="left"/>
      <w:pPr>
        <w:ind w:left="360" w:hanging="360"/>
      </w:pPr>
      <w:rPr>
        <w:rFonts w:ascii="Arial" w:eastAsia="Arial" w:hAnsi="Arial" w:cs="Arial"/>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14507DB"/>
    <w:multiLevelType w:val="hybridMultilevel"/>
    <w:tmpl w:val="012EB21A"/>
    <w:lvl w:ilvl="0" w:tplc="40DA5CF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6EE10FC5"/>
    <w:multiLevelType w:val="multilevel"/>
    <w:tmpl w:val="47061452"/>
    <w:lvl w:ilvl="0">
      <w:start w:val="1"/>
      <w:numFmt w:val="upperRoman"/>
      <w:lvlText w:val="%1."/>
      <w:lvlJc w:val="left"/>
      <w:pPr>
        <w:ind w:left="539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1930960">
    <w:abstractNumId w:val="0"/>
  </w:num>
  <w:num w:numId="2" w16cid:durableId="1171750359">
    <w:abstractNumId w:val="2"/>
  </w:num>
  <w:num w:numId="3" w16cid:durableId="16024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71"/>
    <w:rsid w:val="001934CF"/>
    <w:rsid w:val="001B1F60"/>
    <w:rsid w:val="002148B9"/>
    <w:rsid w:val="003D769D"/>
    <w:rsid w:val="005A4A4F"/>
    <w:rsid w:val="005A645B"/>
    <w:rsid w:val="006440D5"/>
    <w:rsid w:val="006B2C76"/>
    <w:rsid w:val="0088650D"/>
    <w:rsid w:val="008F35BF"/>
    <w:rsid w:val="0096572B"/>
    <w:rsid w:val="009A1271"/>
    <w:rsid w:val="00AF4DF8"/>
    <w:rsid w:val="00B24BE5"/>
    <w:rsid w:val="00B577F8"/>
    <w:rsid w:val="00DA4884"/>
    <w:rsid w:val="00EC79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604C"/>
  <w15:docId w15:val="{254621A0-4211-452C-BC20-F745758D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91E"/>
  </w:style>
  <w:style w:type="paragraph" w:styleId="Ttulo1">
    <w:name w:val="heading 1"/>
    <w:basedOn w:val="Normal"/>
    <w:next w:val="Normal"/>
    <w:link w:val="Ttulo1Car"/>
    <w:uiPriority w:val="9"/>
    <w:qFormat/>
    <w:rsid w:val="0057191E"/>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link w:val="Ttulo2Car"/>
    <w:uiPriority w:val="9"/>
    <w:unhideWhenUsed/>
    <w:qFormat/>
    <w:rsid w:val="0057191E"/>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57191E"/>
    <w:rPr>
      <w:rFonts w:ascii="Arial" w:eastAsia="Arial" w:hAnsi="Arial" w:cs="Arial"/>
      <w:b/>
      <w:smallCaps/>
      <w:sz w:val="24"/>
      <w:szCs w:val="24"/>
      <w:lang w:eastAsia="es-MX"/>
    </w:rPr>
  </w:style>
  <w:style w:type="character" w:customStyle="1" w:styleId="Ttulo2Car">
    <w:name w:val="Título 2 Car"/>
    <w:basedOn w:val="Fuentedeprrafopredeter"/>
    <w:link w:val="Ttulo2"/>
    <w:uiPriority w:val="9"/>
    <w:rsid w:val="0057191E"/>
    <w:rPr>
      <w:rFonts w:ascii="Calibri" w:eastAsia="Calibri" w:hAnsi="Calibri" w:cs="Calibri"/>
      <w:b/>
      <w:color w:val="4472C4"/>
      <w:sz w:val="26"/>
      <w:szCs w:val="26"/>
      <w:lang w:eastAsia="es-MX"/>
    </w:rPr>
  </w:style>
  <w:style w:type="paragraph" w:styleId="Sinespaciado">
    <w:name w:val="No Spacing"/>
    <w:uiPriority w:val="1"/>
    <w:qFormat/>
    <w:rsid w:val="0057191E"/>
  </w:style>
  <w:style w:type="paragraph" w:styleId="Piedepgina">
    <w:name w:val="footer"/>
    <w:basedOn w:val="Normal"/>
    <w:link w:val="PiedepginaCar"/>
    <w:uiPriority w:val="99"/>
    <w:unhideWhenUsed/>
    <w:rsid w:val="0057191E"/>
    <w:pPr>
      <w:tabs>
        <w:tab w:val="center" w:pos="4419"/>
        <w:tab w:val="right" w:pos="8838"/>
      </w:tabs>
    </w:pPr>
  </w:style>
  <w:style w:type="character" w:customStyle="1" w:styleId="PiedepginaCar">
    <w:name w:val="Pie de página Car"/>
    <w:basedOn w:val="Fuentedeprrafopredeter"/>
    <w:link w:val="Piedepgina"/>
    <w:uiPriority w:val="99"/>
    <w:rsid w:val="0057191E"/>
    <w:rPr>
      <w:rFonts w:ascii="Times New Roman" w:eastAsia="Times New Roman" w:hAnsi="Times New Roman" w:cs="Times New Roman"/>
      <w:sz w:val="20"/>
      <w:szCs w:val="20"/>
      <w:lang w:eastAsia="es-MX"/>
    </w:rPr>
  </w:style>
  <w:style w:type="character" w:styleId="Nmerodepgina">
    <w:name w:val="page number"/>
    <w:basedOn w:val="Fuentedeprrafopredeter"/>
    <w:uiPriority w:val="99"/>
    <w:semiHidden/>
    <w:unhideWhenUsed/>
    <w:rsid w:val="0057191E"/>
  </w:style>
  <w:style w:type="paragraph" w:styleId="Prrafodelista">
    <w:name w:val="List Paragraph"/>
    <w:basedOn w:val="Normal"/>
    <w:uiPriority w:val="34"/>
    <w:qFormat/>
    <w:rsid w:val="00860794"/>
    <w:pPr>
      <w:ind w:left="720"/>
      <w:contextualSpacing/>
    </w:pPr>
  </w:style>
  <w:style w:type="paragraph" w:styleId="Textonotapie">
    <w:name w:val="footnote text"/>
    <w:basedOn w:val="Normal"/>
    <w:link w:val="TextonotapieCar"/>
    <w:uiPriority w:val="99"/>
    <w:unhideWhenUsed/>
    <w:rsid w:val="00302975"/>
  </w:style>
  <w:style w:type="character" w:customStyle="1" w:styleId="TextonotapieCar">
    <w:name w:val="Texto nota pie Car"/>
    <w:basedOn w:val="Fuentedeprrafopredeter"/>
    <w:link w:val="Textonotapie"/>
    <w:uiPriority w:val="99"/>
    <w:rsid w:val="00302975"/>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302975"/>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EucDk6Gwi2a0eeRjjrhFGvDF/g==">AMUW2mX0P3ncg721+Ula2ZI20WDPA8KL0zbQGfg10grkG0nnAd6JJJBAutjFWoI6lnciPNGLRkTgeBRxGH7D0+EI9jKvxJVBIX2+W3bL8Z1w6wREq6Wv/J1Xik+D4HeHpcnbIgD/fMLirKkuwjEpXPgt1FaWxNDGpSXgYJiu9Flsw0Kdd1cCKUPAXBb4ug/4LU2z5llBixmQ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B4976C-5972-4ECE-ABE6-0AB7F382B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8011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TEEA-LAP-ONE</dc:creator>
  <cp:lastModifiedBy>Lic. Nestor Rivera</cp:lastModifiedBy>
  <cp:revision>2</cp:revision>
  <cp:lastPrinted>2023-03-16T18:07:00Z</cp:lastPrinted>
  <dcterms:created xsi:type="dcterms:W3CDTF">2023-08-16T17:10:00Z</dcterms:created>
  <dcterms:modified xsi:type="dcterms:W3CDTF">2023-08-16T17:10:00Z</dcterms:modified>
</cp:coreProperties>
</file>