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368935" w14:textId="77777777" w:rsidR="00B14497" w:rsidRDefault="000142EE">
      <w:pPr>
        <w:ind w:left="3828" w:right="36"/>
        <w:jc w:val="both"/>
        <w:rPr>
          <w:rFonts w:ascii="Arial" w:eastAsia="Arial" w:hAnsi="Arial" w:cs="Arial"/>
          <w:b/>
          <w:sz w:val="24"/>
          <w:szCs w:val="24"/>
        </w:rPr>
      </w:pPr>
      <w:bookmarkStart w:id="0" w:name="_heading=h.gjdgxs" w:colFirst="0" w:colLast="0"/>
      <w:bookmarkEnd w:id="0"/>
      <w:r>
        <w:rPr>
          <w:rFonts w:ascii="Arial" w:eastAsia="Arial" w:hAnsi="Arial" w:cs="Arial"/>
          <w:b/>
          <w:sz w:val="24"/>
          <w:szCs w:val="24"/>
        </w:rPr>
        <w:t>PROCEDIMIENTO ESPECIAL SANCIONADOR.</w:t>
      </w:r>
    </w:p>
    <w:p w14:paraId="773AA4EC" w14:textId="77777777" w:rsidR="00B14497" w:rsidRDefault="00B14497">
      <w:pPr>
        <w:pBdr>
          <w:top w:val="nil"/>
          <w:left w:val="nil"/>
          <w:bottom w:val="nil"/>
          <w:right w:val="nil"/>
          <w:between w:val="nil"/>
        </w:pBdr>
        <w:ind w:left="3828"/>
        <w:rPr>
          <w:rFonts w:ascii="Arial" w:eastAsia="Arial" w:hAnsi="Arial" w:cs="Arial"/>
          <w:color w:val="000000"/>
          <w:sz w:val="14"/>
          <w:szCs w:val="14"/>
        </w:rPr>
      </w:pPr>
    </w:p>
    <w:p w14:paraId="1FD5D684" w14:textId="77777777" w:rsidR="00B14497" w:rsidRDefault="000142EE">
      <w:pPr>
        <w:ind w:left="3828" w:right="36"/>
        <w:jc w:val="both"/>
        <w:rPr>
          <w:rFonts w:ascii="Arial" w:eastAsia="Arial" w:hAnsi="Arial" w:cs="Arial"/>
          <w:b/>
          <w:sz w:val="24"/>
          <w:szCs w:val="24"/>
        </w:rPr>
      </w:pPr>
      <w:r>
        <w:rPr>
          <w:rFonts w:ascii="Arial" w:eastAsia="Arial" w:hAnsi="Arial" w:cs="Arial"/>
          <w:b/>
          <w:sz w:val="24"/>
          <w:szCs w:val="24"/>
        </w:rPr>
        <w:t xml:space="preserve">EXPEDIENTE: </w:t>
      </w:r>
      <w:r>
        <w:rPr>
          <w:rFonts w:ascii="Arial" w:eastAsia="Arial" w:hAnsi="Arial" w:cs="Arial"/>
          <w:sz w:val="24"/>
          <w:szCs w:val="24"/>
        </w:rPr>
        <w:t>TEEA-PES-086/2022.</w:t>
      </w:r>
      <w:r>
        <w:rPr>
          <w:rFonts w:ascii="Arial" w:eastAsia="Arial" w:hAnsi="Arial" w:cs="Arial"/>
          <w:b/>
          <w:sz w:val="24"/>
          <w:szCs w:val="24"/>
        </w:rPr>
        <w:t xml:space="preserve"> </w:t>
      </w:r>
    </w:p>
    <w:p w14:paraId="69934544" w14:textId="77777777" w:rsidR="00B14497" w:rsidRDefault="00B14497">
      <w:pPr>
        <w:ind w:left="3828" w:right="36"/>
        <w:jc w:val="both"/>
        <w:rPr>
          <w:rFonts w:ascii="Arial" w:eastAsia="Arial" w:hAnsi="Arial" w:cs="Arial"/>
          <w:b/>
          <w:sz w:val="14"/>
          <w:szCs w:val="14"/>
        </w:rPr>
      </w:pPr>
    </w:p>
    <w:p w14:paraId="51D52E33" w14:textId="77777777" w:rsidR="00B14497" w:rsidRDefault="000142EE">
      <w:pPr>
        <w:ind w:left="3828" w:right="36"/>
        <w:jc w:val="both"/>
        <w:rPr>
          <w:rFonts w:ascii="Arial" w:eastAsia="Arial" w:hAnsi="Arial" w:cs="Arial"/>
          <w:sz w:val="24"/>
          <w:szCs w:val="24"/>
        </w:rPr>
      </w:pPr>
      <w:r>
        <w:rPr>
          <w:rFonts w:ascii="Arial" w:eastAsia="Arial" w:hAnsi="Arial" w:cs="Arial"/>
          <w:b/>
          <w:sz w:val="24"/>
          <w:szCs w:val="24"/>
        </w:rPr>
        <w:t>DENUNCIANTE:</w:t>
      </w:r>
      <w:r>
        <w:rPr>
          <w:rFonts w:ascii="Arial" w:eastAsia="Arial" w:hAnsi="Arial" w:cs="Arial"/>
          <w:sz w:val="24"/>
          <w:szCs w:val="24"/>
        </w:rPr>
        <w:t xml:space="preserve"> MORENA.</w:t>
      </w:r>
    </w:p>
    <w:p w14:paraId="7A5A34F6" w14:textId="77777777" w:rsidR="00B14497" w:rsidRDefault="00B14497">
      <w:pPr>
        <w:ind w:left="3828" w:right="36"/>
        <w:jc w:val="both"/>
        <w:rPr>
          <w:rFonts w:ascii="Arial" w:eastAsia="Arial" w:hAnsi="Arial" w:cs="Arial"/>
          <w:sz w:val="14"/>
          <w:szCs w:val="14"/>
        </w:rPr>
      </w:pPr>
    </w:p>
    <w:p w14:paraId="71AECAC8" w14:textId="77777777" w:rsidR="00B14497" w:rsidRDefault="000142EE">
      <w:pPr>
        <w:ind w:left="3828" w:right="36"/>
        <w:jc w:val="both"/>
        <w:rPr>
          <w:rFonts w:ascii="Arial" w:eastAsia="Arial" w:hAnsi="Arial" w:cs="Arial"/>
          <w:sz w:val="24"/>
          <w:szCs w:val="24"/>
        </w:rPr>
      </w:pPr>
      <w:r>
        <w:rPr>
          <w:rFonts w:ascii="Arial" w:eastAsia="Arial" w:hAnsi="Arial" w:cs="Arial"/>
          <w:b/>
          <w:sz w:val="24"/>
          <w:szCs w:val="24"/>
        </w:rPr>
        <w:t xml:space="preserve">DENUNCIADOS: </w:t>
      </w:r>
      <w:r>
        <w:rPr>
          <w:rFonts w:ascii="Arial" w:eastAsia="Arial" w:hAnsi="Arial" w:cs="Arial"/>
          <w:sz w:val="24"/>
          <w:szCs w:val="24"/>
        </w:rPr>
        <w:t>MARÍA TERESA JIMÉNEZ ESQUIVEL, ENTONCES CANDIDATA DE LA COALICIÓN “VA POR AGUASCALIENTES” A LA GUBERNATURA DEL ESTADO, Y OTROS.</w:t>
      </w:r>
    </w:p>
    <w:p w14:paraId="59A65FF4" w14:textId="77777777" w:rsidR="00B14497" w:rsidRDefault="00B14497">
      <w:pPr>
        <w:pBdr>
          <w:top w:val="nil"/>
          <w:left w:val="nil"/>
          <w:bottom w:val="nil"/>
          <w:right w:val="nil"/>
          <w:between w:val="nil"/>
        </w:pBdr>
        <w:ind w:left="3828"/>
        <w:rPr>
          <w:rFonts w:ascii="Arial" w:eastAsia="Arial" w:hAnsi="Arial" w:cs="Arial"/>
          <w:color w:val="000000"/>
          <w:sz w:val="14"/>
          <w:szCs w:val="14"/>
        </w:rPr>
      </w:pPr>
    </w:p>
    <w:p w14:paraId="5EBBF2DF" w14:textId="77777777" w:rsidR="00B14497" w:rsidRDefault="000142EE">
      <w:pPr>
        <w:ind w:left="3828" w:right="36"/>
        <w:jc w:val="both"/>
        <w:rPr>
          <w:rFonts w:ascii="Arial" w:eastAsia="Arial" w:hAnsi="Arial" w:cs="Arial"/>
          <w:sz w:val="24"/>
          <w:szCs w:val="24"/>
        </w:rPr>
      </w:pPr>
      <w:r>
        <w:rPr>
          <w:rFonts w:ascii="Arial" w:eastAsia="Arial" w:hAnsi="Arial" w:cs="Arial"/>
          <w:b/>
          <w:sz w:val="24"/>
          <w:szCs w:val="24"/>
        </w:rPr>
        <w:t>MAGISTRADA PONENTE:</w:t>
      </w:r>
      <w:r>
        <w:rPr>
          <w:rFonts w:ascii="Arial" w:eastAsia="Arial" w:hAnsi="Arial" w:cs="Arial"/>
          <w:sz w:val="24"/>
          <w:szCs w:val="24"/>
        </w:rPr>
        <w:t xml:space="preserve"> LAURA HORTENSIA LLAMAS HERNÁNDEZ.</w:t>
      </w:r>
    </w:p>
    <w:p w14:paraId="6B61500B" w14:textId="77777777" w:rsidR="00B14497" w:rsidRDefault="00B14497">
      <w:pPr>
        <w:pBdr>
          <w:top w:val="nil"/>
          <w:left w:val="nil"/>
          <w:bottom w:val="nil"/>
          <w:right w:val="nil"/>
          <w:between w:val="nil"/>
        </w:pBdr>
        <w:ind w:left="3828"/>
        <w:rPr>
          <w:rFonts w:ascii="Arial" w:eastAsia="Arial" w:hAnsi="Arial" w:cs="Arial"/>
          <w:color w:val="000000"/>
          <w:sz w:val="14"/>
          <w:szCs w:val="14"/>
        </w:rPr>
      </w:pPr>
    </w:p>
    <w:p w14:paraId="0F489994" w14:textId="77777777" w:rsidR="00B14497" w:rsidRDefault="000142EE">
      <w:pPr>
        <w:ind w:left="3828" w:right="36"/>
        <w:jc w:val="both"/>
        <w:rPr>
          <w:rFonts w:ascii="Arial" w:eastAsia="Arial" w:hAnsi="Arial" w:cs="Arial"/>
          <w:sz w:val="24"/>
          <w:szCs w:val="24"/>
        </w:rPr>
      </w:pPr>
      <w:r>
        <w:rPr>
          <w:rFonts w:ascii="Arial" w:eastAsia="Arial" w:hAnsi="Arial" w:cs="Arial"/>
          <w:b/>
          <w:sz w:val="24"/>
          <w:szCs w:val="24"/>
        </w:rPr>
        <w:t>SECRETARIO DE ESTUDIO</w:t>
      </w:r>
      <w:r>
        <w:rPr>
          <w:rFonts w:ascii="Arial" w:eastAsia="Arial" w:hAnsi="Arial" w:cs="Arial"/>
          <w:b/>
          <w:sz w:val="24"/>
          <w:szCs w:val="24"/>
          <w:vertAlign w:val="superscript"/>
        </w:rPr>
        <w:footnoteReference w:id="1"/>
      </w:r>
      <w:r>
        <w:rPr>
          <w:rFonts w:ascii="Arial" w:eastAsia="Arial" w:hAnsi="Arial" w:cs="Arial"/>
          <w:b/>
          <w:sz w:val="24"/>
          <w:szCs w:val="24"/>
        </w:rPr>
        <w:t xml:space="preserve">: </w:t>
      </w:r>
      <w:r>
        <w:rPr>
          <w:rFonts w:ascii="Arial" w:eastAsia="Arial" w:hAnsi="Arial" w:cs="Arial"/>
          <w:sz w:val="24"/>
          <w:szCs w:val="24"/>
        </w:rPr>
        <w:t>EDGAR ALEJANDRO LÓPEZ DÁVILA.</w:t>
      </w:r>
    </w:p>
    <w:p w14:paraId="6F3885AD" w14:textId="77777777" w:rsidR="00B14497" w:rsidRDefault="00B14497">
      <w:pPr>
        <w:ind w:left="3828" w:right="36"/>
        <w:jc w:val="both"/>
        <w:rPr>
          <w:rFonts w:ascii="Arial" w:eastAsia="Arial" w:hAnsi="Arial" w:cs="Arial"/>
          <w:sz w:val="14"/>
          <w:szCs w:val="14"/>
        </w:rPr>
      </w:pPr>
    </w:p>
    <w:p w14:paraId="666D1F8D" w14:textId="77777777" w:rsidR="00B14497" w:rsidRDefault="000142EE">
      <w:pPr>
        <w:ind w:left="3828" w:right="36"/>
        <w:jc w:val="both"/>
        <w:rPr>
          <w:rFonts w:ascii="Arial" w:eastAsia="Arial" w:hAnsi="Arial" w:cs="Arial"/>
          <w:sz w:val="24"/>
          <w:szCs w:val="24"/>
        </w:rPr>
      </w:pPr>
      <w:r>
        <w:rPr>
          <w:rFonts w:ascii="Arial" w:eastAsia="Arial" w:hAnsi="Arial" w:cs="Arial"/>
          <w:b/>
          <w:sz w:val="24"/>
          <w:szCs w:val="24"/>
        </w:rPr>
        <w:t xml:space="preserve">COLABORÓ: </w:t>
      </w:r>
      <w:r>
        <w:rPr>
          <w:rFonts w:ascii="Arial" w:eastAsia="Arial" w:hAnsi="Arial" w:cs="Arial"/>
          <w:sz w:val="24"/>
          <w:szCs w:val="24"/>
        </w:rPr>
        <w:t>GUADALUPE JOCELYN MARTÍNEZ TAVAREZ E IVONNE AZUCENA ZAVALA SOTO.</w:t>
      </w:r>
    </w:p>
    <w:p w14:paraId="03605F09" w14:textId="77777777" w:rsidR="00B14497" w:rsidRDefault="00B14497">
      <w:pPr>
        <w:pBdr>
          <w:top w:val="nil"/>
          <w:left w:val="nil"/>
          <w:bottom w:val="nil"/>
          <w:right w:val="nil"/>
          <w:between w:val="nil"/>
        </w:pBdr>
        <w:rPr>
          <w:color w:val="000000"/>
        </w:rPr>
      </w:pPr>
    </w:p>
    <w:p w14:paraId="232A8495" w14:textId="41D36BAD" w:rsidR="00B14497" w:rsidRDefault="000142EE" w:rsidP="00A76CC2">
      <w:pPr>
        <w:pBdr>
          <w:top w:val="nil"/>
          <w:left w:val="nil"/>
          <w:bottom w:val="nil"/>
          <w:right w:val="nil"/>
          <w:between w:val="nil"/>
        </w:pBdr>
        <w:spacing w:line="360" w:lineRule="auto"/>
        <w:ind w:right="36"/>
        <w:jc w:val="right"/>
        <w:rPr>
          <w:rFonts w:ascii="Arial" w:eastAsia="Arial" w:hAnsi="Arial" w:cs="Arial"/>
          <w:sz w:val="24"/>
          <w:szCs w:val="24"/>
        </w:rPr>
      </w:pPr>
      <w:r>
        <w:rPr>
          <w:rFonts w:ascii="Arial" w:eastAsia="Arial" w:hAnsi="Arial" w:cs="Arial"/>
          <w:sz w:val="24"/>
          <w:szCs w:val="24"/>
        </w:rPr>
        <w:t xml:space="preserve">Aguascalientes, Aguascalientes, </w:t>
      </w:r>
      <w:r>
        <w:rPr>
          <w:rFonts w:ascii="Arial" w:eastAsia="Arial" w:hAnsi="Arial" w:cs="Arial"/>
          <w:color w:val="000000"/>
          <w:sz w:val="24"/>
          <w:szCs w:val="24"/>
        </w:rPr>
        <w:t xml:space="preserve">a </w:t>
      </w:r>
      <w:r w:rsidR="00A76CC2">
        <w:rPr>
          <w:rFonts w:ascii="Arial" w:eastAsia="Arial" w:hAnsi="Arial" w:cs="Arial"/>
          <w:sz w:val="24"/>
          <w:szCs w:val="24"/>
        </w:rPr>
        <w:t>16</w:t>
      </w:r>
      <w:r>
        <w:rPr>
          <w:rFonts w:ascii="Arial" w:eastAsia="Arial" w:hAnsi="Arial" w:cs="Arial"/>
          <w:sz w:val="24"/>
          <w:szCs w:val="24"/>
        </w:rPr>
        <w:t xml:space="preserve"> </w:t>
      </w:r>
      <w:r>
        <w:rPr>
          <w:rFonts w:ascii="Arial" w:eastAsia="Arial" w:hAnsi="Arial" w:cs="Arial"/>
          <w:color w:val="000000"/>
          <w:sz w:val="24"/>
          <w:szCs w:val="24"/>
        </w:rPr>
        <w:t xml:space="preserve">de </w:t>
      </w:r>
      <w:r>
        <w:rPr>
          <w:rFonts w:ascii="Arial" w:eastAsia="Arial" w:hAnsi="Arial" w:cs="Arial"/>
          <w:sz w:val="24"/>
          <w:szCs w:val="24"/>
        </w:rPr>
        <w:t xml:space="preserve">agosto </w:t>
      </w:r>
      <w:r>
        <w:rPr>
          <w:rFonts w:ascii="Arial" w:eastAsia="Arial" w:hAnsi="Arial" w:cs="Arial"/>
          <w:color w:val="000000"/>
          <w:sz w:val="24"/>
          <w:szCs w:val="24"/>
        </w:rPr>
        <w:t>de 2022</w:t>
      </w:r>
      <w:r>
        <w:rPr>
          <w:rFonts w:ascii="Arial" w:eastAsia="Arial" w:hAnsi="Arial" w:cs="Arial"/>
          <w:sz w:val="24"/>
          <w:szCs w:val="24"/>
        </w:rPr>
        <w:t>.</w:t>
      </w:r>
    </w:p>
    <w:p w14:paraId="312D1754" w14:textId="77777777" w:rsidR="00B14497" w:rsidRDefault="00B14497">
      <w:pPr>
        <w:pBdr>
          <w:top w:val="nil"/>
          <w:left w:val="nil"/>
          <w:bottom w:val="nil"/>
          <w:right w:val="nil"/>
          <w:between w:val="nil"/>
        </w:pBdr>
        <w:rPr>
          <w:color w:val="000000"/>
        </w:rPr>
      </w:pPr>
    </w:p>
    <w:p w14:paraId="29E4CB22" w14:textId="2B185D9E" w:rsidR="00B14497" w:rsidRDefault="000142EE">
      <w:pPr>
        <w:spacing w:line="360" w:lineRule="auto"/>
        <w:jc w:val="both"/>
        <w:rPr>
          <w:rFonts w:ascii="Arial" w:eastAsia="Arial" w:hAnsi="Arial" w:cs="Arial"/>
          <w:sz w:val="24"/>
          <w:szCs w:val="24"/>
        </w:rPr>
      </w:pPr>
      <w:bookmarkStart w:id="1" w:name="_heading=h.30j0zll" w:colFirst="0" w:colLast="0"/>
      <w:bookmarkEnd w:id="1"/>
      <w:r>
        <w:rPr>
          <w:rFonts w:ascii="Arial" w:eastAsia="Arial" w:hAnsi="Arial" w:cs="Arial"/>
          <w:b/>
          <w:sz w:val="24"/>
          <w:szCs w:val="24"/>
        </w:rPr>
        <w:t xml:space="preserve">Sentencia del Tribunal Electoral </w:t>
      </w:r>
      <w:r>
        <w:rPr>
          <w:rFonts w:ascii="Arial" w:eastAsia="Arial" w:hAnsi="Arial" w:cs="Arial"/>
          <w:sz w:val="24"/>
          <w:szCs w:val="24"/>
        </w:rPr>
        <w:t xml:space="preserve">que declara la </w:t>
      </w:r>
      <w:r>
        <w:rPr>
          <w:rFonts w:ascii="Arial" w:eastAsia="Arial" w:hAnsi="Arial" w:cs="Arial"/>
          <w:b/>
          <w:sz w:val="24"/>
          <w:szCs w:val="24"/>
        </w:rPr>
        <w:t xml:space="preserve">existencia </w:t>
      </w:r>
      <w:r>
        <w:rPr>
          <w:rFonts w:ascii="Arial" w:eastAsia="Arial" w:hAnsi="Arial" w:cs="Arial"/>
          <w:sz w:val="24"/>
          <w:szCs w:val="24"/>
        </w:rPr>
        <w:t xml:space="preserve">de la infracción atribuida a la persona moral </w:t>
      </w:r>
      <w:r>
        <w:rPr>
          <w:rFonts w:ascii="Arial" w:eastAsia="Arial" w:hAnsi="Arial" w:cs="Arial"/>
          <w:i/>
          <w:sz w:val="24"/>
          <w:szCs w:val="24"/>
        </w:rPr>
        <w:t xml:space="preserve">Grupo </w:t>
      </w:r>
      <w:proofErr w:type="spellStart"/>
      <w:r>
        <w:rPr>
          <w:rFonts w:ascii="Arial" w:eastAsia="Arial" w:hAnsi="Arial" w:cs="Arial"/>
          <w:i/>
          <w:sz w:val="24"/>
          <w:szCs w:val="24"/>
        </w:rPr>
        <w:t>Rapcen</w:t>
      </w:r>
      <w:proofErr w:type="spellEnd"/>
      <w:r>
        <w:rPr>
          <w:rFonts w:ascii="Arial" w:eastAsia="Arial" w:hAnsi="Arial" w:cs="Arial"/>
          <w:i/>
          <w:sz w:val="24"/>
          <w:szCs w:val="24"/>
        </w:rPr>
        <w:t xml:space="preserve"> S.A. de C.V. (</w:t>
      </w:r>
      <w:proofErr w:type="spellStart"/>
      <w:r>
        <w:rPr>
          <w:rFonts w:ascii="Arial" w:eastAsia="Arial" w:hAnsi="Arial" w:cs="Arial"/>
          <w:i/>
          <w:sz w:val="24"/>
          <w:szCs w:val="24"/>
        </w:rPr>
        <w:t>TResearch</w:t>
      </w:r>
      <w:proofErr w:type="spellEnd"/>
      <w:r>
        <w:rPr>
          <w:rFonts w:ascii="Arial" w:eastAsia="Arial" w:hAnsi="Arial" w:cs="Arial"/>
          <w:i/>
          <w:sz w:val="24"/>
          <w:szCs w:val="24"/>
        </w:rPr>
        <w:t>)</w:t>
      </w:r>
      <w:r>
        <w:rPr>
          <w:rFonts w:ascii="Arial" w:eastAsia="Arial" w:hAnsi="Arial" w:cs="Arial"/>
          <w:sz w:val="24"/>
          <w:szCs w:val="24"/>
        </w:rPr>
        <w:t xml:space="preserve">, consistente en la vulneración a la normatividad </w:t>
      </w:r>
      <w:r w:rsidR="00E70F88">
        <w:rPr>
          <w:rFonts w:ascii="Arial" w:eastAsia="Arial" w:hAnsi="Arial" w:cs="Arial"/>
          <w:sz w:val="24"/>
          <w:szCs w:val="24"/>
        </w:rPr>
        <w:t xml:space="preserve">por la indebida </w:t>
      </w:r>
      <w:r>
        <w:rPr>
          <w:rFonts w:ascii="Arial" w:eastAsia="Arial" w:hAnsi="Arial" w:cs="Arial"/>
          <w:sz w:val="24"/>
          <w:szCs w:val="24"/>
        </w:rPr>
        <w:t xml:space="preserve">difusión de encuestas sobre preferencias electorales en el marco del proceso comicial de renovación de gubernatura. </w:t>
      </w:r>
    </w:p>
    <w:p w14:paraId="4951941E" w14:textId="77777777" w:rsidR="00B14497" w:rsidRDefault="00B14497">
      <w:pPr>
        <w:rPr>
          <w:highlight w:val="yellow"/>
        </w:rPr>
      </w:pPr>
    </w:p>
    <w:p w14:paraId="59AC28A6" w14:textId="35FD66DA" w:rsidR="00B14497" w:rsidRDefault="000142EE">
      <w:pPr>
        <w:spacing w:line="360" w:lineRule="auto"/>
        <w:jc w:val="both"/>
        <w:rPr>
          <w:rFonts w:ascii="Arial" w:eastAsia="Arial" w:hAnsi="Arial" w:cs="Arial"/>
          <w:sz w:val="24"/>
          <w:szCs w:val="24"/>
        </w:rPr>
      </w:pPr>
      <w:r>
        <w:rPr>
          <w:rFonts w:ascii="Arial" w:eastAsia="Arial" w:hAnsi="Arial" w:cs="Arial"/>
          <w:sz w:val="24"/>
          <w:szCs w:val="24"/>
        </w:rPr>
        <w:t xml:space="preserve">Lo anterior, porque </w:t>
      </w:r>
      <w:r>
        <w:rPr>
          <w:rFonts w:ascii="Arial" w:eastAsia="Arial" w:hAnsi="Arial" w:cs="Arial"/>
          <w:b/>
          <w:sz w:val="24"/>
          <w:szCs w:val="24"/>
        </w:rPr>
        <w:t>este órgano jurisdiccional estima</w:t>
      </w:r>
      <w:r>
        <w:rPr>
          <w:rFonts w:ascii="Arial" w:eastAsia="Arial" w:hAnsi="Arial" w:cs="Arial"/>
          <w:sz w:val="24"/>
          <w:szCs w:val="24"/>
        </w:rPr>
        <w:t xml:space="preserve"> que, </w:t>
      </w:r>
      <w:r>
        <w:rPr>
          <w:rFonts w:ascii="Arial" w:eastAsia="Arial" w:hAnsi="Arial" w:cs="Arial"/>
          <w:sz w:val="24"/>
          <w:szCs w:val="24"/>
          <w:highlight w:val="white"/>
        </w:rPr>
        <w:t xml:space="preserve">a partir del análisis realizado a las encuestas electorales controvertidas, se determinó que: </w:t>
      </w:r>
      <w:r>
        <w:rPr>
          <w:rFonts w:ascii="Arial" w:eastAsia="Arial" w:hAnsi="Arial" w:cs="Arial"/>
          <w:b/>
          <w:i/>
          <w:sz w:val="24"/>
          <w:szCs w:val="24"/>
          <w:highlight w:val="white"/>
        </w:rPr>
        <w:t xml:space="preserve">a) </w:t>
      </w:r>
      <w:r>
        <w:rPr>
          <w:rFonts w:ascii="Arial" w:eastAsia="Arial" w:hAnsi="Arial" w:cs="Arial"/>
          <w:sz w:val="24"/>
          <w:szCs w:val="24"/>
          <w:highlight w:val="white"/>
        </w:rPr>
        <w:t>en cuanto a las publicaciones identificadas con los numerales 2 y 9</w:t>
      </w:r>
      <w:r>
        <w:rPr>
          <w:rFonts w:ascii="Arial" w:eastAsia="Arial" w:hAnsi="Arial" w:cs="Arial"/>
          <w:sz w:val="24"/>
          <w:szCs w:val="24"/>
          <w:highlight w:val="white"/>
          <w:vertAlign w:val="superscript"/>
        </w:rPr>
        <w:footnoteReference w:id="2"/>
      </w:r>
      <w:r>
        <w:rPr>
          <w:rFonts w:ascii="Arial" w:eastAsia="Arial" w:hAnsi="Arial" w:cs="Arial"/>
          <w:sz w:val="24"/>
          <w:szCs w:val="24"/>
          <w:highlight w:val="white"/>
        </w:rPr>
        <w:t xml:space="preserve">, se logró demostrar que estas </w:t>
      </w:r>
      <w:r>
        <w:rPr>
          <w:rFonts w:ascii="Arial" w:eastAsia="Arial" w:hAnsi="Arial" w:cs="Arial"/>
          <w:b/>
          <w:sz w:val="24"/>
          <w:szCs w:val="24"/>
          <w:highlight w:val="white"/>
        </w:rPr>
        <w:t>fueron regulares</w:t>
      </w:r>
      <w:r>
        <w:rPr>
          <w:rFonts w:ascii="Arial" w:eastAsia="Arial" w:hAnsi="Arial" w:cs="Arial"/>
          <w:sz w:val="24"/>
          <w:szCs w:val="24"/>
          <w:highlight w:val="white"/>
        </w:rPr>
        <w:t xml:space="preserve"> y se apegaron al marco normativo de la materia, ya que la parte denunciada sí entregó la documentación que respalda la difusión de las encuestas en tiempo</w:t>
      </w:r>
      <w:r>
        <w:rPr>
          <w:rFonts w:ascii="Arial" w:eastAsia="Arial" w:hAnsi="Arial" w:cs="Arial"/>
          <w:sz w:val="24"/>
          <w:szCs w:val="24"/>
          <w:highlight w:val="white"/>
          <w:vertAlign w:val="superscript"/>
        </w:rPr>
        <w:footnoteReference w:id="3"/>
      </w:r>
      <w:r>
        <w:rPr>
          <w:rFonts w:ascii="Arial" w:eastAsia="Arial" w:hAnsi="Arial" w:cs="Arial"/>
          <w:sz w:val="24"/>
          <w:szCs w:val="24"/>
          <w:highlight w:val="white"/>
        </w:rPr>
        <w:t xml:space="preserve"> y forma</w:t>
      </w:r>
      <w:r>
        <w:rPr>
          <w:rFonts w:ascii="Arial" w:eastAsia="Arial" w:hAnsi="Arial" w:cs="Arial"/>
          <w:sz w:val="24"/>
          <w:szCs w:val="24"/>
          <w:highlight w:val="white"/>
          <w:vertAlign w:val="superscript"/>
        </w:rPr>
        <w:footnoteReference w:id="4"/>
      </w:r>
      <w:r>
        <w:rPr>
          <w:rFonts w:ascii="Arial" w:eastAsia="Arial" w:hAnsi="Arial" w:cs="Arial"/>
          <w:sz w:val="24"/>
          <w:szCs w:val="24"/>
          <w:highlight w:val="white"/>
        </w:rPr>
        <w:t xml:space="preserve">; </w:t>
      </w:r>
      <w:r>
        <w:rPr>
          <w:rFonts w:ascii="Arial" w:eastAsia="Arial" w:hAnsi="Arial" w:cs="Arial"/>
          <w:b/>
          <w:i/>
          <w:sz w:val="24"/>
          <w:szCs w:val="24"/>
          <w:highlight w:val="white"/>
        </w:rPr>
        <w:t xml:space="preserve">b) </w:t>
      </w:r>
      <w:r>
        <w:rPr>
          <w:rFonts w:ascii="Arial" w:eastAsia="Arial" w:hAnsi="Arial" w:cs="Arial"/>
          <w:sz w:val="24"/>
          <w:szCs w:val="24"/>
          <w:highlight w:val="white"/>
        </w:rPr>
        <w:t xml:space="preserve">sin embargo, en cuanto a las encuestas restantes, fue posible advertir que: </w:t>
      </w:r>
      <w:r>
        <w:rPr>
          <w:rFonts w:ascii="Arial" w:eastAsia="Arial" w:hAnsi="Arial" w:cs="Arial"/>
          <w:b/>
          <w:i/>
          <w:sz w:val="24"/>
          <w:szCs w:val="24"/>
          <w:highlight w:val="white"/>
        </w:rPr>
        <w:t>i)</w:t>
      </w:r>
      <w:r>
        <w:rPr>
          <w:rFonts w:ascii="Arial" w:eastAsia="Arial" w:hAnsi="Arial" w:cs="Arial"/>
          <w:sz w:val="24"/>
          <w:szCs w:val="24"/>
          <w:highlight w:val="white"/>
        </w:rPr>
        <w:t xml:space="preserve"> respecto a algunas de ellas</w:t>
      </w:r>
      <w:r>
        <w:rPr>
          <w:rFonts w:ascii="Arial" w:eastAsia="Arial" w:hAnsi="Arial" w:cs="Arial"/>
          <w:sz w:val="24"/>
          <w:szCs w:val="24"/>
          <w:highlight w:val="white"/>
          <w:vertAlign w:val="superscript"/>
        </w:rPr>
        <w:footnoteReference w:id="5"/>
      </w:r>
      <w:r>
        <w:rPr>
          <w:rFonts w:ascii="Arial" w:eastAsia="Arial" w:hAnsi="Arial" w:cs="Arial"/>
          <w:sz w:val="24"/>
          <w:szCs w:val="24"/>
          <w:highlight w:val="white"/>
        </w:rPr>
        <w:t xml:space="preserve">, </w:t>
      </w:r>
      <w:r>
        <w:rPr>
          <w:rFonts w:ascii="Arial" w:eastAsia="Arial" w:hAnsi="Arial" w:cs="Arial"/>
          <w:b/>
          <w:sz w:val="24"/>
          <w:szCs w:val="24"/>
          <w:highlight w:val="white"/>
        </w:rPr>
        <w:t>no se presentó el estudio metodológico</w:t>
      </w:r>
      <w:r>
        <w:rPr>
          <w:rFonts w:ascii="Arial" w:eastAsia="Arial" w:hAnsi="Arial" w:cs="Arial"/>
          <w:sz w:val="24"/>
          <w:szCs w:val="24"/>
          <w:highlight w:val="white"/>
        </w:rPr>
        <w:t xml:space="preserve"> de respaldo ante la autoridad administrativa, </w:t>
      </w:r>
      <w:proofErr w:type="spellStart"/>
      <w:r>
        <w:rPr>
          <w:rFonts w:ascii="Arial" w:eastAsia="Arial" w:hAnsi="Arial" w:cs="Arial"/>
          <w:b/>
          <w:i/>
          <w:sz w:val="24"/>
          <w:szCs w:val="24"/>
          <w:highlight w:val="white"/>
        </w:rPr>
        <w:t>ii</w:t>
      </w:r>
      <w:proofErr w:type="spellEnd"/>
      <w:r>
        <w:rPr>
          <w:rFonts w:ascii="Arial" w:eastAsia="Arial" w:hAnsi="Arial" w:cs="Arial"/>
          <w:b/>
          <w:i/>
          <w:sz w:val="24"/>
          <w:szCs w:val="24"/>
          <w:highlight w:val="white"/>
        </w:rPr>
        <w:t xml:space="preserve">) </w:t>
      </w:r>
      <w:r>
        <w:rPr>
          <w:rFonts w:ascii="Arial" w:eastAsia="Arial" w:hAnsi="Arial" w:cs="Arial"/>
          <w:sz w:val="24"/>
          <w:szCs w:val="24"/>
          <w:highlight w:val="white"/>
        </w:rPr>
        <w:t>respecto a otras</w:t>
      </w:r>
      <w:r>
        <w:rPr>
          <w:rFonts w:ascii="Arial" w:eastAsia="Arial" w:hAnsi="Arial" w:cs="Arial"/>
          <w:sz w:val="24"/>
          <w:szCs w:val="24"/>
          <w:highlight w:val="white"/>
          <w:vertAlign w:val="superscript"/>
        </w:rPr>
        <w:footnoteReference w:id="6"/>
      </w:r>
      <w:r>
        <w:rPr>
          <w:rFonts w:ascii="Arial" w:eastAsia="Arial" w:hAnsi="Arial" w:cs="Arial"/>
          <w:sz w:val="24"/>
          <w:szCs w:val="24"/>
          <w:highlight w:val="white"/>
        </w:rPr>
        <w:t>,</w:t>
      </w:r>
      <w:r>
        <w:rPr>
          <w:rFonts w:ascii="Arial" w:eastAsia="Arial" w:hAnsi="Arial" w:cs="Arial"/>
          <w:b/>
          <w:i/>
          <w:sz w:val="24"/>
          <w:szCs w:val="24"/>
          <w:highlight w:val="white"/>
        </w:rPr>
        <w:t xml:space="preserve"> </w:t>
      </w:r>
      <w:r>
        <w:rPr>
          <w:rFonts w:ascii="Arial" w:eastAsia="Arial" w:hAnsi="Arial" w:cs="Arial"/>
          <w:sz w:val="24"/>
          <w:szCs w:val="24"/>
          <w:highlight w:val="white"/>
        </w:rPr>
        <w:t xml:space="preserve">si bien se cumplió con el requisito anterior, </w:t>
      </w:r>
      <w:r>
        <w:rPr>
          <w:rFonts w:ascii="Arial" w:eastAsia="Arial" w:hAnsi="Arial" w:cs="Arial"/>
          <w:b/>
          <w:sz w:val="24"/>
          <w:szCs w:val="24"/>
          <w:highlight w:val="white"/>
        </w:rPr>
        <w:t>tal estudio no se entregó dentro del plazo</w:t>
      </w:r>
      <w:r>
        <w:rPr>
          <w:rFonts w:ascii="Arial" w:eastAsia="Arial" w:hAnsi="Arial" w:cs="Arial"/>
          <w:sz w:val="24"/>
          <w:szCs w:val="24"/>
          <w:highlight w:val="white"/>
        </w:rPr>
        <w:t xml:space="preserve"> de los cinco días posteriores a su publicación y, </w:t>
      </w:r>
      <w:proofErr w:type="spellStart"/>
      <w:r>
        <w:rPr>
          <w:rFonts w:ascii="Arial" w:eastAsia="Arial" w:hAnsi="Arial" w:cs="Arial"/>
          <w:b/>
          <w:i/>
          <w:sz w:val="24"/>
          <w:szCs w:val="24"/>
          <w:highlight w:val="white"/>
        </w:rPr>
        <w:t>iii</w:t>
      </w:r>
      <w:proofErr w:type="spellEnd"/>
      <w:r>
        <w:rPr>
          <w:rFonts w:ascii="Arial" w:eastAsia="Arial" w:hAnsi="Arial" w:cs="Arial"/>
          <w:b/>
          <w:i/>
          <w:sz w:val="24"/>
          <w:szCs w:val="24"/>
          <w:highlight w:val="white"/>
        </w:rPr>
        <w:t>)</w:t>
      </w:r>
      <w:r>
        <w:rPr>
          <w:rFonts w:ascii="Arial" w:eastAsia="Arial" w:hAnsi="Arial" w:cs="Arial"/>
          <w:sz w:val="24"/>
          <w:szCs w:val="24"/>
          <w:highlight w:val="white"/>
        </w:rPr>
        <w:t xml:space="preserve"> en relación a otra serie de encuestas</w:t>
      </w:r>
      <w:r>
        <w:rPr>
          <w:rFonts w:ascii="Arial" w:eastAsia="Arial" w:hAnsi="Arial" w:cs="Arial"/>
          <w:sz w:val="24"/>
          <w:szCs w:val="24"/>
          <w:highlight w:val="white"/>
          <w:vertAlign w:val="superscript"/>
        </w:rPr>
        <w:footnoteReference w:id="7"/>
      </w:r>
      <w:r>
        <w:rPr>
          <w:rFonts w:ascii="Arial" w:eastAsia="Arial" w:hAnsi="Arial" w:cs="Arial"/>
          <w:sz w:val="24"/>
          <w:szCs w:val="24"/>
          <w:highlight w:val="white"/>
        </w:rPr>
        <w:t xml:space="preserve">, con independencia de la temporalidad en que fueron presentados los estudios respectivos ante el Instituto Local, estos </w:t>
      </w:r>
      <w:r>
        <w:rPr>
          <w:rFonts w:ascii="Arial" w:eastAsia="Arial" w:hAnsi="Arial" w:cs="Arial"/>
          <w:b/>
          <w:sz w:val="24"/>
          <w:szCs w:val="24"/>
          <w:highlight w:val="white"/>
        </w:rPr>
        <w:t>no fueron coincidentes con la información publicada y difundida</w:t>
      </w:r>
      <w:r>
        <w:rPr>
          <w:rFonts w:ascii="Arial" w:eastAsia="Arial" w:hAnsi="Arial" w:cs="Arial"/>
          <w:sz w:val="24"/>
          <w:szCs w:val="24"/>
          <w:highlight w:val="white"/>
        </w:rPr>
        <w:t xml:space="preserve"> por la empresa encuestadora</w:t>
      </w:r>
      <w:r w:rsidR="00E70F88">
        <w:rPr>
          <w:rFonts w:ascii="Arial" w:eastAsia="Arial" w:hAnsi="Arial" w:cs="Arial"/>
          <w:sz w:val="24"/>
          <w:szCs w:val="24"/>
          <w:highlight w:val="white"/>
        </w:rPr>
        <w:t>, d</w:t>
      </w:r>
      <w:r>
        <w:rPr>
          <w:rFonts w:ascii="Arial" w:eastAsia="Arial" w:hAnsi="Arial" w:cs="Arial"/>
          <w:sz w:val="24"/>
          <w:szCs w:val="24"/>
          <w:highlight w:val="white"/>
        </w:rPr>
        <w:t xml:space="preserve">e ahí que se acreditó </w:t>
      </w:r>
      <w:r>
        <w:rPr>
          <w:rFonts w:ascii="Arial" w:eastAsia="Arial" w:hAnsi="Arial" w:cs="Arial"/>
          <w:sz w:val="24"/>
          <w:szCs w:val="24"/>
        </w:rPr>
        <w:t>una vulneración a la norma en materia de elaboración y difusión de encuestas electorales.</w:t>
      </w:r>
    </w:p>
    <w:p w14:paraId="3CA05BC5" w14:textId="77777777" w:rsidR="00B14497" w:rsidRDefault="00B14497">
      <w:pPr>
        <w:spacing w:line="360" w:lineRule="auto"/>
        <w:jc w:val="both"/>
        <w:rPr>
          <w:rFonts w:ascii="Arial" w:eastAsia="Arial" w:hAnsi="Arial" w:cs="Arial"/>
          <w:sz w:val="24"/>
          <w:szCs w:val="24"/>
        </w:rPr>
      </w:pPr>
    </w:p>
    <w:p w14:paraId="6EED6AE2" w14:textId="77777777" w:rsidR="00B14497" w:rsidRDefault="00B14497">
      <w:pPr>
        <w:spacing w:line="360" w:lineRule="auto"/>
        <w:jc w:val="both"/>
        <w:rPr>
          <w:rFonts w:ascii="Arial" w:eastAsia="Arial" w:hAnsi="Arial" w:cs="Arial"/>
          <w:sz w:val="24"/>
          <w:szCs w:val="24"/>
        </w:rPr>
      </w:pPr>
    </w:p>
    <w:p w14:paraId="252A4389" w14:textId="77777777" w:rsidR="00B14497" w:rsidRDefault="000142EE">
      <w:pPr>
        <w:keepNext/>
        <w:keepLines/>
        <w:pBdr>
          <w:top w:val="nil"/>
          <w:left w:val="nil"/>
          <w:bottom w:val="nil"/>
          <w:right w:val="nil"/>
          <w:between w:val="nil"/>
        </w:pBdr>
        <w:tabs>
          <w:tab w:val="left" w:pos="3402"/>
        </w:tabs>
        <w:ind w:left="4320" w:right="-518" w:firstLine="141"/>
        <w:rPr>
          <w:rFonts w:ascii="Arial" w:eastAsia="Arial" w:hAnsi="Arial" w:cs="Arial"/>
          <w:b/>
          <w:color w:val="000000"/>
          <w:sz w:val="16"/>
          <w:szCs w:val="16"/>
        </w:rPr>
      </w:pPr>
      <w:r>
        <w:rPr>
          <w:rFonts w:ascii="Arial" w:eastAsia="Arial" w:hAnsi="Arial" w:cs="Arial"/>
          <w:b/>
          <w:color w:val="000000"/>
          <w:sz w:val="16"/>
          <w:szCs w:val="16"/>
        </w:rPr>
        <w:lastRenderedPageBreak/>
        <w:t>Índice</w:t>
      </w:r>
    </w:p>
    <w:p w14:paraId="616D93BE" w14:textId="77777777" w:rsidR="00B14497" w:rsidRDefault="000142EE">
      <w:pPr>
        <w:tabs>
          <w:tab w:val="left" w:pos="3402"/>
        </w:tabs>
        <w:ind w:left="1488" w:right="-518"/>
        <w:rPr>
          <w:rFonts w:ascii="Arial" w:eastAsia="Arial" w:hAnsi="Arial" w:cs="Arial"/>
          <w:b/>
          <w:sz w:val="16"/>
          <w:szCs w:val="16"/>
        </w:rPr>
      </w:pPr>
      <w:r>
        <w:rPr>
          <w:rFonts w:ascii="Arial" w:eastAsia="Arial" w:hAnsi="Arial" w:cs="Arial"/>
          <w:b/>
          <w:sz w:val="16"/>
          <w:szCs w:val="16"/>
        </w:rPr>
        <w:t>Contexto del caso …………………………………………………………………………..................</w:t>
      </w:r>
      <w:r>
        <w:rPr>
          <w:rFonts w:ascii="Arial" w:eastAsia="Arial" w:hAnsi="Arial" w:cs="Arial"/>
          <w:b/>
          <w:sz w:val="10"/>
          <w:szCs w:val="10"/>
        </w:rPr>
        <w:t>..</w:t>
      </w:r>
      <w:r>
        <w:rPr>
          <w:rFonts w:ascii="Arial" w:eastAsia="Arial" w:hAnsi="Arial" w:cs="Arial"/>
          <w:b/>
          <w:sz w:val="16"/>
          <w:szCs w:val="16"/>
        </w:rPr>
        <w:t>2</w:t>
      </w:r>
    </w:p>
    <w:p w14:paraId="43C9C9F9" w14:textId="77777777" w:rsidR="00B14497" w:rsidRDefault="000142EE">
      <w:pPr>
        <w:tabs>
          <w:tab w:val="left" w:pos="3402"/>
        </w:tabs>
        <w:ind w:left="1488" w:right="-518"/>
        <w:rPr>
          <w:rFonts w:ascii="Arial" w:eastAsia="Arial" w:hAnsi="Arial" w:cs="Arial"/>
          <w:b/>
          <w:sz w:val="16"/>
          <w:szCs w:val="16"/>
        </w:rPr>
      </w:pPr>
      <w:r>
        <w:rPr>
          <w:rFonts w:ascii="Arial" w:eastAsia="Arial" w:hAnsi="Arial" w:cs="Arial"/>
          <w:b/>
          <w:sz w:val="16"/>
          <w:szCs w:val="16"/>
        </w:rPr>
        <w:t>Competencia ……………………………………………………………………………………..........…3</w:t>
      </w:r>
    </w:p>
    <w:p w14:paraId="2F562927" w14:textId="77777777" w:rsidR="00B14497" w:rsidRDefault="000142EE">
      <w:pPr>
        <w:tabs>
          <w:tab w:val="left" w:pos="3402"/>
        </w:tabs>
        <w:ind w:left="1488" w:right="-518"/>
        <w:rPr>
          <w:rFonts w:ascii="Arial" w:eastAsia="Arial" w:hAnsi="Arial" w:cs="Arial"/>
          <w:b/>
          <w:sz w:val="16"/>
          <w:szCs w:val="16"/>
        </w:rPr>
      </w:pPr>
      <w:r>
        <w:rPr>
          <w:rFonts w:ascii="Arial" w:eastAsia="Arial" w:hAnsi="Arial" w:cs="Arial"/>
          <w:b/>
          <w:sz w:val="16"/>
          <w:szCs w:val="16"/>
        </w:rPr>
        <w:t>Personería ………………………………………………………………………………………</w:t>
      </w:r>
      <w:proofErr w:type="gramStart"/>
      <w:r>
        <w:rPr>
          <w:rFonts w:ascii="Arial" w:eastAsia="Arial" w:hAnsi="Arial" w:cs="Arial"/>
          <w:b/>
          <w:sz w:val="16"/>
          <w:szCs w:val="16"/>
        </w:rPr>
        <w:t>.........….</w:t>
      </w:r>
      <w:proofErr w:type="gramEnd"/>
      <w:r>
        <w:rPr>
          <w:rFonts w:ascii="Arial" w:eastAsia="Arial" w:hAnsi="Arial" w:cs="Arial"/>
          <w:b/>
          <w:sz w:val="6"/>
          <w:szCs w:val="6"/>
        </w:rPr>
        <w:t>.</w:t>
      </w:r>
      <w:r>
        <w:rPr>
          <w:rFonts w:ascii="Arial" w:eastAsia="Arial" w:hAnsi="Arial" w:cs="Arial"/>
          <w:b/>
          <w:sz w:val="16"/>
          <w:szCs w:val="16"/>
        </w:rPr>
        <w:t>3</w:t>
      </w:r>
    </w:p>
    <w:p w14:paraId="177592E4" w14:textId="77777777" w:rsidR="00B14497" w:rsidRDefault="000142EE">
      <w:pPr>
        <w:tabs>
          <w:tab w:val="left" w:pos="3402"/>
        </w:tabs>
        <w:ind w:left="1488" w:right="-518"/>
        <w:rPr>
          <w:rFonts w:ascii="Arial" w:eastAsia="Arial" w:hAnsi="Arial" w:cs="Arial"/>
          <w:b/>
          <w:sz w:val="16"/>
          <w:szCs w:val="16"/>
        </w:rPr>
      </w:pPr>
      <w:r>
        <w:rPr>
          <w:rFonts w:ascii="Arial" w:eastAsia="Arial" w:hAnsi="Arial" w:cs="Arial"/>
          <w:b/>
          <w:sz w:val="16"/>
          <w:szCs w:val="16"/>
        </w:rPr>
        <w:t>Estudio de fondo………………………………………………………………………………...............3</w:t>
      </w:r>
    </w:p>
    <w:p w14:paraId="1490E084" w14:textId="77777777" w:rsidR="00B14497" w:rsidRDefault="000142EE">
      <w:pPr>
        <w:tabs>
          <w:tab w:val="left" w:pos="3402"/>
        </w:tabs>
        <w:ind w:left="1488" w:right="-518"/>
        <w:rPr>
          <w:rFonts w:ascii="Arial" w:eastAsia="Arial" w:hAnsi="Arial" w:cs="Arial"/>
          <w:b/>
          <w:sz w:val="16"/>
          <w:szCs w:val="16"/>
        </w:rPr>
      </w:pPr>
      <w:r>
        <w:rPr>
          <w:rFonts w:ascii="Arial" w:eastAsia="Arial" w:hAnsi="Arial" w:cs="Arial"/>
          <w:b/>
          <w:sz w:val="16"/>
          <w:szCs w:val="16"/>
        </w:rPr>
        <w:t>Análisis de fondo ……………………………………………………………………………...…</w:t>
      </w:r>
      <w:proofErr w:type="gramStart"/>
      <w:r>
        <w:rPr>
          <w:rFonts w:ascii="Arial" w:eastAsia="Arial" w:hAnsi="Arial" w:cs="Arial"/>
          <w:b/>
          <w:sz w:val="16"/>
          <w:szCs w:val="16"/>
        </w:rPr>
        <w:t>......…</w:t>
      </w:r>
      <w:r>
        <w:rPr>
          <w:rFonts w:ascii="Arial" w:eastAsia="Arial" w:hAnsi="Arial" w:cs="Arial"/>
          <w:b/>
          <w:sz w:val="10"/>
          <w:szCs w:val="10"/>
        </w:rPr>
        <w:t>.</w:t>
      </w:r>
      <w:proofErr w:type="gramEnd"/>
      <w:r>
        <w:rPr>
          <w:rFonts w:ascii="Arial" w:eastAsia="Arial" w:hAnsi="Arial" w:cs="Arial"/>
          <w:b/>
          <w:sz w:val="16"/>
          <w:szCs w:val="16"/>
        </w:rPr>
        <w:t>7</w:t>
      </w:r>
    </w:p>
    <w:p w14:paraId="1501D776" w14:textId="77777777" w:rsidR="00B14497" w:rsidRDefault="000142EE">
      <w:pPr>
        <w:tabs>
          <w:tab w:val="left" w:pos="3402"/>
          <w:tab w:val="right" w:pos="8263"/>
        </w:tabs>
        <w:ind w:left="1488" w:right="-518"/>
        <w:rPr>
          <w:rFonts w:ascii="Arial" w:eastAsia="Arial" w:hAnsi="Arial" w:cs="Arial"/>
          <w:b/>
          <w:sz w:val="16"/>
          <w:szCs w:val="16"/>
        </w:rPr>
      </w:pPr>
      <w:r>
        <w:rPr>
          <w:rFonts w:ascii="Arial" w:eastAsia="Arial" w:hAnsi="Arial" w:cs="Arial"/>
          <w:b/>
          <w:sz w:val="16"/>
          <w:szCs w:val="16"/>
        </w:rPr>
        <w:t>Resolutivo …………………………………………………………………………………...…….........11</w:t>
      </w:r>
    </w:p>
    <w:p w14:paraId="02B3837E" w14:textId="77777777" w:rsidR="00B14497" w:rsidRDefault="000142EE">
      <w:pPr>
        <w:tabs>
          <w:tab w:val="left" w:pos="4320"/>
        </w:tabs>
        <w:spacing w:line="360" w:lineRule="auto"/>
        <w:ind w:right="2324"/>
        <w:rPr>
          <w:rFonts w:ascii="Arial" w:eastAsia="Arial" w:hAnsi="Arial" w:cs="Arial"/>
          <w:b/>
          <w:sz w:val="16"/>
          <w:szCs w:val="16"/>
        </w:rPr>
      </w:pPr>
      <w:r>
        <w:rPr>
          <w:rFonts w:ascii="Arial" w:eastAsia="Arial" w:hAnsi="Arial" w:cs="Arial"/>
          <w:b/>
          <w:sz w:val="16"/>
          <w:szCs w:val="16"/>
        </w:rPr>
        <w:t xml:space="preserve">                                                                                                   </w:t>
      </w:r>
    </w:p>
    <w:p w14:paraId="3BC82009" w14:textId="77777777" w:rsidR="00B14497" w:rsidRDefault="000142EE">
      <w:pPr>
        <w:tabs>
          <w:tab w:val="left" w:pos="4320"/>
        </w:tabs>
        <w:spacing w:line="360" w:lineRule="auto"/>
        <w:ind w:left="1985" w:right="2324"/>
        <w:jc w:val="center"/>
        <w:rPr>
          <w:rFonts w:ascii="Arial" w:eastAsia="Arial" w:hAnsi="Arial" w:cs="Arial"/>
          <w:b/>
          <w:sz w:val="16"/>
          <w:szCs w:val="16"/>
        </w:rPr>
      </w:pPr>
      <w:r>
        <w:rPr>
          <w:rFonts w:ascii="Arial" w:eastAsia="Arial" w:hAnsi="Arial" w:cs="Arial"/>
          <w:b/>
          <w:sz w:val="16"/>
          <w:szCs w:val="16"/>
        </w:rPr>
        <w:t>Glosario</w:t>
      </w:r>
    </w:p>
    <w:tbl>
      <w:tblPr>
        <w:tblStyle w:val="afb"/>
        <w:tblW w:w="6935" w:type="dxa"/>
        <w:jc w:val="center"/>
        <w:tblInd w:w="0" w:type="dxa"/>
        <w:tblLayout w:type="fixed"/>
        <w:tblLook w:val="0400" w:firstRow="0" w:lastRow="0" w:firstColumn="0" w:lastColumn="0" w:noHBand="0" w:noVBand="1"/>
      </w:tblPr>
      <w:tblGrid>
        <w:gridCol w:w="250"/>
        <w:gridCol w:w="1675"/>
        <w:gridCol w:w="1350"/>
        <w:gridCol w:w="3660"/>
      </w:tblGrid>
      <w:tr w:rsidR="00B14497" w14:paraId="3BA1ADA8" w14:textId="77777777">
        <w:trPr>
          <w:trHeight w:val="2297"/>
          <w:jc w:val="center"/>
        </w:trPr>
        <w:tc>
          <w:tcPr>
            <w:tcW w:w="1925" w:type="dxa"/>
            <w:gridSpan w:val="2"/>
          </w:tcPr>
          <w:p w14:paraId="0781DA02" w14:textId="77777777" w:rsidR="00B14497" w:rsidRDefault="000142EE">
            <w:pPr>
              <w:tabs>
                <w:tab w:val="left" w:pos="4320"/>
              </w:tabs>
              <w:spacing w:line="276" w:lineRule="auto"/>
              <w:jc w:val="both"/>
              <w:rPr>
                <w:rFonts w:ascii="Arial" w:eastAsia="Arial" w:hAnsi="Arial" w:cs="Arial"/>
                <w:b/>
                <w:sz w:val="16"/>
                <w:szCs w:val="16"/>
              </w:rPr>
            </w:pPr>
            <w:r>
              <w:rPr>
                <w:rFonts w:ascii="Arial" w:eastAsia="Arial" w:hAnsi="Arial" w:cs="Arial"/>
                <w:b/>
                <w:sz w:val="16"/>
                <w:szCs w:val="16"/>
              </w:rPr>
              <w:t>Denunciante:</w:t>
            </w:r>
          </w:p>
          <w:p w14:paraId="1B9535F4" w14:textId="77777777" w:rsidR="00B14497" w:rsidRDefault="000142EE">
            <w:pPr>
              <w:tabs>
                <w:tab w:val="left" w:pos="4320"/>
              </w:tabs>
              <w:spacing w:line="276" w:lineRule="auto"/>
              <w:jc w:val="both"/>
              <w:rPr>
                <w:rFonts w:ascii="Arial" w:eastAsia="Arial" w:hAnsi="Arial" w:cs="Arial"/>
                <w:b/>
                <w:sz w:val="16"/>
                <w:szCs w:val="16"/>
              </w:rPr>
            </w:pPr>
            <w:r>
              <w:rPr>
                <w:rFonts w:ascii="Arial" w:eastAsia="Arial" w:hAnsi="Arial" w:cs="Arial"/>
                <w:b/>
                <w:sz w:val="16"/>
                <w:szCs w:val="16"/>
              </w:rPr>
              <w:t xml:space="preserve">Denunciados: </w:t>
            </w:r>
          </w:p>
          <w:p w14:paraId="46438019" w14:textId="77777777" w:rsidR="00B14497" w:rsidRDefault="00B14497">
            <w:pPr>
              <w:tabs>
                <w:tab w:val="left" w:pos="4320"/>
              </w:tabs>
              <w:spacing w:line="276" w:lineRule="auto"/>
              <w:jc w:val="both"/>
              <w:rPr>
                <w:rFonts w:ascii="Arial" w:eastAsia="Arial" w:hAnsi="Arial" w:cs="Arial"/>
                <w:b/>
                <w:sz w:val="16"/>
                <w:szCs w:val="16"/>
              </w:rPr>
            </w:pPr>
          </w:p>
          <w:p w14:paraId="26960A3D" w14:textId="77777777" w:rsidR="00B14497" w:rsidRDefault="00B14497">
            <w:pPr>
              <w:tabs>
                <w:tab w:val="left" w:pos="4320"/>
              </w:tabs>
              <w:spacing w:line="276" w:lineRule="auto"/>
              <w:jc w:val="both"/>
              <w:rPr>
                <w:rFonts w:ascii="Arial" w:eastAsia="Arial" w:hAnsi="Arial" w:cs="Arial"/>
                <w:b/>
                <w:sz w:val="16"/>
                <w:szCs w:val="16"/>
              </w:rPr>
            </w:pPr>
          </w:p>
          <w:p w14:paraId="651380C1" w14:textId="77777777" w:rsidR="00B14497" w:rsidRDefault="00B14497">
            <w:pPr>
              <w:tabs>
                <w:tab w:val="left" w:pos="4320"/>
              </w:tabs>
              <w:spacing w:line="276" w:lineRule="auto"/>
              <w:jc w:val="both"/>
              <w:rPr>
                <w:rFonts w:ascii="Arial" w:eastAsia="Arial" w:hAnsi="Arial" w:cs="Arial"/>
                <w:b/>
                <w:sz w:val="16"/>
                <w:szCs w:val="16"/>
              </w:rPr>
            </w:pPr>
          </w:p>
          <w:p w14:paraId="383F479A" w14:textId="77777777" w:rsidR="00B14497" w:rsidRDefault="000142EE">
            <w:pPr>
              <w:tabs>
                <w:tab w:val="left" w:pos="4320"/>
              </w:tabs>
              <w:spacing w:line="276" w:lineRule="auto"/>
              <w:jc w:val="both"/>
              <w:rPr>
                <w:rFonts w:ascii="Arial" w:eastAsia="Arial" w:hAnsi="Arial" w:cs="Arial"/>
                <w:b/>
                <w:sz w:val="16"/>
                <w:szCs w:val="16"/>
              </w:rPr>
            </w:pPr>
            <w:r>
              <w:rPr>
                <w:rFonts w:ascii="Arial" w:eastAsia="Arial" w:hAnsi="Arial" w:cs="Arial"/>
                <w:b/>
                <w:sz w:val="16"/>
                <w:szCs w:val="16"/>
              </w:rPr>
              <w:t>Código Electoral:</w:t>
            </w:r>
          </w:p>
          <w:p w14:paraId="6EAAB077" w14:textId="77777777" w:rsidR="00B14497" w:rsidRDefault="000142EE">
            <w:pPr>
              <w:tabs>
                <w:tab w:val="left" w:pos="4320"/>
              </w:tabs>
              <w:spacing w:line="276" w:lineRule="auto"/>
              <w:jc w:val="both"/>
              <w:rPr>
                <w:rFonts w:ascii="Arial" w:eastAsia="Arial" w:hAnsi="Arial" w:cs="Arial"/>
                <w:b/>
                <w:sz w:val="16"/>
                <w:szCs w:val="16"/>
              </w:rPr>
            </w:pPr>
            <w:r>
              <w:rPr>
                <w:rFonts w:ascii="Arial" w:eastAsia="Arial" w:hAnsi="Arial" w:cs="Arial"/>
                <w:b/>
                <w:sz w:val="16"/>
                <w:szCs w:val="16"/>
              </w:rPr>
              <w:t>Consejo General:</w:t>
            </w:r>
          </w:p>
          <w:p w14:paraId="2540B70C" w14:textId="77777777" w:rsidR="00B14497" w:rsidRDefault="000142EE">
            <w:pPr>
              <w:spacing w:line="276" w:lineRule="auto"/>
              <w:jc w:val="both"/>
              <w:rPr>
                <w:rFonts w:ascii="Arial" w:eastAsia="Arial" w:hAnsi="Arial" w:cs="Arial"/>
                <w:b/>
                <w:sz w:val="16"/>
                <w:szCs w:val="16"/>
              </w:rPr>
            </w:pPr>
            <w:r>
              <w:rPr>
                <w:rFonts w:ascii="Arial" w:eastAsia="Arial" w:hAnsi="Arial" w:cs="Arial"/>
                <w:b/>
                <w:sz w:val="16"/>
                <w:szCs w:val="16"/>
              </w:rPr>
              <w:t>Instituto local:</w:t>
            </w:r>
          </w:p>
          <w:p w14:paraId="3EBB1DE7" w14:textId="77777777" w:rsidR="00B14497" w:rsidRDefault="000142EE">
            <w:pPr>
              <w:spacing w:line="276" w:lineRule="auto"/>
              <w:jc w:val="both"/>
              <w:rPr>
                <w:rFonts w:ascii="Arial" w:eastAsia="Arial" w:hAnsi="Arial" w:cs="Arial"/>
                <w:b/>
                <w:sz w:val="16"/>
                <w:szCs w:val="16"/>
              </w:rPr>
            </w:pPr>
            <w:r>
              <w:rPr>
                <w:rFonts w:ascii="Arial" w:eastAsia="Arial" w:hAnsi="Arial" w:cs="Arial"/>
                <w:b/>
                <w:sz w:val="16"/>
                <w:szCs w:val="16"/>
              </w:rPr>
              <w:t>LEGIPE:</w:t>
            </w:r>
          </w:p>
          <w:p w14:paraId="2B76F8E4" w14:textId="77777777" w:rsidR="00B14497" w:rsidRDefault="000142EE">
            <w:pPr>
              <w:spacing w:line="276" w:lineRule="auto"/>
              <w:jc w:val="both"/>
              <w:rPr>
                <w:rFonts w:ascii="Arial" w:eastAsia="Arial" w:hAnsi="Arial" w:cs="Arial"/>
                <w:b/>
                <w:sz w:val="16"/>
                <w:szCs w:val="16"/>
              </w:rPr>
            </w:pPr>
            <w:r>
              <w:rPr>
                <w:rFonts w:ascii="Arial" w:eastAsia="Arial" w:hAnsi="Arial" w:cs="Arial"/>
                <w:b/>
                <w:sz w:val="16"/>
                <w:szCs w:val="16"/>
              </w:rPr>
              <w:t>Morena:</w:t>
            </w:r>
          </w:p>
          <w:p w14:paraId="0E3711BB" w14:textId="77777777" w:rsidR="00B14497" w:rsidRDefault="000142EE">
            <w:pPr>
              <w:tabs>
                <w:tab w:val="left" w:pos="4320"/>
              </w:tabs>
              <w:spacing w:line="276" w:lineRule="auto"/>
              <w:jc w:val="both"/>
              <w:rPr>
                <w:rFonts w:ascii="Arial" w:eastAsia="Arial" w:hAnsi="Arial" w:cs="Arial"/>
                <w:b/>
                <w:sz w:val="16"/>
                <w:szCs w:val="16"/>
              </w:rPr>
            </w:pPr>
            <w:r>
              <w:rPr>
                <w:rFonts w:ascii="Arial" w:eastAsia="Arial" w:hAnsi="Arial" w:cs="Arial"/>
                <w:b/>
                <w:sz w:val="16"/>
                <w:szCs w:val="16"/>
              </w:rPr>
              <w:t>PAN:</w:t>
            </w:r>
          </w:p>
        </w:tc>
        <w:tc>
          <w:tcPr>
            <w:tcW w:w="5010" w:type="dxa"/>
            <w:gridSpan w:val="2"/>
          </w:tcPr>
          <w:p w14:paraId="71AFF0AC" w14:textId="77777777" w:rsidR="00B14497" w:rsidRDefault="000142EE">
            <w:pPr>
              <w:tabs>
                <w:tab w:val="left" w:pos="4320"/>
              </w:tabs>
              <w:spacing w:line="276" w:lineRule="auto"/>
              <w:ind w:right="-95"/>
              <w:jc w:val="both"/>
              <w:rPr>
                <w:rFonts w:ascii="Arial" w:eastAsia="Arial" w:hAnsi="Arial" w:cs="Arial"/>
                <w:sz w:val="16"/>
                <w:szCs w:val="16"/>
              </w:rPr>
            </w:pPr>
            <w:r>
              <w:rPr>
                <w:rFonts w:ascii="Arial" w:eastAsia="Arial" w:hAnsi="Arial" w:cs="Arial"/>
                <w:sz w:val="16"/>
                <w:szCs w:val="16"/>
              </w:rPr>
              <w:t>Partido político Morena.</w:t>
            </w:r>
          </w:p>
          <w:p w14:paraId="05B0EA1A" w14:textId="77777777" w:rsidR="00B14497" w:rsidRDefault="000142EE">
            <w:pPr>
              <w:tabs>
                <w:tab w:val="left" w:pos="4320"/>
              </w:tabs>
              <w:spacing w:line="276" w:lineRule="auto"/>
              <w:ind w:right="-95"/>
              <w:jc w:val="both"/>
              <w:rPr>
                <w:rFonts w:ascii="Arial" w:eastAsia="Arial" w:hAnsi="Arial" w:cs="Arial"/>
                <w:sz w:val="16"/>
                <w:szCs w:val="16"/>
              </w:rPr>
            </w:pPr>
            <w:r>
              <w:rPr>
                <w:rFonts w:ascii="Arial" w:eastAsia="Arial" w:hAnsi="Arial" w:cs="Arial"/>
                <w:sz w:val="16"/>
                <w:szCs w:val="16"/>
              </w:rPr>
              <w:t xml:space="preserve">María Teresa Jiménez Esquivel, entonces candidata a la gubernatura del estado de Aguascalientes postulada por la coalición “Va por Aguascalientes”, la empresa encuestadora Grupo </w:t>
            </w:r>
            <w:proofErr w:type="spellStart"/>
            <w:r>
              <w:rPr>
                <w:rFonts w:ascii="Arial" w:eastAsia="Arial" w:hAnsi="Arial" w:cs="Arial"/>
                <w:sz w:val="16"/>
                <w:szCs w:val="16"/>
              </w:rPr>
              <w:t>Rapcen</w:t>
            </w:r>
            <w:proofErr w:type="spellEnd"/>
            <w:r>
              <w:rPr>
                <w:rFonts w:ascii="Arial" w:eastAsia="Arial" w:hAnsi="Arial" w:cs="Arial"/>
                <w:sz w:val="16"/>
                <w:szCs w:val="16"/>
              </w:rPr>
              <w:t xml:space="preserve"> S.A. de C.V. (</w:t>
            </w:r>
            <w:proofErr w:type="spellStart"/>
            <w:r>
              <w:rPr>
                <w:rFonts w:ascii="Arial" w:eastAsia="Arial" w:hAnsi="Arial" w:cs="Arial"/>
                <w:sz w:val="16"/>
                <w:szCs w:val="16"/>
              </w:rPr>
              <w:t>TResearch</w:t>
            </w:r>
            <w:proofErr w:type="spellEnd"/>
            <w:r>
              <w:rPr>
                <w:rFonts w:ascii="Arial" w:eastAsia="Arial" w:hAnsi="Arial" w:cs="Arial"/>
                <w:sz w:val="16"/>
                <w:szCs w:val="16"/>
              </w:rPr>
              <w:t>) y otros.</w:t>
            </w:r>
          </w:p>
          <w:p w14:paraId="6F11A569" w14:textId="77777777" w:rsidR="00B14497" w:rsidRDefault="000142EE">
            <w:pPr>
              <w:tabs>
                <w:tab w:val="left" w:pos="4320"/>
              </w:tabs>
              <w:spacing w:line="276" w:lineRule="auto"/>
              <w:ind w:right="-95"/>
              <w:jc w:val="both"/>
              <w:rPr>
                <w:rFonts w:ascii="Arial" w:eastAsia="Arial" w:hAnsi="Arial" w:cs="Arial"/>
                <w:sz w:val="16"/>
                <w:szCs w:val="16"/>
              </w:rPr>
            </w:pPr>
            <w:r>
              <w:rPr>
                <w:rFonts w:ascii="Arial" w:eastAsia="Arial" w:hAnsi="Arial" w:cs="Arial"/>
                <w:sz w:val="16"/>
                <w:szCs w:val="16"/>
              </w:rPr>
              <w:t>Código Electoral del Estado de Aguascalientes.</w:t>
            </w:r>
          </w:p>
          <w:p w14:paraId="13038F4E" w14:textId="77777777" w:rsidR="00B14497" w:rsidRDefault="000142EE">
            <w:pPr>
              <w:tabs>
                <w:tab w:val="left" w:pos="4320"/>
              </w:tabs>
              <w:spacing w:line="276" w:lineRule="auto"/>
              <w:ind w:right="-95"/>
              <w:jc w:val="both"/>
              <w:rPr>
                <w:rFonts w:ascii="Arial" w:eastAsia="Arial" w:hAnsi="Arial" w:cs="Arial"/>
                <w:sz w:val="16"/>
                <w:szCs w:val="16"/>
              </w:rPr>
            </w:pPr>
            <w:r>
              <w:rPr>
                <w:rFonts w:ascii="Arial" w:eastAsia="Arial" w:hAnsi="Arial" w:cs="Arial"/>
                <w:sz w:val="16"/>
                <w:szCs w:val="16"/>
              </w:rPr>
              <w:t>Consejo General del Instituto Estatal Electoral de Aguascalientes.</w:t>
            </w:r>
          </w:p>
          <w:p w14:paraId="0A9D5504" w14:textId="77777777" w:rsidR="00B14497" w:rsidRDefault="000142EE">
            <w:pPr>
              <w:spacing w:line="276" w:lineRule="auto"/>
              <w:ind w:right="-95"/>
              <w:jc w:val="both"/>
              <w:rPr>
                <w:rFonts w:ascii="Arial" w:eastAsia="Arial" w:hAnsi="Arial" w:cs="Arial"/>
                <w:sz w:val="16"/>
                <w:szCs w:val="16"/>
              </w:rPr>
            </w:pPr>
            <w:r>
              <w:rPr>
                <w:rFonts w:ascii="Arial" w:eastAsia="Arial" w:hAnsi="Arial" w:cs="Arial"/>
                <w:sz w:val="16"/>
                <w:szCs w:val="16"/>
              </w:rPr>
              <w:t>Instituto Estatal Electoral de Aguascalientes.</w:t>
            </w:r>
          </w:p>
          <w:p w14:paraId="50D33E56" w14:textId="77777777" w:rsidR="00B14497" w:rsidRDefault="000142EE">
            <w:pPr>
              <w:spacing w:line="276" w:lineRule="auto"/>
              <w:ind w:right="-95"/>
              <w:jc w:val="both"/>
              <w:rPr>
                <w:rFonts w:ascii="Arial" w:eastAsia="Arial" w:hAnsi="Arial" w:cs="Arial"/>
                <w:sz w:val="16"/>
                <w:szCs w:val="16"/>
              </w:rPr>
            </w:pPr>
            <w:r>
              <w:rPr>
                <w:rFonts w:ascii="Arial" w:eastAsia="Arial" w:hAnsi="Arial" w:cs="Arial"/>
                <w:sz w:val="16"/>
                <w:szCs w:val="16"/>
              </w:rPr>
              <w:t>Ley General de Instituciones y Procedimientos Electorales.</w:t>
            </w:r>
          </w:p>
          <w:p w14:paraId="530B58CF" w14:textId="77777777" w:rsidR="00B14497" w:rsidRDefault="000142EE">
            <w:pPr>
              <w:spacing w:line="276" w:lineRule="auto"/>
              <w:ind w:right="-95"/>
              <w:jc w:val="both"/>
              <w:rPr>
                <w:rFonts w:ascii="Arial" w:eastAsia="Arial" w:hAnsi="Arial" w:cs="Arial"/>
                <w:sz w:val="16"/>
                <w:szCs w:val="16"/>
              </w:rPr>
            </w:pPr>
            <w:r>
              <w:rPr>
                <w:rFonts w:ascii="Arial" w:eastAsia="Arial" w:hAnsi="Arial" w:cs="Arial"/>
                <w:sz w:val="16"/>
                <w:szCs w:val="16"/>
              </w:rPr>
              <w:t xml:space="preserve">Movimiento de Regeneración Nacional. </w:t>
            </w:r>
          </w:p>
          <w:p w14:paraId="755AE8CB" w14:textId="77777777" w:rsidR="00B14497" w:rsidRDefault="000142EE">
            <w:pPr>
              <w:tabs>
                <w:tab w:val="left" w:pos="4320"/>
              </w:tabs>
              <w:spacing w:line="276" w:lineRule="auto"/>
              <w:ind w:right="-95"/>
              <w:jc w:val="both"/>
              <w:rPr>
                <w:rFonts w:ascii="Arial" w:eastAsia="Arial" w:hAnsi="Arial" w:cs="Arial"/>
                <w:sz w:val="16"/>
                <w:szCs w:val="16"/>
              </w:rPr>
            </w:pPr>
            <w:r>
              <w:rPr>
                <w:rFonts w:ascii="Arial" w:eastAsia="Arial" w:hAnsi="Arial" w:cs="Arial"/>
                <w:sz w:val="16"/>
                <w:szCs w:val="16"/>
              </w:rPr>
              <w:t>Partido Acción Nacional.</w:t>
            </w:r>
          </w:p>
        </w:tc>
      </w:tr>
      <w:tr w:rsidR="00B14497" w14:paraId="7524A24A" w14:textId="77777777">
        <w:trPr>
          <w:trHeight w:val="129"/>
          <w:jc w:val="center"/>
        </w:trPr>
        <w:tc>
          <w:tcPr>
            <w:tcW w:w="250" w:type="dxa"/>
          </w:tcPr>
          <w:p w14:paraId="448FCDE3" w14:textId="77777777" w:rsidR="00B14497" w:rsidRDefault="00B14497">
            <w:pPr>
              <w:widowControl w:val="0"/>
              <w:pBdr>
                <w:top w:val="nil"/>
                <w:left w:val="nil"/>
                <w:bottom w:val="nil"/>
                <w:right w:val="nil"/>
                <w:between w:val="nil"/>
              </w:pBdr>
              <w:spacing w:line="276" w:lineRule="auto"/>
              <w:rPr>
                <w:rFonts w:ascii="Arial" w:eastAsia="Arial" w:hAnsi="Arial" w:cs="Arial"/>
                <w:sz w:val="16"/>
                <w:szCs w:val="16"/>
              </w:rPr>
            </w:pPr>
          </w:p>
        </w:tc>
        <w:tc>
          <w:tcPr>
            <w:tcW w:w="3025" w:type="dxa"/>
            <w:gridSpan w:val="2"/>
          </w:tcPr>
          <w:p w14:paraId="5BDA5EB8" w14:textId="77777777" w:rsidR="00B14497" w:rsidRDefault="00B14497">
            <w:pPr>
              <w:tabs>
                <w:tab w:val="left" w:pos="4320"/>
              </w:tabs>
              <w:spacing w:line="276" w:lineRule="auto"/>
              <w:jc w:val="both"/>
              <w:rPr>
                <w:rFonts w:ascii="Arial" w:eastAsia="Arial" w:hAnsi="Arial" w:cs="Arial"/>
                <w:b/>
                <w:sz w:val="16"/>
                <w:szCs w:val="16"/>
              </w:rPr>
            </w:pPr>
          </w:p>
        </w:tc>
        <w:tc>
          <w:tcPr>
            <w:tcW w:w="3660" w:type="dxa"/>
          </w:tcPr>
          <w:p w14:paraId="6370B034" w14:textId="77777777" w:rsidR="00B14497" w:rsidRDefault="00B14497">
            <w:pPr>
              <w:rPr>
                <w:rFonts w:ascii="Arial" w:eastAsia="Arial" w:hAnsi="Arial" w:cs="Arial"/>
                <w:sz w:val="16"/>
                <w:szCs w:val="16"/>
              </w:rPr>
            </w:pPr>
          </w:p>
        </w:tc>
      </w:tr>
      <w:tr w:rsidR="00B14497" w14:paraId="15E7A80C" w14:textId="77777777">
        <w:trPr>
          <w:jc w:val="center"/>
        </w:trPr>
        <w:tc>
          <w:tcPr>
            <w:tcW w:w="250" w:type="dxa"/>
          </w:tcPr>
          <w:p w14:paraId="1972E433" w14:textId="77777777" w:rsidR="00B14497" w:rsidRDefault="00B14497">
            <w:pPr>
              <w:widowControl w:val="0"/>
              <w:pBdr>
                <w:top w:val="nil"/>
                <w:left w:val="nil"/>
                <w:bottom w:val="nil"/>
                <w:right w:val="nil"/>
                <w:between w:val="nil"/>
              </w:pBdr>
              <w:spacing w:line="276" w:lineRule="auto"/>
              <w:rPr>
                <w:rFonts w:ascii="Arial" w:eastAsia="Arial" w:hAnsi="Arial" w:cs="Arial"/>
                <w:sz w:val="16"/>
                <w:szCs w:val="16"/>
              </w:rPr>
            </w:pPr>
          </w:p>
        </w:tc>
        <w:tc>
          <w:tcPr>
            <w:tcW w:w="3025" w:type="dxa"/>
            <w:gridSpan w:val="2"/>
          </w:tcPr>
          <w:p w14:paraId="67A940FB" w14:textId="77777777" w:rsidR="00B14497" w:rsidRDefault="00B14497">
            <w:pPr>
              <w:spacing w:line="276" w:lineRule="auto"/>
              <w:jc w:val="both"/>
              <w:rPr>
                <w:rFonts w:ascii="Arial" w:eastAsia="Arial" w:hAnsi="Arial" w:cs="Arial"/>
                <w:b/>
                <w:sz w:val="16"/>
                <w:szCs w:val="16"/>
              </w:rPr>
            </w:pPr>
          </w:p>
        </w:tc>
        <w:tc>
          <w:tcPr>
            <w:tcW w:w="3660" w:type="dxa"/>
          </w:tcPr>
          <w:p w14:paraId="632ECFD2" w14:textId="77777777" w:rsidR="00B14497" w:rsidRDefault="00B14497">
            <w:pPr>
              <w:spacing w:line="276" w:lineRule="auto"/>
              <w:ind w:right="-95"/>
              <w:jc w:val="both"/>
              <w:rPr>
                <w:rFonts w:ascii="Arial" w:eastAsia="Arial" w:hAnsi="Arial" w:cs="Arial"/>
                <w:sz w:val="16"/>
                <w:szCs w:val="16"/>
              </w:rPr>
            </w:pPr>
          </w:p>
        </w:tc>
      </w:tr>
    </w:tbl>
    <w:p w14:paraId="73269864" w14:textId="77777777" w:rsidR="00B14497" w:rsidRDefault="000142EE">
      <w:pPr>
        <w:numPr>
          <w:ilvl w:val="0"/>
          <w:numId w:val="1"/>
        </w:numPr>
        <w:pBdr>
          <w:top w:val="nil"/>
          <w:left w:val="nil"/>
          <w:bottom w:val="nil"/>
          <w:right w:val="nil"/>
          <w:between w:val="nil"/>
        </w:pBdr>
        <w:tabs>
          <w:tab w:val="left" w:pos="284"/>
        </w:tabs>
        <w:spacing w:line="360" w:lineRule="auto"/>
        <w:ind w:left="425" w:right="36" w:hanging="425"/>
        <w:jc w:val="both"/>
        <w:rPr>
          <w:rFonts w:ascii="Arial" w:eastAsia="Arial" w:hAnsi="Arial" w:cs="Arial"/>
          <w:color w:val="000000"/>
          <w:sz w:val="24"/>
          <w:szCs w:val="24"/>
        </w:rPr>
      </w:pPr>
      <w:r>
        <w:rPr>
          <w:rFonts w:ascii="Arial" w:eastAsia="Arial" w:hAnsi="Arial" w:cs="Arial"/>
          <w:b/>
          <w:color w:val="000000"/>
          <w:sz w:val="24"/>
          <w:szCs w:val="24"/>
        </w:rPr>
        <w:t>Contexto del caso</w:t>
      </w:r>
      <w:r>
        <w:rPr>
          <w:rFonts w:ascii="Arial" w:eastAsia="Arial" w:hAnsi="Arial" w:cs="Arial"/>
          <w:b/>
          <w:color w:val="000000"/>
          <w:sz w:val="24"/>
          <w:szCs w:val="24"/>
          <w:vertAlign w:val="superscript"/>
        </w:rPr>
        <w:footnoteReference w:id="8"/>
      </w:r>
    </w:p>
    <w:p w14:paraId="2AB131D6" w14:textId="77777777" w:rsidR="00B14497" w:rsidRDefault="00B14497">
      <w:pPr>
        <w:pBdr>
          <w:top w:val="nil"/>
          <w:left w:val="nil"/>
          <w:bottom w:val="nil"/>
          <w:right w:val="nil"/>
          <w:between w:val="nil"/>
        </w:pBdr>
        <w:rPr>
          <w:color w:val="000000"/>
        </w:rPr>
      </w:pPr>
    </w:p>
    <w:p w14:paraId="6AD19BCE" w14:textId="77777777" w:rsidR="00B14497" w:rsidRDefault="000142EE">
      <w:pPr>
        <w:tabs>
          <w:tab w:val="left" w:pos="284"/>
        </w:tabs>
        <w:spacing w:line="360" w:lineRule="auto"/>
        <w:jc w:val="both"/>
        <w:rPr>
          <w:rFonts w:ascii="Arial" w:eastAsia="Arial" w:hAnsi="Arial" w:cs="Arial"/>
          <w:sz w:val="24"/>
          <w:szCs w:val="24"/>
        </w:rPr>
      </w:pPr>
      <w:r>
        <w:rPr>
          <w:rFonts w:ascii="Arial" w:eastAsia="Arial" w:hAnsi="Arial" w:cs="Arial"/>
          <w:b/>
          <w:sz w:val="24"/>
          <w:szCs w:val="24"/>
        </w:rPr>
        <w:t>1. PEL (2021-2022).</w:t>
      </w:r>
      <w:r>
        <w:rPr>
          <w:rFonts w:ascii="Arial" w:eastAsia="Arial" w:hAnsi="Arial" w:cs="Arial"/>
          <w:sz w:val="24"/>
          <w:szCs w:val="24"/>
        </w:rPr>
        <w:t xml:space="preserve"> El 7 de octubre de 2021, inició el proceso electoral local para renovar la gubernatura del estado de Aguascalientes.</w:t>
      </w:r>
      <w:r>
        <w:rPr>
          <w:rFonts w:ascii="Arial" w:eastAsia="Arial" w:hAnsi="Arial" w:cs="Arial"/>
          <w:sz w:val="24"/>
          <w:szCs w:val="24"/>
          <w:vertAlign w:val="superscript"/>
        </w:rPr>
        <w:footnoteReference w:id="9"/>
      </w:r>
    </w:p>
    <w:p w14:paraId="06532F77" w14:textId="77777777" w:rsidR="00B14497" w:rsidRDefault="00B14497">
      <w:pPr>
        <w:pBdr>
          <w:top w:val="nil"/>
          <w:left w:val="nil"/>
          <w:bottom w:val="nil"/>
          <w:right w:val="nil"/>
          <w:between w:val="nil"/>
        </w:pBdr>
        <w:rPr>
          <w:color w:val="000000"/>
        </w:rPr>
      </w:pPr>
    </w:p>
    <w:p w14:paraId="4050A4FF" w14:textId="77777777" w:rsidR="00B14497" w:rsidRDefault="000142EE">
      <w:pPr>
        <w:tabs>
          <w:tab w:val="left" w:pos="709"/>
        </w:tabs>
        <w:spacing w:line="360" w:lineRule="auto"/>
        <w:ind w:right="-91"/>
        <w:jc w:val="both"/>
        <w:rPr>
          <w:rFonts w:ascii="Arial" w:eastAsia="Arial" w:hAnsi="Arial" w:cs="Arial"/>
          <w:sz w:val="24"/>
          <w:szCs w:val="24"/>
        </w:rPr>
      </w:pPr>
      <w:bookmarkStart w:id="2" w:name="_heading=h.1fob9te" w:colFirst="0" w:colLast="0"/>
      <w:bookmarkEnd w:id="2"/>
      <w:r>
        <w:rPr>
          <w:rFonts w:ascii="Arial" w:eastAsia="Arial" w:hAnsi="Arial" w:cs="Arial"/>
          <w:b/>
          <w:sz w:val="24"/>
          <w:szCs w:val="24"/>
        </w:rPr>
        <w:t xml:space="preserve">2. Denuncia. </w:t>
      </w:r>
      <w:r>
        <w:rPr>
          <w:rFonts w:ascii="Arial" w:eastAsia="Arial" w:hAnsi="Arial" w:cs="Arial"/>
          <w:sz w:val="24"/>
          <w:szCs w:val="24"/>
        </w:rPr>
        <w:t xml:space="preserve">El 2 de junio, el ciudadano Jesús Ricardo Barba Parra, en su calidad de representante propietario de Morena, presentó una queja ante el Instituto Local, en contra de: </w:t>
      </w:r>
      <w:r>
        <w:rPr>
          <w:rFonts w:ascii="Arial" w:eastAsia="Arial" w:hAnsi="Arial" w:cs="Arial"/>
          <w:b/>
          <w:i/>
          <w:sz w:val="24"/>
          <w:szCs w:val="24"/>
        </w:rPr>
        <w:t>i)</w:t>
      </w:r>
      <w:r>
        <w:rPr>
          <w:rFonts w:ascii="Arial" w:eastAsia="Arial" w:hAnsi="Arial" w:cs="Arial"/>
          <w:sz w:val="24"/>
          <w:szCs w:val="24"/>
        </w:rPr>
        <w:t xml:space="preserve"> la entonces candidata de la coalición “Va por Aguascalientes” a la gubernatura del estado, María Teresa Jiménez Esquivel, </w:t>
      </w:r>
      <w:proofErr w:type="spellStart"/>
      <w:r>
        <w:rPr>
          <w:rFonts w:ascii="Arial" w:eastAsia="Arial" w:hAnsi="Arial" w:cs="Arial"/>
          <w:b/>
          <w:i/>
          <w:sz w:val="24"/>
          <w:szCs w:val="24"/>
        </w:rPr>
        <w:t>ii</w:t>
      </w:r>
      <w:proofErr w:type="spellEnd"/>
      <w:r>
        <w:rPr>
          <w:rFonts w:ascii="Arial" w:eastAsia="Arial" w:hAnsi="Arial" w:cs="Arial"/>
          <w:b/>
          <w:i/>
          <w:sz w:val="24"/>
          <w:szCs w:val="24"/>
        </w:rPr>
        <w:t>)</w:t>
      </w:r>
      <w:r>
        <w:rPr>
          <w:rFonts w:ascii="Arial" w:eastAsia="Arial" w:hAnsi="Arial" w:cs="Arial"/>
          <w:sz w:val="24"/>
          <w:szCs w:val="24"/>
        </w:rPr>
        <w:t xml:space="preserve"> los institutos políticos coaligados PAN, PRI y PRD, </w:t>
      </w:r>
      <w:proofErr w:type="spellStart"/>
      <w:r>
        <w:rPr>
          <w:rFonts w:ascii="Arial" w:eastAsia="Arial" w:hAnsi="Arial" w:cs="Arial"/>
          <w:b/>
          <w:i/>
          <w:sz w:val="24"/>
          <w:szCs w:val="24"/>
        </w:rPr>
        <w:t>iii</w:t>
      </w:r>
      <w:proofErr w:type="spellEnd"/>
      <w:r>
        <w:rPr>
          <w:rFonts w:ascii="Arial" w:eastAsia="Arial" w:hAnsi="Arial" w:cs="Arial"/>
          <w:b/>
          <w:i/>
          <w:sz w:val="24"/>
          <w:szCs w:val="24"/>
        </w:rPr>
        <w:t>)</w:t>
      </w:r>
      <w:r>
        <w:rPr>
          <w:rFonts w:ascii="Arial" w:eastAsia="Arial" w:hAnsi="Arial" w:cs="Arial"/>
          <w:sz w:val="24"/>
          <w:szCs w:val="24"/>
        </w:rPr>
        <w:t xml:space="preserve"> diversos medios de comunicación</w:t>
      </w:r>
      <w:r>
        <w:rPr>
          <w:rFonts w:ascii="Arial" w:eastAsia="Arial" w:hAnsi="Arial" w:cs="Arial"/>
          <w:sz w:val="24"/>
          <w:szCs w:val="24"/>
          <w:vertAlign w:val="superscript"/>
        </w:rPr>
        <w:footnoteReference w:id="10"/>
      </w:r>
      <w:r>
        <w:rPr>
          <w:rFonts w:ascii="Arial" w:eastAsia="Arial" w:hAnsi="Arial" w:cs="Arial"/>
          <w:sz w:val="24"/>
          <w:szCs w:val="24"/>
        </w:rPr>
        <w:t xml:space="preserve"> y, </w:t>
      </w:r>
      <w:r>
        <w:rPr>
          <w:rFonts w:ascii="Arial" w:eastAsia="Arial" w:hAnsi="Arial" w:cs="Arial"/>
          <w:b/>
          <w:i/>
          <w:sz w:val="24"/>
          <w:szCs w:val="24"/>
        </w:rPr>
        <w:t>iv)</w:t>
      </w:r>
      <w:r>
        <w:rPr>
          <w:rFonts w:ascii="Arial" w:eastAsia="Arial" w:hAnsi="Arial" w:cs="Arial"/>
          <w:sz w:val="24"/>
          <w:szCs w:val="24"/>
        </w:rPr>
        <w:t xml:space="preserve"> la empresa encuestadora </w:t>
      </w:r>
      <w:r>
        <w:rPr>
          <w:rFonts w:ascii="Arial" w:eastAsia="Arial" w:hAnsi="Arial" w:cs="Arial"/>
          <w:i/>
          <w:sz w:val="24"/>
          <w:szCs w:val="24"/>
        </w:rPr>
        <w:t xml:space="preserve">Grupo </w:t>
      </w:r>
      <w:proofErr w:type="spellStart"/>
      <w:r>
        <w:rPr>
          <w:rFonts w:ascii="Arial" w:eastAsia="Arial" w:hAnsi="Arial" w:cs="Arial"/>
          <w:i/>
          <w:sz w:val="24"/>
          <w:szCs w:val="24"/>
        </w:rPr>
        <w:t>Rapcen</w:t>
      </w:r>
      <w:proofErr w:type="spellEnd"/>
      <w:r>
        <w:rPr>
          <w:rFonts w:ascii="Arial" w:eastAsia="Arial" w:hAnsi="Arial" w:cs="Arial"/>
          <w:i/>
          <w:sz w:val="24"/>
          <w:szCs w:val="24"/>
        </w:rPr>
        <w:t xml:space="preserve"> S.A. de C.V. (</w:t>
      </w:r>
      <w:proofErr w:type="spellStart"/>
      <w:r>
        <w:rPr>
          <w:rFonts w:ascii="Arial" w:eastAsia="Arial" w:hAnsi="Arial" w:cs="Arial"/>
          <w:i/>
          <w:sz w:val="24"/>
          <w:szCs w:val="24"/>
        </w:rPr>
        <w:t>TResearch</w:t>
      </w:r>
      <w:proofErr w:type="spellEnd"/>
      <w:r>
        <w:rPr>
          <w:rFonts w:ascii="Arial" w:eastAsia="Arial" w:hAnsi="Arial" w:cs="Arial"/>
          <w:i/>
          <w:sz w:val="24"/>
          <w:szCs w:val="24"/>
        </w:rPr>
        <w:t>)</w:t>
      </w:r>
      <w:r>
        <w:rPr>
          <w:rFonts w:ascii="Arial" w:eastAsia="Arial" w:hAnsi="Arial" w:cs="Arial"/>
          <w:sz w:val="24"/>
          <w:szCs w:val="24"/>
        </w:rPr>
        <w:t>; porque a su dicho, de forma indebida elaboraron y difundieron encuestas acerca de las preferencias electorales dentro del proceso electoral de renovación de gubernatura, lo cual vulneró el derecho de la ciudadanía a la información. Asimismo, solicitó la adopción de medidas cautelares.</w:t>
      </w:r>
    </w:p>
    <w:p w14:paraId="70D6B063" w14:textId="77777777" w:rsidR="00B14497" w:rsidRDefault="00B14497">
      <w:pPr>
        <w:pBdr>
          <w:top w:val="nil"/>
          <w:left w:val="nil"/>
          <w:bottom w:val="nil"/>
          <w:right w:val="nil"/>
          <w:between w:val="nil"/>
        </w:pBdr>
        <w:rPr>
          <w:color w:val="000000"/>
        </w:rPr>
      </w:pPr>
    </w:p>
    <w:p w14:paraId="7739B96D" w14:textId="77777777" w:rsidR="00B14497" w:rsidRDefault="000142EE">
      <w:pPr>
        <w:pBdr>
          <w:top w:val="nil"/>
          <w:left w:val="nil"/>
          <w:bottom w:val="nil"/>
          <w:right w:val="nil"/>
          <w:between w:val="nil"/>
        </w:pBdr>
        <w:tabs>
          <w:tab w:val="left" w:pos="567"/>
        </w:tabs>
        <w:spacing w:line="360" w:lineRule="auto"/>
        <w:ind w:right="36"/>
        <w:jc w:val="both"/>
        <w:rPr>
          <w:rFonts w:ascii="Arial" w:eastAsia="Arial" w:hAnsi="Arial" w:cs="Arial"/>
          <w:sz w:val="24"/>
          <w:szCs w:val="24"/>
        </w:rPr>
      </w:pPr>
      <w:r>
        <w:rPr>
          <w:rFonts w:ascii="Arial" w:eastAsia="Arial" w:hAnsi="Arial" w:cs="Arial"/>
          <w:b/>
          <w:sz w:val="24"/>
          <w:szCs w:val="24"/>
        </w:rPr>
        <w:t>3. Radicación, solicitud de auxilio y valoración de medidas cautelares (IEE/PES/084/2022).</w:t>
      </w:r>
      <w:r>
        <w:rPr>
          <w:rFonts w:ascii="Arial" w:eastAsia="Arial" w:hAnsi="Arial" w:cs="Arial"/>
          <w:sz w:val="24"/>
          <w:szCs w:val="24"/>
        </w:rPr>
        <w:t xml:space="preserve"> Al día siguiente, el </w:t>
      </w:r>
      <w:proofErr w:type="gramStart"/>
      <w:r>
        <w:rPr>
          <w:rFonts w:ascii="Arial" w:eastAsia="Arial" w:hAnsi="Arial" w:cs="Arial"/>
          <w:sz w:val="24"/>
          <w:szCs w:val="24"/>
        </w:rPr>
        <w:t>Secretario Ejecutivo</w:t>
      </w:r>
      <w:proofErr w:type="gramEnd"/>
      <w:r>
        <w:rPr>
          <w:rFonts w:ascii="Arial" w:eastAsia="Arial" w:hAnsi="Arial" w:cs="Arial"/>
          <w:sz w:val="24"/>
          <w:szCs w:val="24"/>
        </w:rPr>
        <w:t xml:space="preserve"> radicó la denuncia con el número de expediente IEE/PES/084/2022 y el 10 del mismo mes, solicitó auxilio a la empresa </w:t>
      </w:r>
      <w:r>
        <w:rPr>
          <w:rFonts w:ascii="Arial" w:eastAsia="Arial" w:hAnsi="Arial" w:cs="Arial"/>
          <w:i/>
          <w:sz w:val="24"/>
          <w:szCs w:val="24"/>
        </w:rPr>
        <w:t xml:space="preserve">Meta </w:t>
      </w:r>
      <w:proofErr w:type="spellStart"/>
      <w:r>
        <w:rPr>
          <w:rFonts w:ascii="Arial" w:eastAsia="Arial" w:hAnsi="Arial" w:cs="Arial"/>
          <w:i/>
          <w:sz w:val="24"/>
          <w:szCs w:val="24"/>
        </w:rPr>
        <w:t>Platforms</w:t>
      </w:r>
      <w:proofErr w:type="spellEnd"/>
      <w:r>
        <w:rPr>
          <w:rFonts w:ascii="Arial" w:eastAsia="Arial" w:hAnsi="Arial" w:cs="Arial"/>
          <w:i/>
          <w:sz w:val="24"/>
          <w:szCs w:val="24"/>
        </w:rPr>
        <w:t xml:space="preserve"> Inc.</w:t>
      </w:r>
      <w:r>
        <w:rPr>
          <w:rFonts w:ascii="Arial" w:eastAsia="Arial" w:hAnsi="Arial" w:cs="Arial"/>
          <w:sz w:val="24"/>
          <w:szCs w:val="24"/>
        </w:rPr>
        <w:t xml:space="preserve"> para ubicar a los propietarios de los perfiles de Facebook de los medios de comunicación denunciados.  </w:t>
      </w:r>
    </w:p>
    <w:p w14:paraId="7C8B875A" w14:textId="77777777" w:rsidR="00B14497" w:rsidRDefault="00B14497">
      <w:pPr>
        <w:pBdr>
          <w:top w:val="nil"/>
          <w:left w:val="nil"/>
          <w:bottom w:val="nil"/>
          <w:right w:val="nil"/>
          <w:between w:val="nil"/>
        </w:pBdr>
        <w:rPr>
          <w:color w:val="000000"/>
        </w:rPr>
      </w:pPr>
    </w:p>
    <w:p w14:paraId="0FD4722C" w14:textId="77777777" w:rsidR="00B14497" w:rsidRDefault="000142EE">
      <w:pPr>
        <w:pBdr>
          <w:top w:val="nil"/>
          <w:left w:val="nil"/>
          <w:bottom w:val="nil"/>
          <w:right w:val="nil"/>
          <w:between w:val="nil"/>
        </w:pBdr>
        <w:tabs>
          <w:tab w:val="left" w:pos="567"/>
        </w:tabs>
        <w:spacing w:line="360" w:lineRule="auto"/>
        <w:ind w:right="36"/>
        <w:jc w:val="both"/>
        <w:rPr>
          <w:rFonts w:ascii="Arial" w:eastAsia="Arial" w:hAnsi="Arial" w:cs="Arial"/>
          <w:sz w:val="24"/>
          <w:szCs w:val="24"/>
        </w:rPr>
      </w:pPr>
      <w:r>
        <w:rPr>
          <w:rFonts w:ascii="Arial" w:eastAsia="Arial" w:hAnsi="Arial" w:cs="Arial"/>
          <w:sz w:val="24"/>
          <w:szCs w:val="24"/>
        </w:rPr>
        <w:t xml:space="preserve">El 11 de junio, la referida autoridad administrativa, determinó no proponer la adopción de las medidas cautelares solicitadas por el quejoso, a la Comisión de Quejas y Denuncias, en atención a </w:t>
      </w:r>
      <w:proofErr w:type="gramStart"/>
      <w:r>
        <w:rPr>
          <w:rFonts w:ascii="Arial" w:eastAsia="Arial" w:hAnsi="Arial" w:cs="Arial"/>
          <w:sz w:val="24"/>
          <w:szCs w:val="24"/>
        </w:rPr>
        <w:t>que</w:t>
      </w:r>
      <w:proofErr w:type="gramEnd"/>
      <w:r>
        <w:rPr>
          <w:rFonts w:ascii="Arial" w:eastAsia="Arial" w:hAnsi="Arial" w:cs="Arial"/>
          <w:sz w:val="24"/>
          <w:szCs w:val="24"/>
        </w:rPr>
        <w:t xml:space="preserve"> al momento de su valoración, no existía afectación alguna a un bien jurídico, dado que ya había concluido la etapa de la jornada electoral.</w:t>
      </w:r>
    </w:p>
    <w:p w14:paraId="642CB9CE" w14:textId="77777777" w:rsidR="00B14497" w:rsidRDefault="00B14497">
      <w:pPr>
        <w:pBdr>
          <w:top w:val="nil"/>
          <w:left w:val="nil"/>
          <w:bottom w:val="nil"/>
          <w:right w:val="nil"/>
          <w:between w:val="nil"/>
        </w:pBdr>
        <w:tabs>
          <w:tab w:val="left" w:pos="567"/>
        </w:tabs>
        <w:ind w:right="36"/>
        <w:jc w:val="both"/>
        <w:rPr>
          <w:rFonts w:ascii="Arial" w:eastAsia="Arial" w:hAnsi="Arial" w:cs="Arial"/>
          <w:sz w:val="24"/>
          <w:szCs w:val="24"/>
        </w:rPr>
      </w:pPr>
    </w:p>
    <w:p w14:paraId="22E0FA0A" w14:textId="77777777" w:rsidR="00B14497" w:rsidRDefault="000142EE">
      <w:pPr>
        <w:pBdr>
          <w:top w:val="nil"/>
          <w:left w:val="nil"/>
          <w:bottom w:val="nil"/>
          <w:right w:val="nil"/>
          <w:between w:val="nil"/>
        </w:pBdr>
        <w:tabs>
          <w:tab w:val="left" w:pos="567"/>
        </w:tabs>
        <w:spacing w:line="360" w:lineRule="auto"/>
        <w:ind w:right="36"/>
        <w:jc w:val="both"/>
        <w:rPr>
          <w:rFonts w:ascii="Arial" w:eastAsia="Arial" w:hAnsi="Arial" w:cs="Arial"/>
          <w:sz w:val="24"/>
          <w:szCs w:val="24"/>
        </w:rPr>
      </w:pPr>
      <w:r>
        <w:rPr>
          <w:rFonts w:ascii="Arial" w:eastAsia="Arial" w:hAnsi="Arial" w:cs="Arial"/>
          <w:b/>
          <w:sz w:val="24"/>
          <w:szCs w:val="24"/>
        </w:rPr>
        <w:lastRenderedPageBreak/>
        <w:t>4. Imposibilidad de emplazamientos y admisión.</w:t>
      </w:r>
      <w:r>
        <w:rPr>
          <w:rFonts w:ascii="Arial" w:eastAsia="Arial" w:hAnsi="Arial" w:cs="Arial"/>
          <w:sz w:val="24"/>
          <w:szCs w:val="24"/>
        </w:rPr>
        <w:t xml:space="preserve"> El 1° de julio, la Secretaría Ejecutiva determinó la imposibilidad de emplazar a los medios de comunicación -</w:t>
      </w:r>
      <w:r>
        <w:rPr>
          <w:rFonts w:ascii="Arial" w:eastAsia="Arial" w:hAnsi="Arial" w:cs="Arial"/>
          <w:i/>
          <w:sz w:val="24"/>
          <w:szCs w:val="24"/>
        </w:rPr>
        <w:t xml:space="preserve">El Bunker Político, </w:t>
      </w:r>
      <w:proofErr w:type="spellStart"/>
      <w:r>
        <w:rPr>
          <w:rFonts w:ascii="Arial" w:eastAsia="Arial" w:hAnsi="Arial" w:cs="Arial"/>
          <w:i/>
          <w:sz w:val="24"/>
          <w:szCs w:val="24"/>
        </w:rPr>
        <w:t>AgsOpina</w:t>
      </w:r>
      <w:proofErr w:type="spellEnd"/>
      <w:r>
        <w:rPr>
          <w:rFonts w:ascii="Arial" w:eastAsia="Arial" w:hAnsi="Arial" w:cs="Arial"/>
          <w:i/>
          <w:sz w:val="24"/>
          <w:szCs w:val="24"/>
        </w:rPr>
        <w:t>, 24/7 News-</w:t>
      </w:r>
      <w:r>
        <w:rPr>
          <w:rFonts w:ascii="Arial" w:eastAsia="Arial" w:hAnsi="Arial" w:cs="Arial"/>
          <w:i/>
        </w:rPr>
        <w:t xml:space="preserve">, </w:t>
      </w:r>
      <w:r>
        <w:rPr>
          <w:rFonts w:ascii="Arial" w:eastAsia="Arial" w:hAnsi="Arial" w:cs="Arial"/>
          <w:sz w:val="24"/>
          <w:szCs w:val="24"/>
        </w:rPr>
        <w:t xml:space="preserve">ello, porque de la información proporcionada por la empresa </w:t>
      </w:r>
      <w:r>
        <w:rPr>
          <w:rFonts w:ascii="Arial" w:eastAsia="Arial" w:hAnsi="Arial" w:cs="Arial"/>
          <w:i/>
          <w:sz w:val="24"/>
          <w:szCs w:val="24"/>
        </w:rPr>
        <w:t xml:space="preserve">Meta </w:t>
      </w:r>
      <w:proofErr w:type="spellStart"/>
      <w:r>
        <w:rPr>
          <w:rFonts w:ascii="Arial" w:eastAsia="Arial" w:hAnsi="Arial" w:cs="Arial"/>
          <w:i/>
          <w:sz w:val="24"/>
          <w:szCs w:val="24"/>
        </w:rPr>
        <w:t>Platforms</w:t>
      </w:r>
      <w:proofErr w:type="spellEnd"/>
      <w:r>
        <w:rPr>
          <w:rFonts w:ascii="Arial" w:eastAsia="Arial" w:hAnsi="Arial" w:cs="Arial"/>
          <w:i/>
          <w:sz w:val="24"/>
          <w:szCs w:val="24"/>
        </w:rPr>
        <w:t xml:space="preserve"> Inc.</w:t>
      </w:r>
      <w:r>
        <w:rPr>
          <w:rFonts w:ascii="Arial" w:eastAsia="Arial" w:hAnsi="Arial" w:cs="Arial"/>
          <w:sz w:val="24"/>
          <w:szCs w:val="24"/>
        </w:rPr>
        <w:t xml:space="preserve"> no fue posible obtener el nombre completo de los propietarios, a fin de que se estuviera en posibilidad de ubicar su domicilio. </w:t>
      </w:r>
    </w:p>
    <w:p w14:paraId="2BE5222F" w14:textId="77777777" w:rsidR="00B14497" w:rsidRDefault="00B14497">
      <w:pPr>
        <w:pBdr>
          <w:top w:val="nil"/>
          <w:left w:val="nil"/>
          <w:bottom w:val="nil"/>
          <w:right w:val="nil"/>
          <w:between w:val="nil"/>
        </w:pBdr>
        <w:rPr>
          <w:color w:val="000000"/>
        </w:rPr>
      </w:pPr>
    </w:p>
    <w:p w14:paraId="105D22AB" w14:textId="77777777" w:rsidR="00B14497" w:rsidRDefault="000142EE">
      <w:pPr>
        <w:pBdr>
          <w:top w:val="nil"/>
          <w:left w:val="nil"/>
          <w:bottom w:val="nil"/>
          <w:right w:val="nil"/>
          <w:between w:val="nil"/>
        </w:pBdr>
        <w:tabs>
          <w:tab w:val="left" w:pos="567"/>
        </w:tabs>
        <w:spacing w:line="360" w:lineRule="auto"/>
        <w:ind w:right="36"/>
        <w:jc w:val="both"/>
        <w:rPr>
          <w:rFonts w:ascii="Arial" w:eastAsia="Arial" w:hAnsi="Arial" w:cs="Arial"/>
          <w:sz w:val="24"/>
          <w:szCs w:val="24"/>
        </w:rPr>
      </w:pPr>
      <w:r>
        <w:rPr>
          <w:rFonts w:ascii="Arial" w:eastAsia="Arial" w:hAnsi="Arial" w:cs="Arial"/>
          <w:sz w:val="24"/>
          <w:szCs w:val="24"/>
        </w:rPr>
        <w:t xml:space="preserve">Acto seguido, se admitió a trámite la denuncia y se fijó fecha para la celebración de la audiencia de pruebas y alegatos. </w:t>
      </w:r>
    </w:p>
    <w:p w14:paraId="6007B96F" w14:textId="77777777" w:rsidR="00B14497" w:rsidRDefault="00B14497">
      <w:pPr>
        <w:pBdr>
          <w:top w:val="nil"/>
          <w:left w:val="nil"/>
          <w:bottom w:val="nil"/>
          <w:right w:val="nil"/>
          <w:between w:val="nil"/>
        </w:pBdr>
        <w:rPr>
          <w:color w:val="000000"/>
        </w:rPr>
      </w:pPr>
    </w:p>
    <w:p w14:paraId="2361C3D3" w14:textId="77777777" w:rsidR="00B14497" w:rsidRDefault="000142EE">
      <w:pPr>
        <w:pBdr>
          <w:top w:val="nil"/>
          <w:left w:val="nil"/>
          <w:bottom w:val="nil"/>
          <w:right w:val="nil"/>
          <w:between w:val="nil"/>
        </w:pBdr>
        <w:tabs>
          <w:tab w:val="left" w:pos="567"/>
        </w:tabs>
        <w:spacing w:line="360" w:lineRule="auto"/>
        <w:ind w:right="36"/>
        <w:jc w:val="both"/>
        <w:rPr>
          <w:rFonts w:ascii="Arial" w:eastAsia="Arial" w:hAnsi="Arial" w:cs="Arial"/>
          <w:sz w:val="24"/>
          <w:szCs w:val="24"/>
        </w:rPr>
      </w:pPr>
      <w:r>
        <w:rPr>
          <w:rFonts w:ascii="Arial" w:eastAsia="Arial" w:hAnsi="Arial" w:cs="Arial"/>
          <w:b/>
          <w:sz w:val="24"/>
          <w:szCs w:val="24"/>
        </w:rPr>
        <w:t>5. Audiencia de pruebas y alegatos, y remisión del expediente.</w:t>
      </w:r>
      <w:r>
        <w:rPr>
          <w:rFonts w:ascii="Arial" w:eastAsia="Arial" w:hAnsi="Arial" w:cs="Arial"/>
          <w:sz w:val="24"/>
          <w:szCs w:val="24"/>
        </w:rPr>
        <w:t xml:space="preserve"> El 15 de julio, la Secretaría Ejecutiva celebró la audiencia de pruebas y alegatos y, a su vez, rindió el informe circunstanciado. Posterior a ello, remitió el expediente a este Tribunal. </w:t>
      </w:r>
    </w:p>
    <w:p w14:paraId="78A229B9" w14:textId="77777777" w:rsidR="00B14497" w:rsidRDefault="00B14497">
      <w:pPr>
        <w:pBdr>
          <w:top w:val="nil"/>
          <w:left w:val="nil"/>
          <w:bottom w:val="nil"/>
          <w:right w:val="nil"/>
          <w:between w:val="nil"/>
        </w:pBdr>
        <w:rPr>
          <w:color w:val="000000"/>
        </w:rPr>
      </w:pPr>
    </w:p>
    <w:p w14:paraId="0027A7A1" w14:textId="77777777" w:rsidR="00B14497" w:rsidRDefault="000142EE">
      <w:pPr>
        <w:pBdr>
          <w:top w:val="nil"/>
          <w:left w:val="nil"/>
          <w:bottom w:val="nil"/>
          <w:right w:val="nil"/>
          <w:between w:val="nil"/>
        </w:pBdr>
        <w:tabs>
          <w:tab w:val="left" w:pos="567"/>
        </w:tabs>
        <w:spacing w:line="360" w:lineRule="auto"/>
        <w:ind w:right="36"/>
        <w:jc w:val="both"/>
        <w:rPr>
          <w:rFonts w:ascii="Arial" w:eastAsia="Arial" w:hAnsi="Arial" w:cs="Arial"/>
          <w:sz w:val="24"/>
          <w:szCs w:val="24"/>
        </w:rPr>
      </w:pPr>
      <w:r>
        <w:rPr>
          <w:rFonts w:ascii="Arial" w:eastAsia="Arial" w:hAnsi="Arial" w:cs="Arial"/>
          <w:b/>
          <w:sz w:val="24"/>
          <w:szCs w:val="24"/>
        </w:rPr>
        <w:t>6. Turno y radicación del expediente (TEEA-PES-086/2022).</w:t>
      </w:r>
      <w:r>
        <w:rPr>
          <w:rFonts w:ascii="Arial" w:eastAsia="Arial" w:hAnsi="Arial" w:cs="Arial"/>
          <w:sz w:val="24"/>
          <w:szCs w:val="24"/>
        </w:rPr>
        <w:t xml:space="preserve"> En misma fecha, la Magistrada </w:t>
      </w:r>
      <w:proofErr w:type="gramStart"/>
      <w:r>
        <w:rPr>
          <w:rFonts w:ascii="Arial" w:eastAsia="Arial" w:hAnsi="Arial" w:cs="Arial"/>
          <w:sz w:val="24"/>
          <w:szCs w:val="24"/>
        </w:rPr>
        <w:t>Presidenta</w:t>
      </w:r>
      <w:proofErr w:type="gramEnd"/>
      <w:r>
        <w:rPr>
          <w:rFonts w:ascii="Arial" w:eastAsia="Arial" w:hAnsi="Arial" w:cs="Arial"/>
          <w:sz w:val="24"/>
          <w:szCs w:val="24"/>
        </w:rPr>
        <w:t xml:space="preserve"> ordenó el registro del asunto con el número de expediente TEEA-PES-086/2022 y lo turnó a la Ponencia de la Magistrada Laura Hortensia Llamas Hernández, quien en su oportunidad lo radicó.</w:t>
      </w:r>
      <w:r>
        <w:rPr>
          <w:rFonts w:ascii="Arial" w:eastAsia="Arial" w:hAnsi="Arial" w:cs="Arial"/>
          <w:sz w:val="24"/>
          <w:szCs w:val="24"/>
          <w:vertAlign w:val="superscript"/>
        </w:rPr>
        <w:footnoteReference w:id="11"/>
      </w:r>
    </w:p>
    <w:p w14:paraId="0C568410" w14:textId="77777777" w:rsidR="00B14497" w:rsidRDefault="00B14497">
      <w:pPr>
        <w:pBdr>
          <w:top w:val="nil"/>
          <w:left w:val="nil"/>
          <w:bottom w:val="nil"/>
          <w:right w:val="nil"/>
          <w:between w:val="nil"/>
        </w:pBdr>
        <w:rPr>
          <w:color w:val="000000"/>
        </w:rPr>
      </w:pPr>
    </w:p>
    <w:p w14:paraId="6E15129B" w14:textId="77777777" w:rsidR="00B14497" w:rsidRDefault="000142EE">
      <w:pPr>
        <w:pBdr>
          <w:top w:val="nil"/>
          <w:left w:val="nil"/>
          <w:bottom w:val="nil"/>
          <w:right w:val="nil"/>
          <w:between w:val="nil"/>
        </w:pBdr>
        <w:tabs>
          <w:tab w:val="left" w:pos="567"/>
        </w:tabs>
        <w:spacing w:line="360" w:lineRule="auto"/>
        <w:ind w:right="36"/>
        <w:jc w:val="both"/>
        <w:rPr>
          <w:rFonts w:ascii="Arial" w:eastAsia="Arial" w:hAnsi="Arial" w:cs="Arial"/>
          <w:sz w:val="24"/>
          <w:szCs w:val="24"/>
        </w:rPr>
      </w:pPr>
      <w:r>
        <w:rPr>
          <w:rFonts w:ascii="Arial" w:eastAsia="Arial" w:hAnsi="Arial" w:cs="Arial"/>
          <w:b/>
          <w:sz w:val="24"/>
          <w:szCs w:val="24"/>
        </w:rPr>
        <w:t>7. Requerimiento y formulación de proyecto.</w:t>
      </w:r>
      <w:r>
        <w:rPr>
          <w:rFonts w:ascii="Arial" w:eastAsia="Arial" w:hAnsi="Arial" w:cs="Arial"/>
          <w:sz w:val="24"/>
          <w:szCs w:val="24"/>
        </w:rPr>
        <w:t xml:space="preserve"> El 2 de agosto, este Tribunal Electoral requirió al Instituto Local a fin de que proporcionara la información respecto de las encuestas cuestionadas, con el objetivo de que este órgano jurisdiccional tuviera los elementos necesarios para resolver la controversia. </w:t>
      </w:r>
    </w:p>
    <w:p w14:paraId="3977C6C0" w14:textId="77777777" w:rsidR="00B14497" w:rsidRDefault="00B14497" w:rsidP="00101FAC">
      <w:pPr>
        <w:pStyle w:val="Sinespaciado"/>
        <w:rPr>
          <w:rFonts w:eastAsia="Arial"/>
        </w:rPr>
      </w:pPr>
    </w:p>
    <w:p w14:paraId="43108772" w14:textId="77777777" w:rsidR="00B14497" w:rsidRDefault="000142EE">
      <w:pPr>
        <w:pBdr>
          <w:top w:val="nil"/>
          <w:left w:val="nil"/>
          <w:bottom w:val="nil"/>
          <w:right w:val="nil"/>
          <w:between w:val="nil"/>
        </w:pBdr>
        <w:tabs>
          <w:tab w:val="left" w:pos="567"/>
        </w:tabs>
        <w:spacing w:line="360" w:lineRule="auto"/>
        <w:ind w:right="36"/>
        <w:jc w:val="both"/>
        <w:rPr>
          <w:rFonts w:ascii="Arial" w:eastAsia="Arial" w:hAnsi="Arial" w:cs="Arial"/>
          <w:sz w:val="24"/>
          <w:szCs w:val="24"/>
        </w:rPr>
      </w:pPr>
      <w:r>
        <w:rPr>
          <w:rFonts w:ascii="Arial" w:eastAsia="Arial" w:hAnsi="Arial" w:cs="Arial"/>
          <w:sz w:val="24"/>
          <w:szCs w:val="24"/>
        </w:rPr>
        <w:t>Una vez que se remitió tal información, y al no existir ningún trámite pendiente, la Magistrada Instructora ordenó la formulación del proyecto.</w:t>
      </w:r>
    </w:p>
    <w:p w14:paraId="6C28F621" w14:textId="77777777" w:rsidR="00B14497" w:rsidRDefault="00B14497">
      <w:pPr>
        <w:pBdr>
          <w:top w:val="nil"/>
          <w:left w:val="nil"/>
          <w:bottom w:val="nil"/>
          <w:right w:val="nil"/>
          <w:between w:val="nil"/>
        </w:pBdr>
        <w:rPr>
          <w:color w:val="000000"/>
        </w:rPr>
      </w:pPr>
    </w:p>
    <w:p w14:paraId="7A774865" w14:textId="77777777" w:rsidR="00B14497" w:rsidRDefault="000142EE">
      <w:pPr>
        <w:pBdr>
          <w:top w:val="nil"/>
          <w:left w:val="nil"/>
          <w:bottom w:val="nil"/>
          <w:right w:val="nil"/>
          <w:between w:val="nil"/>
        </w:pBdr>
        <w:tabs>
          <w:tab w:val="left" w:pos="284"/>
        </w:tabs>
        <w:spacing w:line="360" w:lineRule="auto"/>
        <w:ind w:right="36"/>
        <w:jc w:val="both"/>
        <w:rPr>
          <w:rFonts w:ascii="Arial" w:eastAsia="Arial" w:hAnsi="Arial" w:cs="Arial"/>
          <w:sz w:val="24"/>
          <w:szCs w:val="24"/>
        </w:rPr>
      </w:pPr>
      <w:r>
        <w:rPr>
          <w:rFonts w:ascii="Arial" w:eastAsia="Arial" w:hAnsi="Arial" w:cs="Arial"/>
          <w:b/>
          <w:sz w:val="24"/>
          <w:szCs w:val="24"/>
        </w:rPr>
        <w:t xml:space="preserve">II. Competencia. </w:t>
      </w:r>
      <w:r>
        <w:rPr>
          <w:rFonts w:ascii="Arial" w:eastAsia="Arial" w:hAnsi="Arial" w:cs="Arial"/>
          <w:sz w:val="24"/>
          <w:szCs w:val="24"/>
        </w:rPr>
        <w:t xml:space="preserve">Este Tribunal Electoral es competente para resolver el presente procedimiento especial sancionador, porque se relaciona con la posible vulneración a la normatividad en materia de resultados preliminares, encuestas o sondeos de opinión, misma que se encuentra prevista en el capítulo IV del Reglamento de Elecciones del Consejo General del INE, en relación con el artículo 41, base V, apartado B, inciso a),  párrafo 5, de la Constitución general y del capítulo III de la LEGIPE, por la supuesta indebida elaboración y difusión de encuestas sobre las preferencias electorales dentro del proceso electoral de renovación de gubernatura. Lo anterior, de conformidad con los artículos 252, fracción II, 268, fracción II, 274 y 275 del Código Electoral. </w:t>
      </w:r>
    </w:p>
    <w:p w14:paraId="4D2146FF" w14:textId="77777777" w:rsidR="00B14497" w:rsidRDefault="00B14497">
      <w:pPr>
        <w:pBdr>
          <w:top w:val="nil"/>
          <w:left w:val="nil"/>
          <w:bottom w:val="nil"/>
          <w:right w:val="nil"/>
          <w:between w:val="nil"/>
        </w:pBdr>
        <w:rPr>
          <w:color w:val="000000"/>
        </w:rPr>
      </w:pPr>
    </w:p>
    <w:p w14:paraId="10AD8BAB" w14:textId="77777777" w:rsidR="00B14497" w:rsidRDefault="000142EE">
      <w:pPr>
        <w:numPr>
          <w:ilvl w:val="0"/>
          <w:numId w:val="9"/>
        </w:numPr>
        <w:pBdr>
          <w:top w:val="nil"/>
          <w:left w:val="nil"/>
          <w:bottom w:val="nil"/>
          <w:right w:val="nil"/>
          <w:between w:val="nil"/>
        </w:pBdr>
        <w:tabs>
          <w:tab w:val="left" w:pos="426"/>
        </w:tabs>
        <w:spacing w:line="360" w:lineRule="auto"/>
        <w:ind w:left="0" w:right="36" w:hanging="11"/>
        <w:jc w:val="both"/>
        <w:rPr>
          <w:rFonts w:ascii="Arial" w:eastAsia="Arial" w:hAnsi="Arial" w:cs="Arial"/>
          <w:color w:val="000000"/>
          <w:sz w:val="24"/>
          <w:szCs w:val="24"/>
        </w:rPr>
      </w:pPr>
      <w:r>
        <w:rPr>
          <w:rFonts w:ascii="Arial" w:eastAsia="Arial" w:hAnsi="Arial" w:cs="Arial"/>
          <w:b/>
          <w:color w:val="000000"/>
          <w:sz w:val="24"/>
          <w:szCs w:val="24"/>
        </w:rPr>
        <w:t xml:space="preserve">Personería. </w:t>
      </w:r>
      <w:r>
        <w:rPr>
          <w:rFonts w:ascii="Arial" w:eastAsia="Arial" w:hAnsi="Arial" w:cs="Arial"/>
          <w:color w:val="000000"/>
          <w:sz w:val="24"/>
          <w:szCs w:val="24"/>
        </w:rPr>
        <w:t>La autoridad instructora tuvo por acreditada la personería del denunciante y los denunciados.</w:t>
      </w:r>
    </w:p>
    <w:p w14:paraId="6CD3C93A" w14:textId="77777777" w:rsidR="00B14497" w:rsidRDefault="00B14497">
      <w:pPr>
        <w:pBdr>
          <w:top w:val="nil"/>
          <w:left w:val="nil"/>
          <w:bottom w:val="nil"/>
          <w:right w:val="nil"/>
          <w:between w:val="nil"/>
        </w:pBdr>
        <w:rPr>
          <w:color w:val="000000"/>
        </w:rPr>
      </w:pPr>
    </w:p>
    <w:p w14:paraId="13DBB96C" w14:textId="77777777" w:rsidR="00B14497" w:rsidRDefault="000142EE">
      <w:pPr>
        <w:numPr>
          <w:ilvl w:val="0"/>
          <w:numId w:val="9"/>
        </w:numPr>
        <w:pBdr>
          <w:top w:val="nil"/>
          <w:left w:val="nil"/>
          <w:bottom w:val="nil"/>
          <w:right w:val="nil"/>
          <w:between w:val="nil"/>
        </w:pBdr>
        <w:tabs>
          <w:tab w:val="left" w:pos="426"/>
        </w:tabs>
        <w:spacing w:line="360" w:lineRule="auto"/>
        <w:ind w:left="0" w:right="36" w:hanging="11"/>
        <w:jc w:val="both"/>
        <w:rPr>
          <w:rFonts w:ascii="Arial" w:eastAsia="Arial" w:hAnsi="Arial" w:cs="Arial"/>
          <w:color w:val="000000"/>
          <w:sz w:val="24"/>
          <w:szCs w:val="24"/>
        </w:rPr>
      </w:pPr>
      <w:r>
        <w:rPr>
          <w:rFonts w:ascii="Arial" w:eastAsia="Arial" w:hAnsi="Arial" w:cs="Arial"/>
          <w:b/>
          <w:color w:val="000000"/>
          <w:sz w:val="24"/>
          <w:szCs w:val="24"/>
        </w:rPr>
        <w:t>Causales de improcedencia.</w:t>
      </w:r>
      <w:r>
        <w:rPr>
          <w:rFonts w:ascii="Arial" w:eastAsia="Arial" w:hAnsi="Arial" w:cs="Arial"/>
          <w:color w:val="000000"/>
          <w:sz w:val="24"/>
          <w:szCs w:val="24"/>
        </w:rPr>
        <w:t xml:space="preserve"> La entonces candidata María Teresa Jiménez Esquivel y </w:t>
      </w:r>
      <w:r>
        <w:rPr>
          <w:rFonts w:ascii="Arial" w:eastAsia="Arial" w:hAnsi="Arial" w:cs="Arial"/>
          <w:sz w:val="24"/>
          <w:szCs w:val="24"/>
        </w:rPr>
        <w:t>la coalición “Va por Aguascalientes”</w:t>
      </w:r>
      <w:r>
        <w:rPr>
          <w:rFonts w:ascii="Arial" w:eastAsia="Arial" w:hAnsi="Arial" w:cs="Arial"/>
          <w:color w:val="000000"/>
          <w:sz w:val="24"/>
          <w:szCs w:val="24"/>
        </w:rPr>
        <w:t xml:space="preserve">, en sus escritos de contestación, refieren que la </w:t>
      </w:r>
      <w:r>
        <w:rPr>
          <w:rFonts w:ascii="Arial" w:eastAsia="Arial" w:hAnsi="Arial" w:cs="Arial"/>
          <w:color w:val="000000"/>
          <w:sz w:val="24"/>
          <w:szCs w:val="24"/>
        </w:rPr>
        <w:lastRenderedPageBreak/>
        <w:t xml:space="preserve">denuncia presentada en su contra es </w:t>
      </w:r>
      <w:r>
        <w:rPr>
          <w:rFonts w:ascii="Arial" w:eastAsia="Arial" w:hAnsi="Arial" w:cs="Arial"/>
          <w:b/>
          <w:color w:val="000000"/>
          <w:sz w:val="24"/>
          <w:szCs w:val="24"/>
        </w:rPr>
        <w:t xml:space="preserve">frívola </w:t>
      </w:r>
      <w:r>
        <w:rPr>
          <w:rFonts w:ascii="Arial" w:eastAsia="Arial" w:hAnsi="Arial" w:cs="Arial"/>
          <w:color w:val="000000"/>
          <w:sz w:val="24"/>
          <w:szCs w:val="24"/>
        </w:rPr>
        <w:t>y</w:t>
      </w:r>
      <w:r>
        <w:rPr>
          <w:rFonts w:ascii="Arial" w:eastAsia="Arial" w:hAnsi="Arial" w:cs="Arial"/>
          <w:b/>
          <w:color w:val="000000"/>
          <w:sz w:val="24"/>
          <w:szCs w:val="24"/>
        </w:rPr>
        <w:t xml:space="preserve"> oscura</w:t>
      </w:r>
      <w:r>
        <w:rPr>
          <w:rFonts w:ascii="Arial" w:eastAsia="Arial" w:hAnsi="Arial" w:cs="Arial"/>
          <w:color w:val="000000"/>
          <w:sz w:val="24"/>
          <w:szCs w:val="24"/>
        </w:rPr>
        <w:t>, ya que la misma está basada en conjeturas personales y apreciaciones subjetivas y, además, no se ofrecieron elementos de prueba que permitan acreditar los hechos denunciados.</w:t>
      </w:r>
    </w:p>
    <w:p w14:paraId="6F6527BE" w14:textId="77777777" w:rsidR="00B14497" w:rsidRDefault="00B14497">
      <w:pPr>
        <w:pBdr>
          <w:top w:val="nil"/>
          <w:left w:val="nil"/>
          <w:bottom w:val="nil"/>
          <w:right w:val="nil"/>
          <w:between w:val="nil"/>
        </w:pBdr>
        <w:rPr>
          <w:color w:val="000000"/>
        </w:rPr>
      </w:pPr>
    </w:p>
    <w:p w14:paraId="16B2971E" w14:textId="77777777" w:rsidR="00B14497" w:rsidRDefault="000142EE">
      <w:pPr>
        <w:spacing w:line="360" w:lineRule="auto"/>
        <w:ind w:right="36"/>
        <w:jc w:val="both"/>
        <w:rPr>
          <w:sz w:val="24"/>
          <w:szCs w:val="24"/>
        </w:rPr>
      </w:pPr>
      <w:r>
        <w:rPr>
          <w:rFonts w:ascii="Arial" w:eastAsia="Arial" w:hAnsi="Arial" w:cs="Arial"/>
          <w:color w:val="000000"/>
          <w:sz w:val="24"/>
          <w:szCs w:val="24"/>
        </w:rPr>
        <w:t>El artículo 270, fracción V, del Código Electoral establece que la denuncia se desechará de plano, cuando sea evidentemente frívola. Esta causal se actualiza cuando de la denuncia se advierta que las pretensiones de la parte quejosa no podrían lograrse jurídicamente, por no estar al alcance del derecho o bien, que no existan pruebas que sirvan para acreditar la infracción.</w:t>
      </w:r>
    </w:p>
    <w:p w14:paraId="5C5C0D5F" w14:textId="77777777" w:rsidR="00B14497" w:rsidRDefault="000142EE">
      <w:pPr>
        <w:spacing w:before="240" w:line="360" w:lineRule="auto"/>
        <w:ind w:right="40"/>
        <w:jc w:val="both"/>
        <w:rPr>
          <w:rFonts w:ascii="Arial" w:eastAsia="Arial" w:hAnsi="Arial" w:cs="Arial"/>
          <w:color w:val="000000"/>
          <w:sz w:val="24"/>
          <w:szCs w:val="24"/>
        </w:rPr>
      </w:pPr>
      <w:r>
        <w:rPr>
          <w:rFonts w:ascii="Arial" w:eastAsia="Arial" w:hAnsi="Arial" w:cs="Arial"/>
          <w:color w:val="000000"/>
          <w:sz w:val="24"/>
          <w:szCs w:val="24"/>
        </w:rPr>
        <w:t>Al respecto, este Tribunal considera que del escrito de la denuncia y de las constancias del expediente, se advierte que el denunciante señaló los hechos y las infracciones que, a su criterio se acreditan, además de que ofreció la pruebas que estimó pertinentes, por tanto, no es posible actualizar tal causal de improcedencia, pues el quejoso ofreció las pruebas que consideró necesarias para la acreditación de los hechos cuestionados. Por tanto, la posible actualización de la infracción, en todo caso, es materia de análisis en el estudio de fondo de la presente resolución.</w:t>
      </w:r>
    </w:p>
    <w:p w14:paraId="5279ED8C" w14:textId="77777777" w:rsidR="00B14497" w:rsidRDefault="00B14497">
      <w:pPr>
        <w:pBdr>
          <w:top w:val="nil"/>
          <w:left w:val="nil"/>
          <w:bottom w:val="nil"/>
          <w:right w:val="nil"/>
          <w:between w:val="nil"/>
        </w:pBdr>
        <w:rPr>
          <w:color w:val="000000"/>
        </w:rPr>
      </w:pPr>
    </w:p>
    <w:p w14:paraId="2A9AED40" w14:textId="77777777" w:rsidR="00B14497" w:rsidRDefault="000142EE">
      <w:pPr>
        <w:numPr>
          <w:ilvl w:val="0"/>
          <w:numId w:val="9"/>
        </w:numPr>
        <w:pBdr>
          <w:top w:val="nil"/>
          <w:left w:val="nil"/>
          <w:bottom w:val="nil"/>
          <w:right w:val="nil"/>
          <w:between w:val="nil"/>
        </w:pBdr>
        <w:tabs>
          <w:tab w:val="left" w:pos="426"/>
        </w:tabs>
        <w:spacing w:line="360" w:lineRule="auto"/>
        <w:ind w:right="36" w:hanging="862"/>
        <w:jc w:val="both"/>
        <w:rPr>
          <w:rFonts w:ascii="Arial" w:eastAsia="Arial" w:hAnsi="Arial" w:cs="Arial"/>
          <w:color w:val="000000"/>
          <w:sz w:val="24"/>
          <w:szCs w:val="24"/>
        </w:rPr>
      </w:pPr>
      <w:r>
        <w:rPr>
          <w:rFonts w:ascii="Arial" w:eastAsia="Arial" w:hAnsi="Arial" w:cs="Arial"/>
          <w:b/>
          <w:color w:val="000000"/>
          <w:sz w:val="24"/>
          <w:szCs w:val="24"/>
        </w:rPr>
        <w:t xml:space="preserve">Estudio de fondo </w:t>
      </w:r>
    </w:p>
    <w:p w14:paraId="148C7E7A" w14:textId="77777777" w:rsidR="00B14497" w:rsidRDefault="00B14497">
      <w:pPr>
        <w:pBdr>
          <w:top w:val="nil"/>
          <w:left w:val="nil"/>
          <w:bottom w:val="nil"/>
          <w:right w:val="nil"/>
          <w:between w:val="nil"/>
        </w:pBdr>
        <w:rPr>
          <w:color w:val="000000"/>
          <w:sz w:val="14"/>
          <w:szCs w:val="14"/>
        </w:rPr>
      </w:pPr>
    </w:p>
    <w:p w14:paraId="6CDCDA12" w14:textId="77777777" w:rsidR="00B14497" w:rsidRDefault="000142EE">
      <w:pPr>
        <w:pBdr>
          <w:top w:val="nil"/>
          <w:left w:val="nil"/>
          <w:bottom w:val="nil"/>
          <w:right w:val="nil"/>
          <w:between w:val="nil"/>
        </w:pBdr>
        <w:tabs>
          <w:tab w:val="left" w:pos="426"/>
        </w:tabs>
        <w:spacing w:line="360" w:lineRule="auto"/>
        <w:ind w:right="36"/>
        <w:jc w:val="both"/>
        <w:rPr>
          <w:rFonts w:ascii="Arial" w:eastAsia="Arial" w:hAnsi="Arial" w:cs="Arial"/>
          <w:sz w:val="24"/>
          <w:szCs w:val="24"/>
        </w:rPr>
      </w:pPr>
      <w:r>
        <w:rPr>
          <w:rFonts w:ascii="Arial" w:eastAsia="Arial" w:hAnsi="Arial" w:cs="Arial"/>
          <w:b/>
          <w:sz w:val="24"/>
          <w:szCs w:val="24"/>
        </w:rPr>
        <w:t xml:space="preserve">1. Hechos denunciados. </w:t>
      </w:r>
      <w:r>
        <w:rPr>
          <w:rFonts w:ascii="Arial" w:eastAsia="Arial" w:hAnsi="Arial" w:cs="Arial"/>
          <w:sz w:val="24"/>
          <w:szCs w:val="24"/>
        </w:rPr>
        <w:t xml:space="preserve">Morena refiere que las partes denunciadas incumplieron con la normatividad relativa a la elaboración y difusión de encuestas, ello porque no presentaron los respectivos estudios metodológicos en la temporalidad prevista, lo cual implicó una vulneración a la certeza de los estudios de opinión cuestionados en perjuicio del derecho a la información de la ciudadanía. </w:t>
      </w:r>
    </w:p>
    <w:p w14:paraId="6FA6D6E1" w14:textId="77777777" w:rsidR="00B14497" w:rsidRDefault="00B14497">
      <w:pPr>
        <w:pBdr>
          <w:top w:val="nil"/>
          <w:left w:val="nil"/>
          <w:bottom w:val="nil"/>
          <w:right w:val="nil"/>
          <w:between w:val="nil"/>
        </w:pBdr>
        <w:rPr>
          <w:color w:val="000000"/>
        </w:rPr>
      </w:pPr>
    </w:p>
    <w:p w14:paraId="6E8E56C5" w14:textId="77777777" w:rsidR="00B14497" w:rsidRDefault="000142EE">
      <w:pPr>
        <w:pBdr>
          <w:top w:val="nil"/>
          <w:left w:val="nil"/>
          <w:bottom w:val="nil"/>
          <w:right w:val="nil"/>
          <w:between w:val="nil"/>
        </w:pBdr>
        <w:spacing w:line="360" w:lineRule="auto"/>
        <w:jc w:val="both"/>
        <w:rPr>
          <w:rFonts w:ascii="Arial" w:eastAsia="Arial" w:hAnsi="Arial" w:cs="Arial"/>
          <w:color w:val="000000"/>
          <w:sz w:val="24"/>
          <w:szCs w:val="24"/>
        </w:rPr>
      </w:pPr>
      <w:r>
        <w:rPr>
          <w:rFonts w:ascii="Arial" w:eastAsia="Arial" w:hAnsi="Arial" w:cs="Arial"/>
          <w:sz w:val="24"/>
          <w:szCs w:val="24"/>
        </w:rPr>
        <w:t>Las publicaciones cuestionadas -que a dicho del quejoso demuestran una acción coordinada entre las partes denunciadas-, son las siguientes:</w:t>
      </w:r>
      <w:r>
        <w:rPr>
          <w:rFonts w:ascii="Arial" w:eastAsia="Arial" w:hAnsi="Arial" w:cs="Arial"/>
          <w:color w:val="000000"/>
          <w:sz w:val="24"/>
          <w:szCs w:val="24"/>
          <w:vertAlign w:val="superscript"/>
        </w:rPr>
        <w:footnoteReference w:id="12"/>
      </w:r>
      <w:r>
        <w:rPr>
          <w:rFonts w:ascii="Arial" w:eastAsia="Arial" w:hAnsi="Arial" w:cs="Arial"/>
          <w:sz w:val="24"/>
          <w:szCs w:val="24"/>
        </w:rPr>
        <w:t xml:space="preserve"> </w:t>
      </w:r>
    </w:p>
    <w:p w14:paraId="65A3A618" w14:textId="77777777" w:rsidR="00B14497" w:rsidRDefault="00B14497">
      <w:pPr>
        <w:pBdr>
          <w:top w:val="nil"/>
          <w:left w:val="nil"/>
          <w:bottom w:val="nil"/>
          <w:right w:val="nil"/>
          <w:between w:val="nil"/>
        </w:pBdr>
        <w:tabs>
          <w:tab w:val="left" w:pos="426"/>
        </w:tabs>
        <w:spacing w:line="360" w:lineRule="auto"/>
        <w:ind w:right="36"/>
        <w:jc w:val="both"/>
        <w:rPr>
          <w:rFonts w:ascii="Arial" w:eastAsia="Arial" w:hAnsi="Arial" w:cs="Arial"/>
          <w:sz w:val="24"/>
          <w:szCs w:val="24"/>
        </w:rPr>
      </w:pPr>
    </w:p>
    <w:tbl>
      <w:tblPr>
        <w:tblStyle w:val="afc"/>
        <w:tblW w:w="9714" w:type="dxa"/>
        <w:tblInd w:w="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ayout w:type="fixed"/>
        <w:tblLook w:val="04A0" w:firstRow="1" w:lastRow="0" w:firstColumn="1" w:lastColumn="0" w:noHBand="0" w:noVBand="1"/>
      </w:tblPr>
      <w:tblGrid>
        <w:gridCol w:w="1276"/>
        <w:gridCol w:w="1984"/>
        <w:gridCol w:w="1701"/>
        <w:gridCol w:w="1701"/>
        <w:gridCol w:w="3052"/>
      </w:tblGrid>
      <w:tr w:rsidR="00B14497" w14:paraId="3D873C3A" w14:textId="77777777" w:rsidTr="00B1449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5227E187" w14:textId="77777777" w:rsidR="00B14497" w:rsidRDefault="000142EE">
            <w:pPr>
              <w:tabs>
                <w:tab w:val="left" w:pos="426"/>
              </w:tabs>
              <w:ind w:right="36"/>
              <w:jc w:val="center"/>
              <w:rPr>
                <w:rFonts w:ascii="Arial" w:eastAsia="Arial" w:hAnsi="Arial" w:cs="Arial"/>
                <w:u w:val="single"/>
              </w:rPr>
            </w:pPr>
            <w:r>
              <w:rPr>
                <w:rFonts w:ascii="Arial" w:eastAsia="Arial" w:hAnsi="Arial" w:cs="Arial"/>
                <w:u w:val="single"/>
              </w:rPr>
              <w:t>Encuesta</w:t>
            </w:r>
          </w:p>
        </w:tc>
        <w:tc>
          <w:tcPr>
            <w:tcW w:w="1984" w:type="dxa"/>
          </w:tcPr>
          <w:p w14:paraId="5F03C6B7" w14:textId="77777777" w:rsidR="00B14497" w:rsidRDefault="000142EE">
            <w:pPr>
              <w:tabs>
                <w:tab w:val="left" w:pos="426"/>
              </w:tabs>
              <w:ind w:right="36"/>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u w:val="single"/>
              </w:rPr>
            </w:pPr>
            <w:r>
              <w:rPr>
                <w:rFonts w:ascii="Arial" w:eastAsia="Arial" w:hAnsi="Arial" w:cs="Arial"/>
                <w:u w:val="single"/>
              </w:rPr>
              <w:t>Fecha de publicación de la encuesta</w:t>
            </w:r>
          </w:p>
        </w:tc>
        <w:tc>
          <w:tcPr>
            <w:tcW w:w="1701" w:type="dxa"/>
          </w:tcPr>
          <w:p w14:paraId="2EEB500B" w14:textId="77777777" w:rsidR="00B14497" w:rsidRDefault="000142EE">
            <w:pPr>
              <w:tabs>
                <w:tab w:val="left" w:pos="426"/>
              </w:tabs>
              <w:ind w:right="36"/>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u w:val="single"/>
              </w:rPr>
            </w:pPr>
            <w:r>
              <w:rPr>
                <w:rFonts w:ascii="Arial" w:eastAsia="Arial" w:hAnsi="Arial" w:cs="Arial"/>
                <w:u w:val="single"/>
              </w:rPr>
              <w:t>Publicación en la red social Facebook</w:t>
            </w:r>
          </w:p>
        </w:tc>
        <w:tc>
          <w:tcPr>
            <w:tcW w:w="1701" w:type="dxa"/>
          </w:tcPr>
          <w:p w14:paraId="146A8F9D" w14:textId="77777777" w:rsidR="00B14497" w:rsidRDefault="000142EE">
            <w:pPr>
              <w:tabs>
                <w:tab w:val="left" w:pos="426"/>
              </w:tabs>
              <w:ind w:right="36"/>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u w:val="single"/>
              </w:rPr>
            </w:pPr>
            <w:r>
              <w:rPr>
                <w:rFonts w:ascii="Arial" w:eastAsia="Arial" w:hAnsi="Arial" w:cs="Arial"/>
                <w:u w:val="single"/>
              </w:rPr>
              <w:t>Medio de comunicación</w:t>
            </w:r>
          </w:p>
        </w:tc>
        <w:tc>
          <w:tcPr>
            <w:tcW w:w="3052" w:type="dxa"/>
          </w:tcPr>
          <w:p w14:paraId="571436CD" w14:textId="77777777" w:rsidR="00B14497" w:rsidRDefault="000142EE">
            <w:pPr>
              <w:tabs>
                <w:tab w:val="left" w:pos="426"/>
              </w:tabs>
              <w:ind w:right="36"/>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u w:val="single"/>
              </w:rPr>
            </w:pPr>
            <w:r>
              <w:rPr>
                <w:rFonts w:ascii="Arial" w:eastAsia="Arial" w:hAnsi="Arial" w:cs="Arial"/>
                <w:u w:val="single"/>
              </w:rPr>
              <w:t>Imagen representativa</w:t>
            </w:r>
          </w:p>
        </w:tc>
      </w:tr>
      <w:tr w:rsidR="00B14497" w14:paraId="50BB189E" w14:textId="77777777" w:rsidTr="00B144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081E4A2D" w14:textId="77777777" w:rsidR="00B14497" w:rsidRDefault="000142EE">
            <w:pPr>
              <w:tabs>
                <w:tab w:val="left" w:pos="426"/>
              </w:tabs>
              <w:spacing w:line="360" w:lineRule="auto"/>
              <w:ind w:right="36"/>
              <w:jc w:val="center"/>
              <w:rPr>
                <w:rFonts w:ascii="Arial" w:eastAsia="Arial" w:hAnsi="Arial" w:cs="Arial"/>
              </w:rPr>
            </w:pPr>
            <w:r>
              <w:rPr>
                <w:rFonts w:ascii="Arial" w:eastAsia="Arial" w:hAnsi="Arial" w:cs="Arial"/>
              </w:rPr>
              <w:t>1</w:t>
            </w:r>
          </w:p>
        </w:tc>
        <w:tc>
          <w:tcPr>
            <w:tcW w:w="1984" w:type="dxa"/>
          </w:tcPr>
          <w:p w14:paraId="0D10504E" w14:textId="77777777" w:rsidR="00B14497" w:rsidRDefault="000142EE">
            <w:pPr>
              <w:tabs>
                <w:tab w:val="left" w:pos="426"/>
              </w:tabs>
              <w:spacing w:line="360" w:lineRule="auto"/>
              <w:ind w:right="36"/>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rPr>
            </w:pPr>
            <w:r>
              <w:rPr>
                <w:rFonts w:ascii="Arial" w:eastAsia="Arial" w:hAnsi="Arial" w:cs="Arial"/>
              </w:rPr>
              <w:t>3 de enero de 2022</w:t>
            </w:r>
          </w:p>
        </w:tc>
        <w:tc>
          <w:tcPr>
            <w:tcW w:w="1701" w:type="dxa"/>
          </w:tcPr>
          <w:p w14:paraId="45E57D67" w14:textId="77777777" w:rsidR="00B14497" w:rsidRDefault="000142EE">
            <w:pPr>
              <w:tabs>
                <w:tab w:val="left" w:pos="426"/>
              </w:tabs>
              <w:spacing w:line="360" w:lineRule="auto"/>
              <w:ind w:right="36"/>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rPr>
            </w:pPr>
            <w:r>
              <w:rPr>
                <w:rFonts w:ascii="Arial" w:eastAsia="Arial" w:hAnsi="Arial" w:cs="Arial"/>
              </w:rPr>
              <w:t>a)</w:t>
            </w:r>
          </w:p>
        </w:tc>
        <w:tc>
          <w:tcPr>
            <w:tcW w:w="1701" w:type="dxa"/>
          </w:tcPr>
          <w:p w14:paraId="1008B3AF" w14:textId="77777777" w:rsidR="00B14497" w:rsidRDefault="000142EE">
            <w:pPr>
              <w:tabs>
                <w:tab w:val="left" w:pos="426"/>
              </w:tabs>
              <w:spacing w:line="360" w:lineRule="auto"/>
              <w:ind w:right="36"/>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rPr>
            </w:pPr>
            <w:r>
              <w:rPr>
                <w:rFonts w:ascii="Arial" w:eastAsia="Arial" w:hAnsi="Arial" w:cs="Arial"/>
              </w:rPr>
              <w:t>El Bunker Político</w:t>
            </w:r>
          </w:p>
        </w:tc>
        <w:tc>
          <w:tcPr>
            <w:tcW w:w="3052" w:type="dxa"/>
          </w:tcPr>
          <w:p w14:paraId="38E1FD31" w14:textId="77777777" w:rsidR="00B14497" w:rsidRDefault="000142EE">
            <w:pPr>
              <w:tabs>
                <w:tab w:val="left" w:pos="426"/>
              </w:tabs>
              <w:spacing w:line="360" w:lineRule="auto"/>
              <w:ind w:right="36"/>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rPr>
            </w:pPr>
            <w:r>
              <w:rPr>
                <w:noProof/>
              </w:rPr>
              <w:drawing>
                <wp:inline distT="0" distB="0" distL="0" distR="0" wp14:anchorId="2F228AB9" wp14:editId="5B30949A">
                  <wp:extent cx="1764746" cy="1235322"/>
                  <wp:effectExtent l="0" t="0" r="0" b="0"/>
                  <wp:docPr id="316"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9"/>
                          <a:srcRect l="61983" t="42195" r="11228" b="24463"/>
                          <a:stretch>
                            <a:fillRect/>
                          </a:stretch>
                        </pic:blipFill>
                        <pic:spPr>
                          <a:xfrm>
                            <a:off x="0" y="0"/>
                            <a:ext cx="1764746" cy="1235322"/>
                          </a:xfrm>
                          <a:prstGeom prst="rect">
                            <a:avLst/>
                          </a:prstGeom>
                          <a:ln/>
                        </pic:spPr>
                      </pic:pic>
                    </a:graphicData>
                  </a:graphic>
                </wp:inline>
              </w:drawing>
            </w:r>
          </w:p>
        </w:tc>
      </w:tr>
      <w:tr w:rsidR="00B14497" w14:paraId="1FC19E18" w14:textId="77777777" w:rsidTr="00B14497">
        <w:tc>
          <w:tcPr>
            <w:cnfStyle w:val="001000000000" w:firstRow="0" w:lastRow="0" w:firstColumn="1" w:lastColumn="0" w:oddVBand="0" w:evenVBand="0" w:oddHBand="0" w:evenHBand="0" w:firstRowFirstColumn="0" w:firstRowLastColumn="0" w:lastRowFirstColumn="0" w:lastRowLastColumn="0"/>
            <w:tcW w:w="1276" w:type="dxa"/>
          </w:tcPr>
          <w:p w14:paraId="34AC3ABE" w14:textId="77777777" w:rsidR="00B14497" w:rsidRDefault="000142EE">
            <w:pPr>
              <w:tabs>
                <w:tab w:val="left" w:pos="426"/>
              </w:tabs>
              <w:spacing w:line="360" w:lineRule="auto"/>
              <w:ind w:right="36"/>
              <w:jc w:val="center"/>
              <w:rPr>
                <w:rFonts w:ascii="Arial" w:eastAsia="Arial" w:hAnsi="Arial" w:cs="Arial"/>
              </w:rPr>
            </w:pPr>
            <w:r>
              <w:rPr>
                <w:rFonts w:ascii="Arial" w:eastAsia="Arial" w:hAnsi="Arial" w:cs="Arial"/>
              </w:rPr>
              <w:lastRenderedPageBreak/>
              <w:t>2</w:t>
            </w:r>
          </w:p>
        </w:tc>
        <w:tc>
          <w:tcPr>
            <w:tcW w:w="1984" w:type="dxa"/>
          </w:tcPr>
          <w:p w14:paraId="4E566097" w14:textId="77777777" w:rsidR="00B14497" w:rsidRDefault="000142EE">
            <w:pPr>
              <w:tabs>
                <w:tab w:val="left" w:pos="426"/>
              </w:tabs>
              <w:spacing w:line="360" w:lineRule="auto"/>
              <w:ind w:right="36"/>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Pr>
                <w:rFonts w:ascii="Arial" w:eastAsia="Arial" w:hAnsi="Arial" w:cs="Arial"/>
              </w:rPr>
              <w:t>11 de enero de 2022</w:t>
            </w:r>
          </w:p>
        </w:tc>
        <w:tc>
          <w:tcPr>
            <w:tcW w:w="1701" w:type="dxa"/>
          </w:tcPr>
          <w:p w14:paraId="62C46B54" w14:textId="77777777" w:rsidR="00B14497" w:rsidRDefault="000142EE">
            <w:pPr>
              <w:tabs>
                <w:tab w:val="left" w:pos="426"/>
              </w:tabs>
              <w:spacing w:line="360" w:lineRule="auto"/>
              <w:ind w:right="36"/>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Pr>
                <w:rFonts w:ascii="Arial" w:eastAsia="Arial" w:hAnsi="Arial" w:cs="Arial"/>
              </w:rPr>
              <w:t>b)</w:t>
            </w:r>
          </w:p>
        </w:tc>
        <w:tc>
          <w:tcPr>
            <w:tcW w:w="1701" w:type="dxa"/>
          </w:tcPr>
          <w:p w14:paraId="245653A1" w14:textId="77777777" w:rsidR="00B14497" w:rsidRDefault="000142EE">
            <w:pPr>
              <w:tabs>
                <w:tab w:val="left" w:pos="426"/>
              </w:tabs>
              <w:spacing w:line="360" w:lineRule="auto"/>
              <w:ind w:right="36"/>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Pr>
                <w:rFonts w:ascii="Arial" w:eastAsia="Arial" w:hAnsi="Arial" w:cs="Arial"/>
              </w:rPr>
              <w:t>El Bunker Político</w:t>
            </w:r>
          </w:p>
        </w:tc>
        <w:tc>
          <w:tcPr>
            <w:tcW w:w="3052" w:type="dxa"/>
          </w:tcPr>
          <w:p w14:paraId="1ED3005C" w14:textId="77777777" w:rsidR="00B14497" w:rsidRDefault="000142EE">
            <w:pPr>
              <w:tabs>
                <w:tab w:val="left" w:pos="426"/>
              </w:tabs>
              <w:spacing w:line="360" w:lineRule="auto"/>
              <w:ind w:right="36"/>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Pr>
                <w:noProof/>
              </w:rPr>
              <w:drawing>
                <wp:inline distT="0" distB="0" distL="0" distR="0" wp14:anchorId="71C1B707" wp14:editId="2F9774A4">
                  <wp:extent cx="1807761" cy="1365165"/>
                  <wp:effectExtent l="0" t="0" r="0" b="0"/>
                  <wp:docPr id="318" name="image17.png"/>
                  <wp:cNvGraphicFramePr/>
                  <a:graphic xmlns:a="http://schemas.openxmlformats.org/drawingml/2006/main">
                    <a:graphicData uri="http://schemas.openxmlformats.org/drawingml/2006/picture">
                      <pic:pic xmlns:pic="http://schemas.openxmlformats.org/drawingml/2006/picture">
                        <pic:nvPicPr>
                          <pic:cNvPr id="0" name="image17.png"/>
                          <pic:cNvPicPr preferRelativeResize="0"/>
                        </pic:nvPicPr>
                        <pic:blipFill>
                          <a:blip r:embed="rId10"/>
                          <a:srcRect l="61387" t="34982" r="11132" b="28119"/>
                          <a:stretch>
                            <a:fillRect/>
                          </a:stretch>
                        </pic:blipFill>
                        <pic:spPr>
                          <a:xfrm>
                            <a:off x="0" y="0"/>
                            <a:ext cx="1807761" cy="1365165"/>
                          </a:xfrm>
                          <a:prstGeom prst="rect">
                            <a:avLst/>
                          </a:prstGeom>
                          <a:ln/>
                        </pic:spPr>
                      </pic:pic>
                    </a:graphicData>
                  </a:graphic>
                </wp:inline>
              </w:drawing>
            </w:r>
          </w:p>
        </w:tc>
      </w:tr>
      <w:tr w:rsidR="00B14497" w14:paraId="23999F35" w14:textId="77777777" w:rsidTr="00B144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61DABBEF" w14:textId="77777777" w:rsidR="00B14497" w:rsidRDefault="000142EE">
            <w:pPr>
              <w:tabs>
                <w:tab w:val="left" w:pos="426"/>
              </w:tabs>
              <w:spacing w:line="360" w:lineRule="auto"/>
              <w:ind w:right="36"/>
              <w:jc w:val="center"/>
              <w:rPr>
                <w:rFonts w:ascii="Arial" w:eastAsia="Arial" w:hAnsi="Arial" w:cs="Arial"/>
              </w:rPr>
            </w:pPr>
            <w:r>
              <w:rPr>
                <w:rFonts w:ascii="Arial" w:eastAsia="Arial" w:hAnsi="Arial" w:cs="Arial"/>
              </w:rPr>
              <w:t>3</w:t>
            </w:r>
          </w:p>
        </w:tc>
        <w:tc>
          <w:tcPr>
            <w:tcW w:w="1984" w:type="dxa"/>
          </w:tcPr>
          <w:p w14:paraId="1F68A907" w14:textId="77777777" w:rsidR="00B14497" w:rsidRDefault="000142EE">
            <w:pPr>
              <w:tabs>
                <w:tab w:val="left" w:pos="426"/>
              </w:tabs>
              <w:spacing w:line="360" w:lineRule="auto"/>
              <w:ind w:right="36"/>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rPr>
            </w:pPr>
            <w:r>
              <w:rPr>
                <w:rFonts w:ascii="Arial" w:eastAsia="Arial" w:hAnsi="Arial" w:cs="Arial"/>
              </w:rPr>
              <w:t>17 de enero de 2022</w:t>
            </w:r>
          </w:p>
        </w:tc>
        <w:tc>
          <w:tcPr>
            <w:tcW w:w="1701" w:type="dxa"/>
          </w:tcPr>
          <w:p w14:paraId="0D2925EC" w14:textId="77777777" w:rsidR="00B14497" w:rsidRDefault="000142EE">
            <w:pPr>
              <w:tabs>
                <w:tab w:val="left" w:pos="426"/>
              </w:tabs>
              <w:spacing w:line="360" w:lineRule="auto"/>
              <w:ind w:right="36"/>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rPr>
            </w:pPr>
            <w:r>
              <w:rPr>
                <w:rFonts w:ascii="Arial" w:eastAsia="Arial" w:hAnsi="Arial" w:cs="Arial"/>
              </w:rPr>
              <w:t>c)</w:t>
            </w:r>
          </w:p>
        </w:tc>
        <w:tc>
          <w:tcPr>
            <w:tcW w:w="1701" w:type="dxa"/>
          </w:tcPr>
          <w:p w14:paraId="7EA080EF" w14:textId="77777777" w:rsidR="00B14497" w:rsidRDefault="000142EE">
            <w:pPr>
              <w:tabs>
                <w:tab w:val="left" w:pos="426"/>
              </w:tabs>
              <w:spacing w:line="360" w:lineRule="auto"/>
              <w:ind w:right="36"/>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rPr>
            </w:pPr>
            <w:r>
              <w:rPr>
                <w:rFonts w:ascii="Arial" w:eastAsia="Arial" w:hAnsi="Arial" w:cs="Arial"/>
              </w:rPr>
              <w:t>El Bunker Político</w:t>
            </w:r>
          </w:p>
        </w:tc>
        <w:tc>
          <w:tcPr>
            <w:tcW w:w="3052" w:type="dxa"/>
          </w:tcPr>
          <w:p w14:paraId="6E7F457C" w14:textId="77777777" w:rsidR="00B14497" w:rsidRDefault="000142EE">
            <w:pPr>
              <w:tabs>
                <w:tab w:val="left" w:pos="426"/>
              </w:tabs>
              <w:spacing w:line="360" w:lineRule="auto"/>
              <w:ind w:right="36"/>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rPr>
            </w:pPr>
            <w:r>
              <w:rPr>
                <w:noProof/>
              </w:rPr>
              <w:drawing>
                <wp:inline distT="0" distB="0" distL="0" distR="0" wp14:anchorId="60627D09" wp14:editId="3D63AAB8">
                  <wp:extent cx="1800679" cy="1511494"/>
                  <wp:effectExtent l="0" t="0" r="0" b="0"/>
                  <wp:docPr id="317"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11"/>
                          <a:srcRect l="61500" t="39029" r="11174" b="20183"/>
                          <a:stretch>
                            <a:fillRect/>
                          </a:stretch>
                        </pic:blipFill>
                        <pic:spPr>
                          <a:xfrm>
                            <a:off x="0" y="0"/>
                            <a:ext cx="1800679" cy="1511494"/>
                          </a:xfrm>
                          <a:prstGeom prst="rect">
                            <a:avLst/>
                          </a:prstGeom>
                          <a:ln/>
                        </pic:spPr>
                      </pic:pic>
                    </a:graphicData>
                  </a:graphic>
                </wp:inline>
              </w:drawing>
            </w:r>
          </w:p>
        </w:tc>
      </w:tr>
      <w:tr w:rsidR="00B14497" w14:paraId="72EFF8F5" w14:textId="77777777" w:rsidTr="00B14497">
        <w:tc>
          <w:tcPr>
            <w:cnfStyle w:val="001000000000" w:firstRow="0" w:lastRow="0" w:firstColumn="1" w:lastColumn="0" w:oddVBand="0" w:evenVBand="0" w:oddHBand="0" w:evenHBand="0" w:firstRowFirstColumn="0" w:firstRowLastColumn="0" w:lastRowFirstColumn="0" w:lastRowLastColumn="0"/>
            <w:tcW w:w="1276" w:type="dxa"/>
          </w:tcPr>
          <w:p w14:paraId="577D8327" w14:textId="77777777" w:rsidR="00B14497" w:rsidRDefault="000142EE">
            <w:pPr>
              <w:tabs>
                <w:tab w:val="left" w:pos="426"/>
              </w:tabs>
              <w:spacing w:line="360" w:lineRule="auto"/>
              <w:ind w:right="36"/>
              <w:jc w:val="center"/>
              <w:rPr>
                <w:rFonts w:ascii="Arial" w:eastAsia="Arial" w:hAnsi="Arial" w:cs="Arial"/>
              </w:rPr>
            </w:pPr>
            <w:r>
              <w:rPr>
                <w:rFonts w:ascii="Arial" w:eastAsia="Arial" w:hAnsi="Arial" w:cs="Arial"/>
              </w:rPr>
              <w:t>4</w:t>
            </w:r>
          </w:p>
        </w:tc>
        <w:tc>
          <w:tcPr>
            <w:tcW w:w="1984" w:type="dxa"/>
          </w:tcPr>
          <w:p w14:paraId="051D5347" w14:textId="77777777" w:rsidR="00B14497" w:rsidRDefault="000142EE">
            <w:pPr>
              <w:tabs>
                <w:tab w:val="left" w:pos="426"/>
              </w:tabs>
              <w:spacing w:line="360" w:lineRule="auto"/>
              <w:ind w:right="36"/>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Pr>
                <w:rFonts w:ascii="Arial" w:eastAsia="Arial" w:hAnsi="Arial" w:cs="Arial"/>
              </w:rPr>
              <w:t>20 de enero de 2022</w:t>
            </w:r>
          </w:p>
        </w:tc>
        <w:tc>
          <w:tcPr>
            <w:tcW w:w="1701" w:type="dxa"/>
          </w:tcPr>
          <w:p w14:paraId="511071AE" w14:textId="77777777" w:rsidR="00B14497" w:rsidRDefault="000142EE">
            <w:pPr>
              <w:tabs>
                <w:tab w:val="left" w:pos="426"/>
              </w:tabs>
              <w:spacing w:line="360" w:lineRule="auto"/>
              <w:ind w:right="36"/>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Pr>
                <w:rFonts w:ascii="Arial" w:eastAsia="Arial" w:hAnsi="Arial" w:cs="Arial"/>
              </w:rPr>
              <w:t>d)</w:t>
            </w:r>
          </w:p>
        </w:tc>
        <w:tc>
          <w:tcPr>
            <w:tcW w:w="1701" w:type="dxa"/>
          </w:tcPr>
          <w:p w14:paraId="7EE60476" w14:textId="77777777" w:rsidR="00B14497" w:rsidRDefault="000142EE">
            <w:pPr>
              <w:tabs>
                <w:tab w:val="left" w:pos="426"/>
              </w:tabs>
              <w:spacing w:line="360" w:lineRule="auto"/>
              <w:ind w:right="36"/>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Pr>
                <w:rFonts w:ascii="Arial" w:eastAsia="Arial" w:hAnsi="Arial" w:cs="Arial"/>
              </w:rPr>
              <w:t>El Bunker Político</w:t>
            </w:r>
          </w:p>
        </w:tc>
        <w:tc>
          <w:tcPr>
            <w:tcW w:w="3052" w:type="dxa"/>
          </w:tcPr>
          <w:p w14:paraId="5946246B" w14:textId="77777777" w:rsidR="00B14497" w:rsidRDefault="000142EE">
            <w:pPr>
              <w:tabs>
                <w:tab w:val="left" w:pos="426"/>
              </w:tabs>
              <w:spacing w:line="360" w:lineRule="auto"/>
              <w:ind w:right="36"/>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Pr>
                <w:noProof/>
              </w:rPr>
              <w:drawing>
                <wp:inline distT="0" distB="0" distL="0" distR="0" wp14:anchorId="339936A0" wp14:editId="17D1738A">
                  <wp:extent cx="1827320" cy="1497889"/>
                  <wp:effectExtent l="0" t="0" r="0" b="0"/>
                  <wp:docPr id="320"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12"/>
                          <a:srcRect l="62366" t="31926" r="12506" b="31449"/>
                          <a:stretch>
                            <a:fillRect/>
                          </a:stretch>
                        </pic:blipFill>
                        <pic:spPr>
                          <a:xfrm>
                            <a:off x="0" y="0"/>
                            <a:ext cx="1827320" cy="1497889"/>
                          </a:xfrm>
                          <a:prstGeom prst="rect">
                            <a:avLst/>
                          </a:prstGeom>
                          <a:ln/>
                        </pic:spPr>
                      </pic:pic>
                    </a:graphicData>
                  </a:graphic>
                </wp:inline>
              </w:drawing>
            </w:r>
          </w:p>
        </w:tc>
      </w:tr>
      <w:tr w:rsidR="00B14497" w14:paraId="01FED4DC" w14:textId="77777777" w:rsidTr="00B144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7B2EB1E8" w14:textId="77777777" w:rsidR="00B14497" w:rsidRDefault="000142EE">
            <w:pPr>
              <w:tabs>
                <w:tab w:val="left" w:pos="426"/>
              </w:tabs>
              <w:spacing w:line="360" w:lineRule="auto"/>
              <w:ind w:right="36"/>
              <w:jc w:val="center"/>
              <w:rPr>
                <w:rFonts w:ascii="Arial" w:eastAsia="Arial" w:hAnsi="Arial" w:cs="Arial"/>
              </w:rPr>
            </w:pPr>
            <w:r>
              <w:rPr>
                <w:rFonts w:ascii="Arial" w:eastAsia="Arial" w:hAnsi="Arial" w:cs="Arial"/>
              </w:rPr>
              <w:t>5</w:t>
            </w:r>
          </w:p>
        </w:tc>
        <w:tc>
          <w:tcPr>
            <w:tcW w:w="1984" w:type="dxa"/>
          </w:tcPr>
          <w:p w14:paraId="496C087E" w14:textId="77777777" w:rsidR="00B14497" w:rsidRDefault="000142EE">
            <w:pPr>
              <w:tabs>
                <w:tab w:val="left" w:pos="426"/>
              </w:tabs>
              <w:spacing w:line="360" w:lineRule="auto"/>
              <w:ind w:right="36"/>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rPr>
            </w:pPr>
            <w:r>
              <w:rPr>
                <w:rFonts w:ascii="Arial" w:eastAsia="Arial" w:hAnsi="Arial" w:cs="Arial"/>
              </w:rPr>
              <w:t>28 de enero de 2022</w:t>
            </w:r>
          </w:p>
        </w:tc>
        <w:tc>
          <w:tcPr>
            <w:tcW w:w="1701" w:type="dxa"/>
          </w:tcPr>
          <w:p w14:paraId="508EA350" w14:textId="77777777" w:rsidR="00B14497" w:rsidRDefault="000142EE">
            <w:pPr>
              <w:tabs>
                <w:tab w:val="left" w:pos="426"/>
              </w:tabs>
              <w:spacing w:line="360" w:lineRule="auto"/>
              <w:ind w:right="36"/>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rPr>
            </w:pPr>
            <w:r>
              <w:rPr>
                <w:rFonts w:ascii="Arial" w:eastAsia="Arial" w:hAnsi="Arial" w:cs="Arial"/>
              </w:rPr>
              <w:t>e)</w:t>
            </w:r>
          </w:p>
        </w:tc>
        <w:tc>
          <w:tcPr>
            <w:tcW w:w="1701" w:type="dxa"/>
          </w:tcPr>
          <w:p w14:paraId="0B1C103A" w14:textId="77777777" w:rsidR="00B14497" w:rsidRDefault="000142EE">
            <w:pPr>
              <w:tabs>
                <w:tab w:val="left" w:pos="426"/>
              </w:tabs>
              <w:spacing w:line="360" w:lineRule="auto"/>
              <w:ind w:right="36"/>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rPr>
            </w:pPr>
            <w:r>
              <w:rPr>
                <w:rFonts w:ascii="Arial" w:eastAsia="Arial" w:hAnsi="Arial" w:cs="Arial"/>
              </w:rPr>
              <w:t>El Bunker Político</w:t>
            </w:r>
          </w:p>
        </w:tc>
        <w:tc>
          <w:tcPr>
            <w:tcW w:w="3052" w:type="dxa"/>
          </w:tcPr>
          <w:p w14:paraId="4EA74495" w14:textId="77777777" w:rsidR="00B14497" w:rsidRDefault="000142EE">
            <w:pPr>
              <w:tabs>
                <w:tab w:val="left" w:pos="426"/>
              </w:tabs>
              <w:spacing w:line="360" w:lineRule="auto"/>
              <w:ind w:right="36"/>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rPr>
            </w:pPr>
            <w:r>
              <w:rPr>
                <w:noProof/>
              </w:rPr>
              <w:drawing>
                <wp:inline distT="0" distB="0" distL="0" distR="0" wp14:anchorId="594A3FAF" wp14:editId="107A1284">
                  <wp:extent cx="1807138" cy="1967772"/>
                  <wp:effectExtent l="0" t="0" r="0" b="0"/>
                  <wp:docPr id="319"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13"/>
                          <a:srcRect l="66420" t="35487" r="13296" b="25237"/>
                          <a:stretch>
                            <a:fillRect/>
                          </a:stretch>
                        </pic:blipFill>
                        <pic:spPr>
                          <a:xfrm>
                            <a:off x="0" y="0"/>
                            <a:ext cx="1807138" cy="1967772"/>
                          </a:xfrm>
                          <a:prstGeom prst="rect">
                            <a:avLst/>
                          </a:prstGeom>
                          <a:ln/>
                        </pic:spPr>
                      </pic:pic>
                    </a:graphicData>
                  </a:graphic>
                </wp:inline>
              </w:drawing>
            </w:r>
          </w:p>
        </w:tc>
      </w:tr>
      <w:tr w:rsidR="00B14497" w14:paraId="4C7D6CAF" w14:textId="77777777" w:rsidTr="00B14497">
        <w:tc>
          <w:tcPr>
            <w:cnfStyle w:val="001000000000" w:firstRow="0" w:lastRow="0" w:firstColumn="1" w:lastColumn="0" w:oddVBand="0" w:evenVBand="0" w:oddHBand="0" w:evenHBand="0" w:firstRowFirstColumn="0" w:firstRowLastColumn="0" w:lastRowFirstColumn="0" w:lastRowLastColumn="0"/>
            <w:tcW w:w="1276" w:type="dxa"/>
          </w:tcPr>
          <w:p w14:paraId="2838AF66" w14:textId="77777777" w:rsidR="00B14497" w:rsidRDefault="000142EE">
            <w:pPr>
              <w:tabs>
                <w:tab w:val="left" w:pos="426"/>
              </w:tabs>
              <w:spacing w:line="360" w:lineRule="auto"/>
              <w:ind w:right="36"/>
              <w:jc w:val="center"/>
              <w:rPr>
                <w:rFonts w:ascii="Arial" w:eastAsia="Arial" w:hAnsi="Arial" w:cs="Arial"/>
              </w:rPr>
            </w:pPr>
            <w:r>
              <w:rPr>
                <w:rFonts w:ascii="Arial" w:eastAsia="Arial" w:hAnsi="Arial" w:cs="Arial"/>
              </w:rPr>
              <w:t>6</w:t>
            </w:r>
          </w:p>
        </w:tc>
        <w:tc>
          <w:tcPr>
            <w:tcW w:w="1984" w:type="dxa"/>
          </w:tcPr>
          <w:p w14:paraId="21ADADBB" w14:textId="77777777" w:rsidR="00B14497" w:rsidRDefault="000142EE">
            <w:pPr>
              <w:tabs>
                <w:tab w:val="left" w:pos="426"/>
              </w:tabs>
              <w:spacing w:line="360" w:lineRule="auto"/>
              <w:ind w:right="36"/>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Pr>
                <w:rFonts w:ascii="Arial" w:eastAsia="Arial" w:hAnsi="Arial" w:cs="Arial"/>
              </w:rPr>
              <w:t>1 de febrero de 2022</w:t>
            </w:r>
          </w:p>
        </w:tc>
        <w:tc>
          <w:tcPr>
            <w:tcW w:w="1701" w:type="dxa"/>
          </w:tcPr>
          <w:p w14:paraId="1EEEA8F7" w14:textId="77777777" w:rsidR="00B14497" w:rsidRDefault="000142EE">
            <w:pPr>
              <w:tabs>
                <w:tab w:val="left" w:pos="426"/>
              </w:tabs>
              <w:spacing w:line="360" w:lineRule="auto"/>
              <w:ind w:right="36"/>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Pr>
                <w:rFonts w:ascii="Arial" w:eastAsia="Arial" w:hAnsi="Arial" w:cs="Arial"/>
              </w:rPr>
              <w:t>f)</w:t>
            </w:r>
          </w:p>
        </w:tc>
        <w:tc>
          <w:tcPr>
            <w:tcW w:w="1701" w:type="dxa"/>
          </w:tcPr>
          <w:p w14:paraId="44D4D0E4" w14:textId="77777777" w:rsidR="00B14497" w:rsidRDefault="000142EE">
            <w:pPr>
              <w:tabs>
                <w:tab w:val="left" w:pos="426"/>
              </w:tabs>
              <w:spacing w:line="360" w:lineRule="auto"/>
              <w:ind w:right="36"/>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Pr>
                <w:rFonts w:ascii="Arial" w:eastAsia="Arial" w:hAnsi="Arial" w:cs="Arial"/>
              </w:rPr>
              <w:t>El Bunker Político</w:t>
            </w:r>
          </w:p>
        </w:tc>
        <w:tc>
          <w:tcPr>
            <w:tcW w:w="3052" w:type="dxa"/>
          </w:tcPr>
          <w:p w14:paraId="335E8768" w14:textId="77777777" w:rsidR="00B14497" w:rsidRDefault="000142EE">
            <w:pPr>
              <w:tabs>
                <w:tab w:val="left" w:pos="426"/>
              </w:tabs>
              <w:spacing w:line="360" w:lineRule="auto"/>
              <w:ind w:right="36"/>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Pr>
                <w:noProof/>
              </w:rPr>
              <w:drawing>
                <wp:inline distT="0" distB="0" distL="0" distR="0" wp14:anchorId="362501AF" wp14:editId="44BE6519">
                  <wp:extent cx="1830120" cy="1587348"/>
                  <wp:effectExtent l="0" t="0" r="0" b="0"/>
                  <wp:docPr id="322"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14"/>
                          <a:srcRect l="62476" t="40523" r="11684" b="19623"/>
                          <a:stretch>
                            <a:fillRect/>
                          </a:stretch>
                        </pic:blipFill>
                        <pic:spPr>
                          <a:xfrm>
                            <a:off x="0" y="0"/>
                            <a:ext cx="1830120" cy="1587348"/>
                          </a:xfrm>
                          <a:prstGeom prst="rect">
                            <a:avLst/>
                          </a:prstGeom>
                          <a:ln/>
                        </pic:spPr>
                      </pic:pic>
                    </a:graphicData>
                  </a:graphic>
                </wp:inline>
              </w:drawing>
            </w:r>
          </w:p>
        </w:tc>
      </w:tr>
      <w:tr w:rsidR="00B14497" w14:paraId="4980EFA0" w14:textId="77777777" w:rsidTr="00B144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02BF4F7E" w14:textId="77777777" w:rsidR="00B14497" w:rsidRDefault="000142EE">
            <w:pPr>
              <w:tabs>
                <w:tab w:val="left" w:pos="426"/>
              </w:tabs>
              <w:spacing w:line="360" w:lineRule="auto"/>
              <w:ind w:right="36"/>
              <w:jc w:val="center"/>
              <w:rPr>
                <w:rFonts w:ascii="Arial" w:eastAsia="Arial" w:hAnsi="Arial" w:cs="Arial"/>
              </w:rPr>
            </w:pPr>
            <w:r>
              <w:rPr>
                <w:rFonts w:ascii="Arial" w:eastAsia="Arial" w:hAnsi="Arial" w:cs="Arial"/>
              </w:rPr>
              <w:t>7</w:t>
            </w:r>
          </w:p>
        </w:tc>
        <w:tc>
          <w:tcPr>
            <w:tcW w:w="1984" w:type="dxa"/>
          </w:tcPr>
          <w:p w14:paraId="0059470E" w14:textId="77777777" w:rsidR="00B14497" w:rsidRDefault="000142EE">
            <w:pPr>
              <w:tabs>
                <w:tab w:val="left" w:pos="426"/>
              </w:tabs>
              <w:spacing w:line="360" w:lineRule="auto"/>
              <w:ind w:right="36"/>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rPr>
            </w:pPr>
            <w:r>
              <w:rPr>
                <w:rFonts w:ascii="Arial" w:eastAsia="Arial" w:hAnsi="Arial" w:cs="Arial"/>
              </w:rPr>
              <w:t>4 de febrero de 2022</w:t>
            </w:r>
          </w:p>
        </w:tc>
        <w:tc>
          <w:tcPr>
            <w:tcW w:w="1701" w:type="dxa"/>
          </w:tcPr>
          <w:p w14:paraId="7C0792FD" w14:textId="77777777" w:rsidR="00B14497" w:rsidRDefault="000142EE">
            <w:pPr>
              <w:tabs>
                <w:tab w:val="left" w:pos="426"/>
              </w:tabs>
              <w:spacing w:line="360" w:lineRule="auto"/>
              <w:ind w:right="36"/>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rPr>
            </w:pPr>
            <w:r>
              <w:rPr>
                <w:rFonts w:ascii="Arial" w:eastAsia="Arial" w:hAnsi="Arial" w:cs="Arial"/>
              </w:rPr>
              <w:t>g)</w:t>
            </w:r>
          </w:p>
        </w:tc>
        <w:tc>
          <w:tcPr>
            <w:tcW w:w="1701" w:type="dxa"/>
          </w:tcPr>
          <w:p w14:paraId="499EFFDF" w14:textId="77777777" w:rsidR="00B14497" w:rsidRDefault="000142EE">
            <w:pPr>
              <w:tabs>
                <w:tab w:val="left" w:pos="426"/>
              </w:tabs>
              <w:spacing w:line="360" w:lineRule="auto"/>
              <w:ind w:right="36"/>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rPr>
            </w:pPr>
            <w:r>
              <w:rPr>
                <w:rFonts w:ascii="Arial" w:eastAsia="Arial" w:hAnsi="Arial" w:cs="Arial"/>
              </w:rPr>
              <w:t>El Bunker Político</w:t>
            </w:r>
          </w:p>
        </w:tc>
        <w:tc>
          <w:tcPr>
            <w:tcW w:w="3052" w:type="dxa"/>
          </w:tcPr>
          <w:p w14:paraId="73CAE35A" w14:textId="77777777" w:rsidR="00B14497" w:rsidRDefault="000142EE">
            <w:pPr>
              <w:tabs>
                <w:tab w:val="left" w:pos="426"/>
              </w:tabs>
              <w:spacing w:line="360" w:lineRule="auto"/>
              <w:ind w:right="36"/>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rPr>
            </w:pPr>
            <w:r>
              <w:rPr>
                <w:noProof/>
              </w:rPr>
              <w:drawing>
                <wp:inline distT="0" distB="0" distL="0" distR="0" wp14:anchorId="573957B5" wp14:editId="4DE69C9C">
                  <wp:extent cx="1783642" cy="1383459"/>
                  <wp:effectExtent l="0" t="0" r="0" b="0"/>
                  <wp:docPr id="321" name="image20.png"/>
                  <wp:cNvGraphicFramePr/>
                  <a:graphic xmlns:a="http://schemas.openxmlformats.org/drawingml/2006/main">
                    <a:graphicData uri="http://schemas.openxmlformats.org/drawingml/2006/picture">
                      <pic:pic xmlns:pic="http://schemas.openxmlformats.org/drawingml/2006/picture">
                        <pic:nvPicPr>
                          <pic:cNvPr id="0" name="image20.png"/>
                          <pic:cNvPicPr preferRelativeResize="0"/>
                        </pic:nvPicPr>
                        <pic:blipFill>
                          <a:blip r:embed="rId15"/>
                          <a:srcRect l="61768" t="38487" r="11438" b="24558"/>
                          <a:stretch>
                            <a:fillRect/>
                          </a:stretch>
                        </pic:blipFill>
                        <pic:spPr>
                          <a:xfrm>
                            <a:off x="0" y="0"/>
                            <a:ext cx="1783642" cy="1383459"/>
                          </a:xfrm>
                          <a:prstGeom prst="rect">
                            <a:avLst/>
                          </a:prstGeom>
                          <a:ln/>
                        </pic:spPr>
                      </pic:pic>
                    </a:graphicData>
                  </a:graphic>
                </wp:inline>
              </w:drawing>
            </w:r>
          </w:p>
        </w:tc>
      </w:tr>
      <w:tr w:rsidR="00B14497" w14:paraId="4DDFD6DD" w14:textId="77777777" w:rsidTr="00B14497">
        <w:tc>
          <w:tcPr>
            <w:cnfStyle w:val="001000000000" w:firstRow="0" w:lastRow="0" w:firstColumn="1" w:lastColumn="0" w:oddVBand="0" w:evenVBand="0" w:oddHBand="0" w:evenHBand="0" w:firstRowFirstColumn="0" w:firstRowLastColumn="0" w:lastRowFirstColumn="0" w:lastRowLastColumn="0"/>
            <w:tcW w:w="1276" w:type="dxa"/>
          </w:tcPr>
          <w:p w14:paraId="7275B7BF" w14:textId="77777777" w:rsidR="00B14497" w:rsidRDefault="000142EE">
            <w:pPr>
              <w:tabs>
                <w:tab w:val="left" w:pos="426"/>
              </w:tabs>
              <w:spacing w:line="360" w:lineRule="auto"/>
              <w:ind w:right="36"/>
              <w:jc w:val="center"/>
              <w:rPr>
                <w:rFonts w:ascii="Arial" w:eastAsia="Arial" w:hAnsi="Arial" w:cs="Arial"/>
              </w:rPr>
            </w:pPr>
            <w:r>
              <w:rPr>
                <w:rFonts w:ascii="Arial" w:eastAsia="Arial" w:hAnsi="Arial" w:cs="Arial"/>
              </w:rPr>
              <w:lastRenderedPageBreak/>
              <w:t>8</w:t>
            </w:r>
          </w:p>
        </w:tc>
        <w:tc>
          <w:tcPr>
            <w:tcW w:w="1984" w:type="dxa"/>
          </w:tcPr>
          <w:p w14:paraId="2917066F" w14:textId="77777777" w:rsidR="00B14497" w:rsidRDefault="000142EE">
            <w:pPr>
              <w:tabs>
                <w:tab w:val="left" w:pos="426"/>
              </w:tabs>
              <w:spacing w:line="360" w:lineRule="auto"/>
              <w:ind w:right="36"/>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Pr>
                <w:rFonts w:ascii="Arial" w:eastAsia="Arial" w:hAnsi="Arial" w:cs="Arial"/>
              </w:rPr>
              <w:t>2 de marzo de 2022</w:t>
            </w:r>
          </w:p>
        </w:tc>
        <w:tc>
          <w:tcPr>
            <w:tcW w:w="1701" w:type="dxa"/>
          </w:tcPr>
          <w:p w14:paraId="735EA777" w14:textId="77777777" w:rsidR="00B14497" w:rsidRDefault="000142EE">
            <w:pPr>
              <w:tabs>
                <w:tab w:val="left" w:pos="426"/>
              </w:tabs>
              <w:spacing w:line="360" w:lineRule="auto"/>
              <w:ind w:right="36"/>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Pr>
                <w:rFonts w:ascii="Arial" w:eastAsia="Arial" w:hAnsi="Arial" w:cs="Arial"/>
              </w:rPr>
              <w:t>h)</w:t>
            </w:r>
          </w:p>
        </w:tc>
        <w:tc>
          <w:tcPr>
            <w:tcW w:w="1701" w:type="dxa"/>
          </w:tcPr>
          <w:p w14:paraId="114B6397" w14:textId="77777777" w:rsidR="00B14497" w:rsidRDefault="000142EE">
            <w:pPr>
              <w:tabs>
                <w:tab w:val="left" w:pos="426"/>
              </w:tabs>
              <w:spacing w:line="360" w:lineRule="auto"/>
              <w:ind w:right="36"/>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Pr>
                <w:rFonts w:ascii="Arial" w:eastAsia="Arial" w:hAnsi="Arial" w:cs="Arial"/>
              </w:rPr>
              <w:t>El Bunker Político</w:t>
            </w:r>
          </w:p>
        </w:tc>
        <w:tc>
          <w:tcPr>
            <w:tcW w:w="3052" w:type="dxa"/>
          </w:tcPr>
          <w:p w14:paraId="143845F0" w14:textId="77777777" w:rsidR="00B14497" w:rsidRDefault="000142EE">
            <w:pPr>
              <w:tabs>
                <w:tab w:val="left" w:pos="426"/>
              </w:tabs>
              <w:spacing w:line="360" w:lineRule="auto"/>
              <w:ind w:right="36"/>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Pr>
                <w:noProof/>
              </w:rPr>
              <w:drawing>
                <wp:inline distT="0" distB="0" distL="0" distR="0" wp14:anchorId="2312EF0E" wp14:editId="2869B285">
                  <wp:extent cx="1780990" cy="1499302"/>
                  <wp:effectExtent l="0" t="0" r="0" b="0"/>
                  <wp:docPr id="324" name="image19.png"/>
                  <wp:cNvGraphicFramePr/>
                  <a:graphic xmlns:a="http://schemas.openxmlformats.org/drawingml/2006/main">
                    <a:graphicData uri="http://schemas.openxmlformats.org/drawingml/2006/picture">
                      <pic:pic xmlns:pic="http://schemas.openxmlformats.org/drawingml/2006/picture">
                        <pic:nvPicPr>
                          <pic:cNvPr id="0" name="image19.png"/>
                          <pic:cNvPicPr preferRelativeResize="0"/>
                        </pic:nvPicPr>
                        <pic:blipFill>
                          <a:blip r:embed="rId16"/>
                          <a:srcRect l="61782" t="36912" r="11042" b="22408"/>
                          <a:stretch>
                            <a:fillRect/>
                          </a:stretch>
                        </pic:blipFill>
                        <pic:spPr>
                          <a:xfrm>
                            <a:off x="0" y="0"/>
                            <a:ext cx="1780990" cy="1499302"/>
                          </a:xfrm>
                          <a:prstGeom prst="rect">
                            <a:avLst/>
                          </a:prstGeom>
                          <a:ln/>
                        </pic:spPr>
                      </pic:pic>
                    </a:graphicData>
                  </a:graphic>
                </wp:inline>
              </w:drawing>
            </w:r>
          </w:p>
        </w:tc>
      </w:tr>
      <w:tr w:rsidR="00B14497" w14:paraId="0CEAB3A9" w14:textId="77777777" w:rsidTr="00B144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1F42AB7D" w14:textId="77777777" w:rsidR="00B14497" w:rsidRDefault="000142EE">
            <w:pPr>
              <w:tabs>
                <w:tab w:val="left" w:pos="426"/>
              </w:tabs>
              <w:spacing w:line="360" w:lineRule="auto"/>
              <w:ind w:right="36"/>
              <w:jc w:val="center"/>
              <w:rPr>
                <w:rFonts w:ascii="Arial" w:eastAsia="Arial" w:hAnsi="Arial" w:cs="Arial"/>
              </w:rPr>
            </w:pPr>
            <w:r>
              <w:rPr>
                <w:rFonts w:ascii="Arial" w:eastAsia="Arial" w:hAnsi="Arial" w:cs="Arial"/>
              </w:rPr>
              <w:t>9</w:t>
            </w:r>
          </w:p>
        </w:tc>
        <w:tc>
          <w:tcPr>
            <w:tcW w:w="1984" w:type="dxa"/>
          </w:tcPr>
          <w:p w14:paraId="5BB98DA9" w14:textId="77777777" w:rsidR="00B14497" w:rsidRDefault="000142EE">
            <w:pPr>
              <w:tabs>
                <w:tab w:val="left" w:pos="426"/>
              </w:tabs>
              <w:spacing w:line="360" w:lineRule="auto"/>
              <w:ind w:right="36"/>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rPr>
            </w:pPr>
            <w:r>
              <w:rPr>
                <w:rFonts w:ascii="Arial" w:eastAsia="Arial" w:hAnsi="Arial" w:cs="Arial"/>
              </w:rPr>
              <w:t>23 de marzo de 2022</w:t>
            </w:r>
          </w:p>
        </w:tc>
        <w:tc>
          <w:tcPr>
            <w:tcW w:w="1701" w:type="dxa"/>
          </w:tcPr>
          <w:p w14:paraId="787C6F86" w14:textId="77777777" w:rsidR="00B14497" w:rsidRDefault="000142EE">
            <w:pPr>
              <w:tabs>
                <w:tab w:val="left" w:pos="426"/>
              </w:tabs>
              <w:spacing w:line="360" w:lineRule="auto"/>
              <w:ind w:right="36"/>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rPr>
            </w:pPr>
            <w:r>
              <w:rPr>
                <w:rFonts w:ascii="Arial" w:eastAsia="Arial" w:hAnsi="Arial" w:cs="Arial"/>
              </w:rPr>
              <w:t>i)</w:t>
            </w:r>
          </w:p>
        </w:tc>
        <w:tc>
          <w:tcPr>
            <w:tcW w:w="1701" w:type="dxa"/>
          </w:tcPr>
          <w:p w14:paraId="58CF4D6E" w14:textId="77777777" w:rsidR="00B14497" w:rsidRDefault="000142EE">
            <w:pPr>
              <w:tabs>
                <w:tab w:val="left" w:pos="426"/>
              </w:tabs>
              <w:spacing w:line="360" w:lineRule="auto"/>
              <w:ind w:right="36"/>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rPr>
            </w:pPr>
            <w:r>
              <w:rPr>
                <w:rFonts w:ascii="Arial" w:eastAsia="Arial" w:hAnsi="Arial" w:cs="Arial"/>
              </w:rPr>
              <w:t>*Fue publicada en el perfil de la propia empresa encuestadora</w:t>
            </w:r>
          </w:p>
        </w:tc>
        <w:tc>
          <w:tcPr>
            <w:tcW w:w="3052" w:type="dxa"/>
          </w:tcPr>
          <w:p w14:paraId="23DA6894" w14:textId="77777777" w:rsidR="00B14497" w:rsidRDefault="000142EE">
            <w:pPr>
              <w:tabs>
                <w:tab w:val="left" w:pos="426"/>
              </w:tabs>
              <w:spacing w:line="360" w:lineRule="auto"/>
              <w:ind w:right="36"/>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rPr>
            </w:pPr>
            <w:r>
              <w:rPr>
                <w:noProof/>
              </w:rPr>
              <w:drawing>
                <wp:inline distT="0" distB="0" distL="0" distR="0" wp14:anchorId="79F26843" wp14:editId="6396CB46">
                  <wp:extent cx="1793784" cy="1440908"/>
                  <wp:effectExtent l="0" t="0" r="0" b="0"/>
                  <wp:docPr id="323"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7"/>
                          <a:srcRect l="61562" t="33032" r="11428" b="28389"/>
                          <a:stretch>
                            <a:fillRect/>
                          </a:stretch>
                        </pic:blipFill>
                        <pic:spPr>
                          <a:xfrm>
                            <a:off x="0" y="0"/>
                            <a:ext cx="1793784" cy="1440908"/>
                          </a:xfrm>
                          <a:prstGeom prst="rect">
                            <a:avLst/>
                          </a:prstGeom>
                          <a:ln/>
                        </pic:spPr>
                      </pic:pic>
                    </a:graphicData>
                  </a:graphic>
                </wp:inline>
              </w:drawing>
            </w:r>
          </w:p>
        </w:tc>
      </w:tr>
      <w:tr w:rsidR="00B14497" w14:paraId="41BA44C5" w14:textId="77777777" w:rsidTr="00B14497">
        <w:tc>
          <w:tcPr>
            <w:cnfStyle w:val="001000000000" w:firstRow="0" w:lastRow="0" w:firstColumn="1" w:lastColumn="0" w:oddVBand="0" w:evenVBand="0" w:oddHBand="0" w:evenHBand="0" w:firstRowFirstColumn="0" w:firstRowLastColumn="0" w:lastRowFirstColumn="0" w:lastRowLastColumn="0"/>
            <w:tcW w:w="1276" w:type="dxa"/>
          </w:tcPr>
          <w:p w14:paraId="22FB0F39" w14:textId="77777777" w:rsidR="00B14497" w:rsidRDefault="000142EE">
            <w:pPr>
              <w:tabs>
                <w:tab w:val="left" w:pos="426"/>
              </w:tabs>
              <w:spacing w:line="360" w:lineRule="auto"/>
              <w:ind w:right="36"/>
              <w:jc w:val="center"/>
              <w:rPr>
                <w:rFonts w:ascii="Arial" w:eastAsia="Arial" w:hAnsi="Arial" w:cs="Arial"/>
              </w:rPr>
            </w:pPr>
            <w:r>
              <w:rPr>
                <w:rFonts w:ascii="Arial" w:eastAsia="Arial" w:hAnsi="Arial" w:cs="Arial"/>
              </w:rPr>
              <w:t>10</w:t>
            </w:r>
          </w:p>
        </w:tc>
        <w:tc>
          <w:tcPr>
            <w:tcW w:w="1984" w:type="dxa"/>
          </w:tcPr>
          <w:p w14:paraId="1483B35C" w14:textId="77777777" w:rsidR="00B14497" w:rsidRDefault="000142EE">
            <w:pPr>
              <w:tabs>
                <w:tab w:val="left" w:pos="426"/>
              </w:tabs>
              <w:spacing w:line="360" w:lineRule="auto"/>
              <w:ind w:right="36"/>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Pr>
                <w:rFonts w:ascii="Arial" w:eastAsia="Arial" w:hAnsi="Arial" w:cs="Arial"/>
              </w:rPr>
              <w:t>31 de marzo de 2022</w:t>
            </w:r>
          </w:p>
        </w:tc>
        <w:tc>
          <w:tcPr>
            <w:tcW w:w="1701" w:type="dxa"/>
          </w:tcPr>
          <w:p w14:paraId="1B848600" w14:textId="77777777" w:rsidR="00B14497" w:rsidRDefault="000142EE">
            <w:pPr>
              <w:tabs>
                <w:tab w:val="left" w:pos="426"/>
              </w:tabs>
              <w:spacing w:line="360" w:lineRule="auto"/>
              <w:ind w:right="36"/>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Pr>
                <w:rFonts w:ascii="Arial" w:eastAsia="Arial" w:hAnsi="Arial" w:cs="Arial"/>
              </w:rPr>
              <w:t>j)</w:t>
            </w:r>
          </w:p>
        </w:tc>
        <w:tc>
          <w:tcPr>
            <w:tcW w:w="1701" w:type="dxa"/>
          </w:tcPr>
          <w:p w14:paraId="46155C9B" w14:textId="77777777" w:rsidR="00B14497" w:rsidRDefault="000142EE">
            <w:pPr>
              <w:tabs>
                <w:tab w:val="left" w:pos="426"/>
              </w:tabs>
              <w:spacing w:line="360" w:lineRule="auto"/>
              <w:ind w:right="36"/>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Pr>
                <w:rFonts w:ascii="Arial" w:eastAsia="Arial" w:hAnsi="Arial" w:cs="Arial"/>
              </w:rPr>
              <w:t>El Bunker Político</w:t>
            </w:r>
          </w:p>
        </w:tc>
        <w:tc>
          <w:tcPr>
            <w:tcW w:w="3052" w:type="dxa"/>
          </w:tcPr>
          <w:p w14:paraId="3C8E7F66" w14:textId="77777777" w:rsidR="00B14497" w:rsidRDefault="000142EE">
            <w:pPr>
              <w:tabs>
                <w:tab w:val="left" w:pos="426"/>
              </w:tabs>
              <w:spacing w:line="360" w:lineRule="auto"/>
              <w:ind w:right="36"/>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Pr>
                <w:noProof/>
              </w:rPr>
              <w:drawing>
                <wp:inline distT="0" distB="0" distL="0" distR="0" wp14:anchorId="2B011CDD" wp14:editId="64BD1B5B">
                  <wp:extent cx="1785530" cy="1220792"/>
                  <wp:effectExtent l="0" t="0" r="0" b="0"/>
                  <wp:docPr id="327"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8"/>
                          <a:srcRect l="60995" t="36294" r="10226" b="28717"/>
                          <a:stretch>
                            <a:fillRect/>
                          </a:stretch>
                        </pic:blipFill>
                        <pic:spPr>
                          <a:xfrm>
                            <a:off x="0" y="0"/>
                            <a:ext cx="1785530" cy="1220792"/>
                          </a:xfrm>
                          <a:prstGeom prst="rect">
                            <a:avLst/>
                          </a:prstGeom>
                          <a:ln/>
                        </pic:spPr>
                      </pic:pic>
                    </a:graphicData>
                  </a:graphic>
                </wp:inline>
              </w:drawing>
            </w:r>
          </w:p>
        </w:tc>
      </w:tr>
      <w:tr w:rsidR="00B14497" w14:paraId="058FA95F" w14:textId="77777777" w:rsidTr="00B144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21ED15CE" w14:textId="77777777" w:rsidR="00B14497" w:rsidRDefault="000142EE">
            <w:pPr>
              <w:tabs>
                <w:tab w:val="left" w:pos="426"/>
              </w:tabs>
              <w:spacing w:line="360" w:lineRule="auto"/>
              <w:ind w:right="36"/>
              <w:jc w:val="center"/>
              <w:rPr>
                <w:rFonts w:ascii="Arial" w:eastAsia="Arial" w:hAnsi="Arial" w:cs="Arial"/>
              </w:rPr>
            </w:pPr>
            <w:r>
              <w:rPr>
                <w:rFonts w:ascii="Arial" w:eastAsia="Arial" w:hAnsi="Arial" w:cs="Arial"/>
              </w:rPr>
              <w:t>11</w:t>
            </w:r>
          </w:p>
        </w:tc>
        <w:tc>
          <w:tcPr>
            <w:tcW w:w="1984" w:type="dxa"/>
          </w:tcPr>
          <w:p w14:paraId="1F6A4A51" w14:textId="77777777" w:rsidR="00B14497" w:rsidRDefault="000142EE">
            <w:pPr>
              <w:tabs>
                <w:tab w:val="left" w:pos="426"/>
              </w:tabs>
              <w:spacing w:line="360" w:lineRule="auto"/>
              <w:ind w:right="36"/>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rPr>
            </w:pPr>
            <w:r>
              <w:rPr>
                <w:rFonts w:ascii="Arial" w:eastAsia="Arial" w:hAnsi="Arial" w:cs="Arial"/>
              </w:rPr>
              <w:t>5 de abril de 2022</w:t>
            </w:r>
          </w:p>
        </w:tc>
        <w:tc>
          <w:tcPr>
            <w:tcW w:w="1701" w:type="dxa"/>
          </w:tcPr>
          <w:p w14:paraId="4BB1CE08" w14:textId="77777777" w:rsidR="00B14497" w:rsidRDefault="000142EE">
            <w:pPr>
              <w:tabs>
                <w:tab w:val="left" w:pos="426"/>
              </w:tabs>
              <w:spacing w:line="360" w:lineRule="auto"/>
              <w:ind w:right="36"/>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rPr>
            </w:pPr>
            <w:r>
              <w:rPr>
                <w:rFonts w:ascii="Arial" w:eastAsia="Arial" w:hAnsi="Arial" w:cs="Arial"/>
              </w:rPr>
              <w:t>k)</w:t>
            </w:r>
          </w:p>
        </w:tc>
        <w:tc>
          <w:tcPr>
            <w:tcW w:w="1701" w:type="dxa"/>
          </w:tcPr>
          <w:p w14:paraId="7F39E31E" w14:textId="77777777" w:rsidR="00B14497" w:rsidRDefault="000142EE">
            <w:pPr>
              <w:tabs>
                <w:tab w:val="left" w:pos="426"/>
              </w:tabs>
              <w:spacing w:line="360" w:lineRule="auto"/>
              <w:ind w:right="36"/>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rPr>
            </w:pPr>
            <w:r>
              <w:rPr>
                <w:rFonts w:ascii="Arial" w:eastAsia="Arial" w:hAnsi="Arial" w:cs="Arial"/>
              </w:rPr>
              <w:t>El Bunker Político</w:t>
            </w:r>
          </w:p>
        </w:tc>
        <w:tc>
          <w:tcPr>
            <w:tcW w:w="3052" w:type="dxa"/>
          </w:tcPr>
          <w:p w14:paraId="6ACAEA69" w14:textId="77777777" w:rsidR="00B14497" w:rsidRDefault="000142EE">
            <w:pPr>
              <w:tabs>
                <w:tab w:val="left" w:pos="426"/>
              </w:tabs>
              <w:spacing w:line="360" w:lineRule="auto"/>
              <w:ind w:right="36"/>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rPr>
            </w:pPr>
            <w:r>
              <w:rPr>
                <w:noProof/>
              </w:rPr>
              <w:drawing>
                <wp:inline distT="0" distB="0" distL="0" distR="0" wp14:anchorId="45CF606E" wp14:editId="3FB324CB">
                  <wp:extent cx="1776329" cy="1560422"/>
                  <wp:effectExtent l="0" t="0" r="0" b="0"/>
                  <wp:docPr id="325"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9"/>
                          <a:srcRect l="62645" t="38978" r="11759" b="21045"/>
                          <a:stretch>
                            <a:fillRect/>
                          </a:stretch>
                        </pic:blipFill>
                        <pic:spPr>
                          <a:xfrm>
                            <a:off x="0" y="0"/>
                            <a:ext cx="1776329" cy="1560422"/>
                          </a:xfrm>
                          <a:prstGeom prst="rect">
                            <a:avLst/>
                          </a:prstGeom>
                          <a:ln/>
                        </pic:spPr>
                      </pic:pic>
                    </a:graphicData>
                  </a:graphic>
                </wp:inline>
              </w:drawing>
            </w:r>
          </w:p>
        </w:tc>
      </w:tr>
      <w:tr w:rsidR="00B14497" w14:paraId="705510E4" w14:textId="77777777" w:rsidTr="00B14497">
        <w:tc>
          <w:tcPr>
            <w:cnfStyle w:val="001000000000" w:firstRow="0" w:lastRow="0" w:firstColumn="1" w:lastColumn="0" w:oddVBand="0" w:evenVBand="0" w:oddHBand="0" w:evenHBand="0" w:firstRowFirstColumn="0" w:firstRowLastColumn="0" w:lastRowFirstColumn="0" w:lastRowLastColumn="0"/>
            <w:tcW w:w="1276" w:type="dxa"/>
          </w:tcPr>
          <w:p w14:paraId="7361524A" w14:textId="77777777" w:rsidR="00B14497" w:rsidRDefault="000142EE">
            <w:pPr>
              <w:tabs>
                <w:tab w:val="left" w:pos="426"/>
              </w:tabs>
              <w:spacing w:line="360" w:lineRule="auto"/>
              <w:ind w:right="36"/>
              <w:jc w:val="center"/>
              <w:rPr>
                <w:rFonts w:ascii="Arial" w:eastAsia="Arial" w:hAnsi="Arial" w:cs="Arial"/>
              </w:rPr>
            </w:pPr>
            <w:r>
              <w:rPr>
                <w:rFonts w:ascii="Arial" w:eastAsia="Arial" w:hAnsi="Arial" w:cs="Arial"/>
              </w:rPr>
              <w:t>12</w:t>
            </w:r>
          </w:p>
        </w:tc>
        <w:tc>
          <w:tcPr>
            <w:tcW w:w="1984" w:type="dxa"/>
          </w:tcPr>
          <w:p w14:paraId="779EC43C" w14:textId="77777777" w:rsidR="00B14497" w:rsidRDefault="000142EE">
            <w:pPr>
              <w:tabs>
                <w:tab w:val="left" w:pos="426"/>
              </w:tabs>
              <w:spacing w:line="360" w:lineRule="auto"/>
              <w:ind w:right="36"/>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Pr>
                <w:rFonts w:ascii="Arial" w:eastAsia="Arial" w:hAnsi="Arial" w:cs="Arial"/>
              </w:rPr>
              <w:t>8 de abril de 2022</w:t>
            </w:r>
          </w:p>
        </w:tc>
        <w:tc>
          <w:tcPr>
            <w:tcW w:w="1701" w:type="dxa"/>
          </w:tcPr>
          <w:p w14:paraId="20DB2C9B" w14:textId="77777777" w:rsidR="00B14497" w:rsidRDefault="000142EE">
            <w:pPr>
              <w:tabs>
                <w:tab w:val="left" w:pos="426"/>
              </w:tabs>
              <w:spacing w:line="360" w:lineRule="auto"/>
              <w:ind w:right="36"/>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Pr>
                <w:rFonts w:ascii="Arial" w:eastAsia="Arial" w:hAnsi="Arial" w:cs="Arial"/>
              </w:rPr>
              <w:t>l)</w:t>
            </w:r>
          </w:p>
        </w:tc>
        <w:tc>
          <w:tcPr>
            <w:tcW w:w="1701" w:type="dxa"/>
          </w:tcPr>
          <w:p w14:paraId="134B0510" w14:textId="77777777" w:rsidR="00B14497" w:rsidRDefault="000142EE">
            <w:pPr>
              <w:tabs>
                <w:tab w:val="left" w:pos="426"/>
              </w:tabs>
              <w:spacing w:line="360" w:lineRule="auto"/>
              <w:ind w:right="36"/>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Pr>
                <w:rFonts w:ascii="Arial" w:eastAsia="Arial" w:hAnsi="Arial" w:cs="Arial"/>
              </w:rPr>
              <w:t>*Fue publicada en el perfil de la propia empresa encuestadora</w:t>
            </w:r>
          </w:p>
        </w:tc>
        <w:tc>
          <w:tcPr>
            <w:tcW w:w="3052" w:type="dxa"/>
          </w:tcPr>
          <w:p w14:paraId="400DE69E" w14:textId="77777777" w:rsidR="00B14497" w:rsidRDefault="000142EE">
            <w:pPr>
              <w:tabs>
                <w:tab w:val="left" w:pos="426"/>
              </w:tabs>
              <w:spacing w:line="360" w:lineRule="auto"/>
              <w:ind w:right="36"/>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Pr>
                <w:noProof/>
              </w:rPr>
              <w:drawing>
                <wp:inline distT="0" distB="0" distL="0" distR="0" wp14:anchorId="56974880" wp14:editId="04C53EA7">
                  <wp:extent cx="1798362" cy="1508969"/>
                  <wp:effectExtent l="0" t="0" r="0" b="0"/>
                  <wp:docPr id="326" name="image18.png"/>
                  <wp:cNvGraphicFramePr/>
                  <a:graphic xmlns:a="http://schemas.openxmlformats.org/drawingml/2006/main">
                    <a:graphicData uri="http://schemas.openxmlformats.org/drawingml/2006/picture">
                      <pic:pic xmlns:pic="http://schemas.openxmlformats.org/drawingml/2006/picture">
                        <pic:nvPicPr>
                          <pic:cNvPr id="0" name="image18.png"/>
                          <pic:cNvPicPr preferRelativeResize="0"/>
                        </pic:nvPicPr>
                        <pic:blipFill>
                          <a:blip r:embed="rId20"/>
                          <a:srcRect l="63321" t="42885" r="12926" b="21676"/>
                          <a:stretch>
                            <a:fillRect/>
                          </a:stretch>
                        </pic:blipFill>
                        <pic:spPr>
                          <a:xfrm>
                            <a:off x="0" y="0"/>
                            <a:ext cx="1798362" cy="1508969"/>
                          </a:xfrm>
                          <a:prstGeom prst="rect">
                            <a:avLst/>
                          </a:prstGeom>
                          <a:ln/>
                        </pic:spPr>
                      </pic:pic>
                    </a:graphicData>
                  </a:graphic>
                </wp:inline>
              </w:drawing>
            </w:r>
          </w:p>
        </w:tc>
      </w:tr>
      <w:tr w:rsidR="00B14497" w14:paraId="0761223F" w14:textId="77777777" w:rsidTr="00B144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0A75DE56" w14:textId="77777777" w:rsidR="00B14497" w:rsidRDefault="000142EE">
            <w:pPr>
              <w:tabs>
                <w:tab w:val="left" w:pos="426"/>
              </w:tabs>
              <w:spacing w:line="360" w:lineRule="auto"/>
              <w:ind w:right="36"/>
              <w:jc w:val="center"/>
              <w:rPr>
                <w:rFonts w:ascii="Arial" w:eastAsia="Arial" w:hAnsi="Arial" w:cs="Arial"/>
              </w:rPr>
            </w:pPr>
            <w:r>
              <w:rPr>
                <w:rFonts w:ascii="Arial" w:eastAsia="Arial" w:hAnsi="Arial" w:cs="Arial"/>
              </w:rPr>
              <w:t>13</w:t>
            </w:r>
          </w:p>
        </w:tc>
        <w:tc>
          <w:tcPr>
            <w:tcW w:w="1984" w:type="dxa"/>
          </w:tcPr>
          <w:p w14:paraId="66DF451C" w14:textId="77777777" w:rsidR="00B14497" w:rsidRDefault="000142EE">
            <w:pPr>
              <w:tabs>
                <w:tab w:val="left" w:pos="426"/>
              </w:tabs>
              <w:spacing w:line="360" w:lineRule="auto"/>
              <w:ind w:right="36"/>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rPr>
            </w:pPr>
            <w:r>
              <w:rPr>
                <w:rFonts w:ascii="Arial" w:eastAsia="Arial" w:hAnsi="Arial" w:cs="Arial"/>
              </w:rPr>
              <w:t>22 de abril de 2022</w:t>
            </w:r>
          </w:p>
        </w:tc>
        <w:tc>
          <w:tcPr>
            <w:tcW w:w="1701" w:type="dxa"/>
          </w:tcPr>
          <w:p w14:paraId="1E6B2209" w14:textId="77777777" w:rsidR="00B14497" w:rsidRDefault="000142EE">
            <w:pPr>
              <w:tabs>
                <w:tab w:val="left" w:pos="426"/>
              </w:tabs>
              <w:spacing w:line="360" w:lineRule="auto"/>
              <w:ind w:right="36"/>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rPr>
            </w:pPr>
            <w:r>
              <w:rPr>
                <w:rFonts w:ascii="Arial" w:eastAsia="Arial" w:hAnsi="Arial" w:cs="Arial"/>
              </w:rPr>
              <w:t>m)</w:t>
            </w:r>
          </w:p>
        </w:tc>
        <w:tc>
          <w:tcPr>
            <w:tcW w:w="1701" w:type="dxa"/>
          </w:tcPr>
          <w:p w14:paraId="0F05651A" w14:textId="77777777" w:rsidR="00B14497" w:rsidRDefault="000142EE">
            <w:pPr>
              <w:tabs>
                <w:tab w:val="left" w:pos="426"/>
              </w:tabs>
              <w:spacing w:line="360" w:lineRule="auto"/>
              <w:ind w:right="36"/>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rPr>
            </w:pPr>
            <w:r>
              <w:rPr>
                <w:rFonts w:ascii="Arial" w:eastAsia="Arial" w:hAnsi="Arial" w:cs="Arial"/>
              </w:rPr>
              <w:t>El Bunker Político</w:t>
            </w:r>
          </w:p>
        </w:tc>
        <w:tc>
          <w:tcPr>
            <w:tcW w:w="3052" w:type="dxa"/>
          </w:tcPr>
          <w:p w14:paraId="5D0441E7" w14:textId="77777777" w:rsidR="00B14497" w:rsidRDefault="000142EE">
            <w:pPr>
              <w:tabs>
                <w:tab w:val="left" w:pos="426"/>
              </w:tabs>
              <w:spacing w:line="360" w:lineRule="auto"/>
              <w:ind w:right="36"/>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rPr>
            </w:pPr>
            <w:r>
              <w:rPr>
                <w:noProof/>
              </w:rPr>
              <w:drawing>
                <wp:inline distT="0" distB="0" distL="0" distR="0" wp14:anchorId="1E015294" wp14:editId="33C9BD4D">
                  <wp:extent cx="1795316" cy="1220117"/>
                  <wp:effectExtent l="0" t="0" r="0" b="0"/>
                  <wp:docPr id="328"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21"/>
                          <a:srcRect l="60618" t="34971" r="7766" b="26822"/>
                          <a:stretch>
                            <a:fillRect/>
                          </a:stretch>
                        </pic:blipFill>
                        <pic:spPr>
                          <a:xfrm>
                            <a:off x="0" y="0"/>
                            <a:ext cx="1795316" cy="1220117"/>
                          </a:xfrm>
                          <a:prstGeom prst="rect">
                            <a:avLst/>
                          </a:prstGeom>
                          <a:ln/>
                        </pic:spPr>
                      </pic:pic>
                    </a:graphicData>
                  </a:graphic>
                </wp:inline>
              </w:drawing>
            </w:r>
          </w:p>
        </w:tc>
      </w:tr>
      <w:tr w:rsidR="00B14497" w14:paraId="308CCAFF" w14:textId="77777777" w:rsidTr="00B14497">
        <w:tc>
          <w:tcPr>
            <w:cnfStyle w:val="001000000000" w:firstRow="0" w:lastRow="0" w:firstColumn="1" w:lastColumn="0" w:oddVBand="0" w:evenVBand="0" w:oddHBand="0" w:evenHBand="0" w:firstRowFirstColumn="0" w:firstRowLastColumn="0" w:lastRowFirstColumn="0" w:lastRowLastColumn="0"/>
            <w:tcW w:w="1276" w:type="dxa"/>
          </w:tcPr>
          <w:p w14:paraId="346B90DF" w14:textId="77777777" w:rsidR="00B14497" w:rsidRDefault="000142EE">
            <w:pPr>
              <w:tabs>
                <w:tab w:val="left" w:pos="426"/>
              </w:tabs>
              <w:spacing w:line="360" w:lineRule="auto"/>
              <w:ind w:right="36"/>
              <w:jc w:val="center"/>
              <w:rPr>
                <w:rFonts w:ascii="Arial" w:eastAsia="Arial" w:hAnsi="Arial" w:cs="Arial"/>
              </w:rPr>
            </w:pPr>
            <w:r>
              <w:rPr>
                <w:rFonts w:ascii="Arial" w:eastAsia="Arial" w:hAnsi="Arial" w:cs="Arial"/>
              </w:rPr>
              <w:t>14</w:t>
            </w:r>
          </w:p>
        </w:tc>
        <w:tc>
          <w:tcPr>
            <w:tcW w:w="1984" w:type="dxa"/>
          </w:tcPr>
          <w:p w14:paraId="1DA18784" w14:textId="77777777" w:rsidR="00B14497" w:rsidRDefault="000142EE">
            <w:pPr>
              <w:tabs>
                <w:tab w:val="left" w:pos="426"/>
              </w:tabs>
              <w:spacing w:line="360" w:lineRule="auto"/>
              <w:ind w:right="36"/>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Pr>
                <w:rFonts w:ascii="Arial" w:eastAsia="Arial" w:hAnsi="Arial" w:cs="Arial"/>
              </w:rPr>
              <w:t>29 de abril de 2022</w:t>
            </w:r>
          </w:p>
        </w:tc>
        <w:tc>
          <w:tcPr>
            <w:tcW w:w="1701" w:type="dxa"/>
          </w:tcPr>
          <w:p w14:paraId="58D897E3" w14:textId="77777777" w:rsidR="00B14497" w:rsidRDefault="000142EE">
            <w:pPr>
              <w:tabs>
                <w:tab w:val="left" w:pos="426"/>
              </w:tabs>
              <w:spacing w:line="360" w:lineRule="auto"/>
              <w:ind w:right="36"/>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Pr>
                <w:rFonts w:ascii="Arial" w:eastAsia="Arial" w:hAnsi="Arial" w:cs="Arial"/>
              </w:rPr>
              <w:t>n)</w:t>
            </w:r>
          </w:p>
        </w:tc>
        <w:tc>
          <w:tcPr>
            <w:tcW w:w="1701" w:type="dxa"/>
          </w:tcPr>
          <w:p w14:paraId="0847BD81" w14:textId="77777777" w:rsidR="00B14497" w:rsidRDefault="000142EE">
            <w:pPr>
              <w:tabs>
                <w:tab w:val="left" w:pos="426"/>
              </w:tabs>
              <w:spacing w:line="360" w:lineRule="auto"/>
              <w:ind w:right="36"/>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Pr>
                <w:rFonts w:ascii="Arial" w:eastAsia="Arial" w:hAnsi="Arial" w:cs="Arial"/>
              </w:rPr>
              <w:t>El Bunker Político</w:t>
            </w:r>
          </w:p>
        </w:tc>
        <w:tc>
          <w:tcPr>
            <w:tcW w:w="3052" w:type="dxa"/>
          </w:tcPr>
          <w:p w14:paraId="433DAFC4" w14:textId="77777777" w:rsidR="00B14497" w:rsidRDefault="000142EE">
            <w:pPr>
              <w:tabs>
                <w:tab w:val="left" w:pos="426"/>
              </w:tabs>
              <w:spacing w:line="360" w:lineRule="auto"/>
              <w:ind w:right="36"/>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Pr>
                <w:noProof/>
              </w:rPr>
              <w:drawing>
                <wp:inline distT="0" distB="0" distL="0" distR="0" wp14:anchorId="5D6FFC07" wp14:editId="2C247634">
                  <wp:extent cx="1782435" cy="1282489"/>
                  <wp:effectExtent l="0" t="0" r="0" b="0"/>
                  <wp:docPr id="329"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22"/>
                          <a:srcRect l="61642" t="38991" r="11064" b="26087"/>
                          <a:stretch>
                            <a:fillRect/>
                          </a:stretch>
                        </pic:blipFill>
                        <pic:spPr>
                          <a:xfrm>
                            <a:off x="0" y="0"/>
                            <a:ext cx="1782435" cy="1282489"/>
                          </a:xfrm>
                          <a:prstGeom prst="rect">
                            <a:avLst/>
                          </a:prstGeom>
                          <a:ln/>
                        </pic:spPr>
                      </pic:pic>
                    </a:graphicData>
                  </a:graphic>
                </wp:inline>
              </w:drawing>
            </w:r>
          </w:p>
        </w:tc>
      </w:tr>
      <w:tr w:rsidR="00B14497" w14:paraId="59F06328" w14:textId="77777777" w:rsidTr="00B144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2454557B" w14:textId="77777777" w:rsidR="00B14497" w:rsidRDefault="000142EE">
            <w:pPr>
              <w:tabs>
                <w:tab w:val="left" w:pos="426"/>
              </w:tabs>
              <w:spacing w:line="360" w:lineRule="auto"/>
              <w:ind w:right="36"/>
              <w:jc w:val="center"/>
              <w:rPr>
                <w:rFonts w:ascii="Arial" w:eastAsia="Arial" w:hAnsi="Arial" w:cs="Arial"/>
              </w:rPr>
            </w:pPr>
            <w:r>
              <w:rPr>
                <w:rFonts w:ascii="Arial" w:eastAsia="Arial" w:hAnsi="Arial" w:cs="Arial"/>
              </w:rPr>
              <w:lastRenderedPageBreak/>
              <w:t>15</w:t>
            </w:r>
          </w:p>
        </w:tc>
        <w:tc>
          <w:tcPr>
            <w:tcW w:w="1984" w:type="dxa"/>
          </w:tcPr>
          <w:p w14:paraId="5260160A" w14:textId="77777777" w:rsidR="00B14497" w:rsidRDefault="000142EE">
            <w:pPr>
              <w:tabs>
                <w:tab w:val="left" w:pos="426"/>
              </w:tabs>
              <w:spacing w:line="360" w:lineRule="auto"/>
              <w:ind w:right="36"/>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rPr>
            </w:pPr>
            <w:r>
              <w:rPr>
                <w:rFonts w:ascii="Arial" w:eastAsia="Arial" w:hAnsi="Arial" w:cs="Arial"/>
              </w:rPr>
              <w:t>5 de mayo de 2022</w:t>
            </w:r>
          </w:p>
        </w:tc>
        <w:tc>
          <w:tcPr>
            <w:tcW w:w="1701" w:type="dxa"/>
          </w:tcPr>
          <w:p w14:paraId="4B3A6CFA" w14:textId="77777777" w:rsidR="00B14497" w:rsidRDefault="000142EE">
            <w:pPr>
              <w:tabs>
                <w:tab w:val="left" w:pos="426"/>
              </w:tabs>
              <w:spacing w:line="360" w:lineRule="auto"/>
              <w:ind w:right="36"/>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rPr>
            </w:pPr>
            <w:r>
              <w:rPr>
                <w:rFonts w:ascii="Arial" w:eastAsia="Arial" w:hAnsi="Arial" w:cs="Arial"/>
              </w:rPr>
              <w:t>o)</w:t>
            </w:r>
          </w:p>
        </w:tc>
        <w:tc>
          <w:tcPr>
            <w:tcW w:w="1701" w:type="dxa"/>
          </w:tcPr>
          <w:p w14:paraId="1B738984" w14:textId="77777777" w:rsidR="00B14497" w:rsidRDefault="000142EE">
            <w:pPr>
              <w:tabs>
                <w:tab w:val="left" w:pos="426"/>
              </w:tabs>
              <w:spacing w:line="360" w:lineRule="auto"/>
              <w:ind w:right="36"/>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rPr>
            </w:pPr>
            <w:r>
              <w:rPr>
                <w:rFonts w:ascii="Arial" w:eastAsia="Arial" w:hAnsi="Arial" w:cs="Arial"/>
              </w:rPr>
              <w:t>*Fue publicada en el perfil de la propia empresa encuestadora</w:t>
            </w:r>
          </w:p>
        </w:tc>
        <w:tc>
          <w:tcPr>
            <w:tcW w:w="3052" w:type="dxa"/>
          </w:tcPr>
          <w:p w14:paraId="3A6F4680" w14:textId="77777777" w:rsidR="00B14497" w:rsidRDefault="000142EE">
            <w:pPr>
              <w:tabs>
                <w:tab w:val="left" w:pos="426"/>
              </w:tabs>
              <w:spacing w:line="360" w:lineRule="auto"/>
              <w:ind w:right="36"/>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rPr>
            </w:pPr>
            <w:r>
              <w:rPr>
                <w:noProof/>
              </w:rPr>
              <w:drawing>
                <wp:inline distT="0" distB="0" distL="0" distR="0" wp14:anchorId="0DD784AE" wp14:editId="2009CE3F">
                  <wp:extent cx="1746538" cy="1427374"/>
                  <wp:effectExtent l="0" t="0" r="0" b="0"/>
                  <wp:docPr id="330"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23"/>
                          <a:srcRect l="61191" t="29763" r="10600" b="29246"/>
                          <a:stretch>
                            <a:fillRect/>
                          </a:stretch>
                        </pic:blipFill>
                        <pic:spPr>
                          <a:xfrm>
                            <a:off x="0" y="0"/>
                            <a:ext cx="1746538" cy="1427374"/>
                          </a:xfrm>
                          <a:prstGeom prst="rect">
                            <a:avLst/>
                          </a:prstGeom>
                          <a:ln/>
                        </pic:spPr>
                      </pic:pic>
                    </a:graphicData>
                  </a:graphic>
                </wp:inline>
              </w:drawing>
            </w:r>
          </w:p>
        </w:tc>
      </w:tr>
      <w:tr w:rsidR="00B14497" w14:paraId="12346F68" w14:textId="77777777" w:rsidTr="00B14497">
        <w:tc>
          <w:tcPr>
            <w:cnfStyle w:val="001000000000" w:firstRow="0" w:lastRow="0" w:firstColumn="1" w:lastColumn="0" w:oddVBand="0" w:evenVBand="0" w:oddHBand="0" w:evenHBand="0" w:firstRowFirstColumn="0" w:firstRowLastColumn="0" w:lastRowFirstColumn="0" w:lastRowLastColumn="0"/>
            <w:tcW w:w="1276" w:type="dxa"/>
          </w:tcPr>
          <w:p w14:paraId="7618DA62" w14:textId="77777777" w:rsidR="00B14497" w:rsidRDefault="000142EE">
            <w:pPr>
              <w:tabs>
                <w:tab w:val="left" w:pos="426"/>
              </w:tabs>
              <w:spacing w:line="360" w:lineRule="auto"/>
              <w:ind w:right="36"/>
              <w:jc w:val="center"/>
              <w:rPr>
                <w:rFonts w:ascii="Arial" w:eastAsia="Arial" w:hAnsi="Arial" w:cs="Arial"/>
              </w:rPr>
            </w:pPr>
            <w:r>
              <w:rPr>
                <w:rFonts w:ascii="Arial" w:eastAsia="Arial" w:hAnsi="Arial" w:cs="Arial"/>
              </w:rPr>
              <w:t>16</w:t>
            </w:r>
          </w:p>
        </w:tc>
        <w:tc>
          <w:tcPr>
            <w:tcW w:w="1984" w:type="dxa"/>
          </w:tcPr>
          <w:p w14:paraId="327ECE2C" w14:textId="77777777" w:rsidR="00B14497" w:rsidRDefault="000142EE">
            <w:pPr>
              <w:tabs>
                <w:tab w:val="left" w:pos="426"/>
              </w:tabs>
              <w:spacing w:line="360" w:lineRule="auto"/>
              <w:ind w:right="36"/>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Pr>
                <w:rFonts w:ascii="Arial" w:eastAsia="Arial" w:hAnsi="Arial" w:cs="Arial"/>
              </w:rPr>
              <w:t>18 de mayo de 2022</w:t>
            </w:r>
          </w:p>
        </w:tc>
        <w:tc>
          <w:tcPr>
            <w:tcW w:w="1701" w:type="dxa"/>
          </w:tcPr>
          <w:p w14:paraId="45B84F77" w14:textId="77777777" w:rsidR="00B14497" w:rsidRDefault="000142EE">
            <w:pPr>
              <w:tabs>
                <w:tab w:val="left" w:pos="426"/>
              </w:tabs>
              <w:spacing w:line="360" w:lineRule="auto"/>
              <w:ind w:right="36"/>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Pr>
                <w:rFonts w:ascii="Arial" w:eastAsia="Arial" w:hAnsi="Arial" w:cs="Arial"/>
              </w:rPr>
              <w:t>p)</w:t>
            </w:r>
          </w:p>
        </w:tc>
        <w:tc>
          <w:tcPr>
            <w:tcW w:w="1701" w:type="dxa"/>
          </w:tcPr>
          <w:p w14:paraId="4ACD6E22" w14:textId="77777777" w:rsidR="00B14497" w:rsidRDefault="000142EE">
            <w:pPr>
              <w:tabs>
                <w:tab w:val="left" w:pos="426"/>
              </w:tabs>
              <w:spacing w:line="360" w:lineRule="auto"/>
              <w:ind w:right="36"/>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Pr>
                <w:rFonts w:ascii="Arial" w:eastAsia="Arial" w:hAnsi="Arial" w:cs="Arial"/>
              </w:rPr>
              <w:t>*Fue publicada en el perfil de la propia empresa encuestadora</w:t>
            </w:r>
          </w:p>
        </w:tc>
        <w:tc>
          <w:tcPr>
            <w:tcW w:w="3052" w:type="dxa"/>
          </w:tcPr>
          <w:p w14:paraId="4606E964" w14:textId="77777777" w:rsidR="00B14497" w:rsidRDefault="000142EE">
            <w:pPr>
              <w:tabs>
                <w:tab w:val="left" w:pos="426"/>
              </w:tabs>
              <w:spacing w:line="360" w:lineRule="auto"/>
              <w:ind w:right="36"/>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Pr>
                <w:noProof/>
              </w:rPr>
              <w:drawing>
                <wp:inline distT="0" distB="0" distL="0" distR="0" wp14:anchorId="333A01DB" wp14:editId="53660686">
                  <wp:extent cx="1721891" cy="1885018"/>
                  <wp:effectExtent l="0" t="0" r="0" b="0"/>
                  <wp:docPr id="331"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24"/>
                          <a:srcRect l="61390" t="35490" r="10728" b="10237"/>
                          <a:stretch>
                            <a:fillRect/>
                          </a:stretch>
                        </pic:blipFill>
                        <pic:spPr>
                          <a:xfrm>
                            <a:off x="0" y="0"/>
                            <a:ext cx="1721891" cy="1885018"/>
                          </a:xfrm>
                          <a:prstGeom prst="rect">
                            <a:avLst/>
                          </a:prstGeom>
                          <a:ln/>
                        </pic:spPr>
                      </pic:pic>
                    </a:graphicData>
                  </a:graphic>
                </wp:inline>
              </w:drawing>
            </w:r>
          </w:p>
        </w:tc>
      </w:tr>
      <w:tr w:rsidR="00B14497" w14:paraId="21454440" w14:textId="77777777" w:rsidTr="00B144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vMerge w:val="restart"/>
          </w:tcPr>
          <w:p w14:paraId="00A2A69A" w14:textId="77777777" w:rsidR="00B14497" w:rsidRDefault="000142EE">
            <w:pPr>
              <w:tabs>
                <w:tab w:val="left" w:pos="426"/>
              </w:tabs>
              <w:spacing w:line="360" w:lineRule="auto"/>
              <w:ind w:right="36"/>
              <w:jc w:val="center"/>
              <w:rPr>
                <w:rFonts w:ascii="Arial" w:eastAsia="Arial" w:hAnsi="Arial" w:cs="Arial"/>
              </w:rPr>
            </w:pPr>
            <w:r>
              <w:rPr>
                <w:rFonts w:ascii="Arial" w:eastAsia="Arial" w:hAnsi="Arial" w:cs="Arial"/>
              </w:rPr>
              <w:t>17</w:t>
            </w:r>
          </w:p>
        </w:tc>
        <w:tc>
          <w:tcPr>
            <w:tcW w:w="1984" w:type="dxa"/>
            <w:vMerge w:val="restart"/>
          </w:tcPr>
          <w:p w14:paraId="7ADE0FCC" w14:textId="77777777" w:rsidR="00B14497" w:rsidRDefault="000142EE">
            <w:pPr>
              <w:tabs>
                <w:tab w:val="left" w:pos="426"/>
              </w:tabs>
              <w:spacing w:line="360" w:lineRule="auto"/>
              <w:ind w:right="36"/>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rPr>
            </w:pPr>
            <w:r>
              <w:rPr>
                <w:rFonts w:ascii="Arial" w:eastAsia="Arial" w:hAnsi="Arial" w:cs="Arial"/>
              </w:rPr>
              <w:t>24 de mayo de 2022</w:t>
            </w:r>
          </w:p>
        </w:tc>
        <w:tc>
          <w:tcPr>
            <w:tcW w:w="1701" w:type="dxa"/>
          </w:tcPr>
          <w:p w14:paraId="34110B9C" w14:textId="77777777" w:rsidR="00B14497" w:rsidRDefault="000142EE">
            <w:pPr>
              <w:tabs>
                <w:tab w:val="left" w:pos="426"/>
              </w:tabs>
              <w:spacing w:line="360" w:lineRule="auto"/>
              <w:ind w:right="36"/>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rPr>
            </w:pPr>
            <w:r>
              <w:rPr>
                <w:rFonts w:ascii="Arial" w:eastAsia="Arial" w:hAnsi="Arial" w:cs="Arial"/>
              </w:rPr>
              <w:t>q)</w:t>
            </w:r>
          </w:p>
        </w:tc>
        <w:tc>
          <w:tcPr>
            <w:tcW w:w="1701" w:type="dxa"/>
          </w:tcPr>
          <w:p w14:paraId="0CF7207D" w14:textId="77777777" w:rsidR="00B14497" w:rsidRDefault="000142EE">
            <w:pPr>
              <w:tabs>
                <w:tab w:val="left" w:pos="426"/>
              </w:tabs>
              <w:spacing w:line="360" w:lineRule="auto"/>
              <w:ind w:right="36"/>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rPr>
            </w:pPr>
            <w:r>
              <w:rPr>
                <w:rFonts w:ascii="Arial" w:eastAsia="Arial" w:hAnsi="Arial" w:cs="Arial"/>
              </w:rPr>
              <w:t xml:space="preserve">Nexo noticias </w:t>
            </w:r>
          </w:p>
        </w:tc>
        <w:tc>
          <w:tcPr>
            <w:tcW w:w="3052" w:type="dxa"/>
          </w:tcPr>
          <w:p w14:paraId="7FA61374" w14:textId="77777777" w:rsidR="00B14497" w:rsidRDefault="000142EE">
            <w:pPr>
              <w:tabs>
                <w:tab w:val="left" w:pos="426"/>
              </w:tabs>
              <w:spacing w:line="360" w:lineRule="auto"/>
              <w:ind w:right="36"/>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rPr>
            </w:pPr>
            <w:r>
              <w:rPr>
                <w:noProof/>
              </w:rPr>
              <w:drawing>
                <wp:inline distT="0" distB="0" distL="0" distR="0" wp14:anchorId="0C1525F7" wp14:editId="225E1BB2">
                  <wp:extent cx="1706334" cy="1647023"/>
                  <wp:effectExtent l="0" t="0" r="0" b="0"/>
                  <wp:docPr id="332"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25"/>
                          <a:srcRect l="61624" t="26046" r="11124" b="27180"/>
                          <a:stretch>
                            <a:fillRect/>
                          </a:stretch>
                        </pic:blipFill>
                        <pic:spPr>
                          <a:xfrm>
                            <a:off x="0" y="0"/>
                            <a:ext cx="1706334" cy="1647023"/>
                          </a:xfrm>
                          <a:prstGeom prst="rect">
                            <a:avLst/>
                          </a:prstGeom>
                          <a:ln/>
                        </pic:spPr>
                      </pic:pic>
                    </a:graphicData>
                  </a:graphic>
                </wp:inline>
              </w:drawing>
            </w:r>
          </w:p>
        </w:tc>
      </w:tr>
      <w:tr w:rsidR="00B14497" w14:paraId="0F628AA7" w14:textId="77777777" w:rsidTr="00B14497">
        <w:tc>
          <w:tcPr>
            <w:cnfStyle w:val="001000000000" w:firstRow="0" w:lastRow="0" w:firstColumn="1" w:lastColumn="0" w:oddVBand="0" w:evenVBand="0" w:oddHBand="0" w:evenHBand="0" w:firstRowFirstColumn="0" w:firstRowLastColumn="0" w:lastRowFirstColumn="0" w:lastRowLastColumn="0"/>
            <w:tcW w:w="1276" w:type="dxa"/>
            <w:vMerge/>
          </w:tcPr>
          <w:p w14:paraId="79580F82" w14:textId="77777777" w:rsidR="00B14497" w:rsidRDefault="00B14497">
            <w:pPr>
              <w:widowControl w:val="0"/>
              <w:pBdr>
                <w:top w:val="nil"/>
                <w:left w:val="nil"/>
                <w:bottom w:val="nil"/>
                <w:right w:val="nil"/>
                <w:between w:val="nil"/>
              </w:pBdr>
              <w:spacing w:line="276" w:lineRule="auto"/>
              <w:rPr>
                <w:rFonts w:ascii="Arial" w:eastAsia="Arial" w:hAnsi="Arial" w:cs="Arial"/>
              </w:rPr>
            </w:pPr>
          </w:p>
        </w:tc>
        <w:tc>
          <w:tcPr>
            <w:tcW w:w="1984" w:type="dxa"/>
            <w:vMerge/>
          </w:tcPr>
          <w:p w14:paraId="4257DA46" w14:textId="77777777" w:rsidR="00B14497" w:rsidRDefault="00B14497">
            <w:pPr>
              <w:widowControl w:val="0"/>
              <w:pBdr>
                <w:top w:val="nil"/>
                <w:left w:val="nil"/>
                <w:bottom w:val="nil"/>
                <w:right w:val="nil"/>
                <w:between w:val="nil"/>
              </w:pBdr>
              <w:spacing w:line="276" w:lineRule="auto"/>
              <w:cnfStyle w:val="000000000000" w:firstRow="0" w:lastRow="0" w:firstColumn="0" w:lastColumn="0" w:oddVBand="0" w:evenVBand="0" w:oddHBand="0" w:evenHBand="0" w:firstRowFirstColumn="0" w:firstRowLastColumn="0" w:lastRowFirstColumn="0" w:lastRowLastColumn="0"/>
              <w:rPr>
                <w:rFonts w:ascii="Arial" w:eastAsia="Arial" w:hAnsi="Arial" w:cs="Arial"/>
              </w:rPr>
            </w:pPr>
          </w:p>
        </w:tc>
        <w:tc>
          <w:tcPr>
            <w:tcW w:w="1701" w:type="dxa"/>
          </w:tcPr>
          <w:p w14:paraId="3F5D8692" w14:textId="77777777" w:rsidR="00B14497" w:rsidRDefault="000142EE">
            <w:pPr>
              <w:tabs>
                <w:tab w:val="left" w:pos="426"/>
              </w:tabs>
              <w:spacing w:line="360" w:lineRule="auto"/>
              <w:ind w:right="36"/>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Pr>
                <w:rFonts w:ascii="Arial" w:eastAsia="Arial" w:hAnsi="Arial" w:cs="Arial"/>
              </w:rPr>
              <w:t>r)</w:t>
            </w:r>
          </w:p>
        </w:tc>
        <w:tc>
          <w:tcPr>
            <w:tcW w:w="1701" w:type="dxa"/>
          </w:tcPr>
          <w:p w14:paraId="02007266" w14:textId="77777777" w:rsidR="00B14497" w:rsidRDefault="000142EE">
            <w:pPr>
              <w:tabs>
                <w:tab w:val="left" w:pos="426"/>
              </w:tabs>
              <w:spacing w:line="360" w:lineRule="auto"/>
              <w:ind w:right="36"/>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Pr>
                <w:rFonts w:ascii="Arial" w:eastAsia="Arial" w:hAnsi="Arial" w:cs="Arial"/>
              </w:rPr>
              <w:t>Omega Noticias</w:t>
            </w:r>
          </w:p>
        </w:tc>
        <w:tc>
          <w:tcPr>
            <w:tcW w:w="3052" w:type="dxa"/>
          </w:tcPr>
          <w:p w14:paraId="663160FC" w14:textId="77777777" w:rsidR="00B14497" w:rsidRDefault="000142EE">
            <w:pPr>
              <w:tabs>
                <w:tab w:val="left" w:pos="426"/>
              </w:tabs>
              <w:spacing w:line="360" w:lineRule="auto"/>
              <w:ind w:right="36"/>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Pr>
                <w:noProof/>
              </w:rPr>
              <w:drawing>
                <wp:inline distT="0" distB="0" distL="0" distR="0" wp14:anchorId="0F594087" wp14:editId="6E0D2BBE">
                  <wp:extent cx="1668743" cy="1728345"/>
                  <wp:effectExtent l="0" t="0" r="0" b="0"/>
                  <wp:docPr id="333" name="image21.png"/>
                  <wp:cNvGraphicFramePr/>
                  <a:graphic xmlns:a="http://schemas.openxmlformats.org/drawingml/2006/main">
                    <a:graphicData uri="http://schemas.openxmlformats.org/drawingml/2006/picture">
                      <pic:pic xmlns:pic="http://schemas.openxmlformats.org/drawingml/2006/picture">
                        <pic:nvPicPr>
                          <pic:cNvPr id="0" name="image21.png"/>
                          <pic:cNvPicPr preferRelativeResize="0"/>
                        </pic:nvPicPr>
                        <pic:blipFill>
                          <a:blip r:embed="rId26"/>
                          <a:srcRect l="62429" t="32999" r="11212" b="18454"/>
                          <a:stretch>
                            <a:fillRect/>
                          </a:stretch>
                        </pic:blipFill>
                        <pic:spPr>
                          <a:xfrm>
                            <a:off x="0" y="0"/>
                            <a:ext cx="1668743" cy="1728345"/>
                          </a:xfrm>
                          <a:prstGeom prst="rect">
                            <a:avLst/>
                          </a:prstGeom>
                          <a:ln/>
                        </pic:spPr>
                      </pic:pic>
                    </a:graphicData>
                  </a:graphic>
                </wp:inline>
              </w:drawing>
            </w:r>
          </w:p>
        </w:tc>
      </w:tr>
      <w:tr w:rsidR="00B14497" w14:paraId="26BBCEAE" w14:textId="77777777" w:rsidTr="00B144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vMerge/>
          </w:tcPr>
          <w:p w14:paraId="526DF0C0" w14:textId="77777777" w:rsidR="00B14497" w:rsidRDefault="00B14497">
            <w:pPr>
              <w:widowControl w:val="0"/>
              <w:pBdr>
                <w:top w:val="nil"/>
                <w:left w:val="nil"/>
                <w:bottom w:val="nil"/>
                <w:right w:val="nil"/>
                <w:between w:val="nil"/>
              </w:pBdr>
              <w:spacing w:line="276" w:lineRule="auto"/>
              <w:rPr>
                <w:rFonts w:ascii="Arial" w:eastAsia="Arial" w:hAnsi="Arial" w:cs="Arial"/>
              </w:rPr>
            </w:pPr>
          </w:p>
        </w:tc>
        <w:tc>
          <w:tcPr>
            <w:tcW w:w="1984" w:type="dxa"/>
            <w:vMerge/>
          </w:tcPr>
          <w:p w14:paraId="5EB9C58C" w14:textId="77777777" w:rsidR="00B14497" w:rsidRDefault="00B14497">
            <w:pPr>
              <w:widowControl w:val="0"/>
              <w:pBdr>
                <w:top w:val="nil"/>
                <w:left w:val="nil"/>
                <w:bottom w:val="nil"/>
                <w:right w:val="nil"/>
                <w:between w:val="nil"/>
              </w:pBdr>
              <w:spacing w:line="276" w:lineRule="auto"/>
              <w:cnfStyle w:val="000000100000" w:firstRow="0" w:lastRow="0" w:firstColumn="0" w:lastColumn="0" w:oddVBand="0" w:evenVBand="0" w:oddHBand="1" w:evenHBand="0" w:firstRowFirstColumn="0" w:firstRowLastColumn="0" w:lastRowFirstColumn="0" w:lastRowLastColumn="0"/>
              <w:rPr>
                <w:rFonts w:ascii="Arial" w:eastAsia="Arial" w:hAnsi="Arial" w:cs="Arial"/>
              </w:rPr>
            </w:pPr>
          </w:p>
        </w:tc>
        <w:tc>
          <w:tcPr>
            <w:tcW w:w="1701" w:type="dxa"/>
          </w:tcPr>
          <w:p w14:paraId="17DC76DC" w14:textId="77777777" w:rsidR="00B14497" w:rsidRDefault="000142EE">
            <w:pPr>
              <w:tabs>
                <w:tab w:val="left" w:pos="426"/>
              </w:tabs>
              <w:spacing w:line="360" w:lineRule="auto"/>
              <w:ind w:right="36"/>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rPr>
            </w:pPr>
            <w:r>
              <w:rPr>
                <w:rFonts w:ascii="Arial" w:eastAsia="Arial" w:hAnsi="Arial" w:cs="Arial"/>
              </w:rPr>
              <w:t>s)</w:t>
            </w:r>
          </w:p>
        </w:tc>
        <w:tc>
          <w:tcPr>
            <w:tcW w:w="1701" w:type="dxa"/>
          </w:tcPr>
          <w:p w14:paraId="7FC89814" w14:textId="77777777" w:rsidR="00B14497" w:rsidRDefault="000142EE">
            <w:pPr>
              <w:tabs>
                <w:tab w:val="left" w:pos="426"/>
              </w:tabs>
              <w:spacing w:line="360" w:lineRule="auto"/>
              <w:ind w:right="36"/>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rPr>
            </w:pPr>
            <w:proofErr w:type="spellStart"/>
            <w:r>
              <w:rPr>
                <w:rFonts w:ascii="Arial" w:eastAsia="Arial" w:hAnsi="Arial" w:cs="Arial"/>
              </w:rPr>
              <w:t>Noti</w:t>
            </w:r>
            <w:proofErr w:type="spellEnd"/>
            <w:r>
              <w:rPr>
                <w:rFonts w:ascii="Arial" w:eastAsia="Arial" w:hAnsi="Arial" w:cs="Arial"/>
              </w:rPr>
              <w:t xml:space="preserve"> Siete</w:t>
            </w:r>
          </w:p>
        </w:tc>
        <w:tc>
          <w:tcPr>
            <w:tcW w:w="3052" w:type="dxa"/>
          </w:tcPr>
          <w:p w14:paraId="4D7F4661" w14:textId="77777777" w:rsidR="00B14497" w:rsidRDefault="000142EE">
            <w:pPr>
              <w:tabs>
                <w:tab w:val="left" w:pos="426"/>
              </w:tabs>
              <w:spacing w:line="360" w:lineRule="auto"/>
              <w:ind w:right="36"/>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rPr>
            </w:pPr>
            <w:r>
              <w:rPr>
                <w:noProof/>
              </w:rPr>
              <w:drawing>
                <wp:inline distT="0" distB="0" distL="0" distR="0" wp14:anchorId="0A541AC7" wp14:editId="5793F66B">
                  <wp:extent cx="1652038" cy="1642596"/>
                  <wp:effectExtent l="0" t="0" r="0" b="0"/>
                  <wp:docPr id="334" name="image23.png"/>
                  <wp:cNvGraphicFramePr/>
                  <a:graphic xmlns:a="http://schemas.openxmlformats.org/drawingml/2006/main">
                    <a:graphicData uri="http://schemas.openxmlformats.org/drawingml/2006/picture">
                      <pic:pic xmlns:pic="http://schemas.openxmlformats.org/drawingml/2006/picture">
                        <pic:nvPicPr>
                          <pic:cNvPr id="0" name="image23.png"/>
                          <pic:cNvPicPr preferRelativeResize="0"/>
                        </pic:nvPicPr>
                        <pic:blipFill>
                          <a:blip r:embed="rId27"/>
                          <a:srcRect l="62029" t="33825" r="11244" b="18919"/>
                          <a:stretch>
                            <a:fillRect/>
                          </a:stretch>
                        </pic:blipFill>
                        <pic:spPr>
                          <a:xfrm>
                            <a:off x="0" y="0"/>
                            <a:ext cx="1652038" cy="1642596"/>
                          </a:xfrm>
                          <a:prstGeom prst="rect">
                            <a:avLst/>
                          </a:prstGeom>
                          <a:ln/>
                        </pic:spPr>
                      </pic:pic>
                    </a:graphicData>
                  </a:graphic>
                </wp:inline>
              </w:drawing>
            </w:r>
          </w:p>
        </w:tc>
      </w:tr>
      <w:tr w:rsidR="00B14497" w14:paraId="3E49268E" w14:textId="77777777" w:rsidTr="00B14497">
        <w:tc>
          <w:tcPr>
            <w:cnfStyle w:val="001000000000" w:firstRow="0" w:lastRow="0" w:firstColumn="1" w:lastColumn="0" w:oddVBand="0" w:evenVBand="0" w:oddHBand="0" w:evenHBand="0" w:firstRowFirstColumn="0" w:firstRowLastColumn="0" w:lastRowFirstColumn="0" w:lastRowLastColumn="0"/>
            <w:tcW w:w="1276" w:type="dxa"/>
            <w:vMerge/>
          </w:tcPr>
          <w:p w14:paraId="0DF4C214" w14:textId="77777777" w:rsidR="00B14497" w:rsidRDefault="00B14497">
            <w:pPr>
              <w:widowControl w:val="0"/>
              <w:pBdr>
                <w:top w:val="nil"/>
                <w:left w:val="nil"/>
                <w:bottom w:val="nil"/>
                <w:right w:val="nil"/>
                <w:between w:val="nil"/>
              </w:pBdr>
              <w:spacing w:line="276" w:lineRule="auto"/>
              <w:rPr>
                <w:rFonts w:ascii="Arial" w:eastAsia="Arial" w:hAnsi="Arial" w:cs="Arial"/>
              </w:rPr>
            </w:pPr>
          </w:p>
        </w:tc>
        <w:tc>
          <w:tcPr>
            <w:tcW w:w="1984" w:type="dxa"/>
            <w:vMerge/>
          </w:tcPr>
          <w:p w14:paraId="01C63D14" w14:textId="77777777" w:rsidR="00B14497" w:rsidRDefault="00B14497">
            <w:pPr>
              <w:widowControl w:val="0"/>
              <w:pBdr>
                <w:top w:val="nil"/>
                <w:left w:val="nil"/>
                <w:bottom w:val="nil"/>
                <w:right w:val="nil"/>
                <w:between w:val="nil"/>
              </w:pBdr>
              <w:spacing w:line="276" w:lineRule="auto"/>
              <w:cnfStyle w:val="000000000000" w:firstRow="0" w:lastRow="0" w:firstColumn="0" w:lastColumn="0" w:oddVBand="0" w:evenVBand="0" w:oddHBand="0" w:evenHBand="0" w:firstRowFirstColumn="0" w:firstRowLastColumn="0" w:lastRowFirstColumn="0" w:lastRowLastColumn="0"/>
              <w:rPr>
                <w:rFonts w:ascii="Arial" w:eastAsia="Arial" w:hAnsi="Arial" w:cs="Arial"/>
              </w:rPr>
            </w:pPr>
          </w:p>
        </w:tc>
        <w:tc>
          <w:tcPr>
            <w:tcW w:w="1701" w:type="dxa"/>
          </w:tcPr>
          <w:p w14:paraId="2D21EA81" w14:textId="77777777" w:rsidR="00B14497" w:rsidRDefault="000142EE">
            <w:pPr>
              <w:tabs>
                <w:tab w:val="left" w:pos="426"/>
              </w:tabs>
              <w:spacing w:line="360" w:lineRule="auto"/>
              <w:ind w:right="36"/>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Pr>
                <w:rFonts w:ascii="Arial" w:eastAsia="Arial" w:hAnsi="Arial" w:cs="Arial"/>
              </w:rPr>
              <w:t>t)</w:t>
            </w:r>
          </w:p>
        </w:tc>
        <w:tc>
          <w:tcPr>
            <w:tcW w:w="1701" w:type="dxa"/>
          </w:tcPr>
          <w:p w14:paraId="092E2039" w14:textId="77777777" w:rsidR="00B14497" w:rsidRDefault="000142EE">
            <w:pPr>
              <w:tabs>
                <w:tab w:val="left" w:pos="426"/>
              </w:tabs>
              <w:spacing w:line="360" w:lineRule="auto"/>
              <w:ind w:right="36"/>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rPr>
            </w:pPr>
            <w:proofErr w:type="spellStart"/>
            <w:r>
              <w:rPr>
                <w:rFonts w:ascii="Arial" w:eastAsia="Arial" w:hAnsi="Arial" w:cs="Arial"/>
              </w:rPr>
              <w:t>AgsOpina</w:t>
            </w:r>
            <w:proofErr w:type="spellEnd"/>
          </w:p>
        </w:tc>
        <w:tc>
          <w:tcPr>
            <w:tcW w:w="3052" w:type="dxa"/>
          </w:tcPr>
          <w:p w14:paraId="4996EE84" w14:textId="77777777" w:rsidR="00B14497" w:rsidRDefault="000142EE">
            <w:pPr>
              <w:tabs>
                <w:tab w:val="left" w:pos="426"/>
              </w:tabs>
              <w:spacing w:line="360" w:lineRule="auto"/>
              <w:ind w:right="36"/>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Pr>
                <w:noProof/>
              </w:rPr>
              <w:drawing>
                <wp:inline distT="0" distB="0" distL="0" distR="0" wp14:anchorId="62615490" wp14:editId="4AF61584">
                  <wp:extent cx="1670969" cy="1798803"/>
                  <wp:effectExtent l="0" t="0" r="0" b="0"/>
                  <wp:docPr id="335" name="image22.png"/>
                  <wp:cNvGraphicFramePr/>
                  <a:graphic xmlns:a="http://schemas.openxmlformats.org/drawingml/2006/main">
                    <a:graphicData uri="http://schemas.openxmlformats.org/drawingml/2006/picture">
                      <pic:pic xmlns:pic="http://schemas.openxmlformats.org/drawingml/2006/picture">
                        <pic:nvPicPr>
                          <pic:cNvPr id="0" name="image22.png"/>
                          <pic:cNvPicPr preferRelativeResize="0"/>
                        </pic:nvPicPr>
                        <pic:blipFill>
                          <a:blip r:embed="rId28"/>
                          <a:srcRect l="62201" t="37696" r="11493" b="11949"/>
                          <a:stretch>
                            <a:fillRect/>
                          </a:stretch>
                        </pic:blipFill>
                        <pic:spPr>
                          <a:xfrm>
                            <a:off x="0" y="0"/>
                            <a:ext cx="1670969" cy="1798803"/>
                          </a:xfrm>
                          <a:prstGeom prst="rect">
                            <a:avLst/>
                          </a:prstGeom>
                          <a:ln/>
                        </pic:spPr>
                      </pic:pic>
                    </a:graphicData>
                  </a:graphic>
                </wp:inline>
              </w:drawing>
            </w:r>
          </w:p>
        </w:tc>
      </w:tr>
      <w:tr w:rsidR="00B14497" w14:paraId="7BBA297F" w14:textId="77777777" w:rsidTr="00B144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vMerge/>
          </w:tcPr>
          <w:p w14:paraId="1758DEF2" w14:textId="77777777" w:rsidR="00B14497" w:rsidRDefault="00B14497">
            <w:pPr>
              <w:widowControl w:val="0"/>
              <w:pBdr>
                <w:top w:val="nil"/>
                <w:left w:val="nil"/>
                <w:bottom w:val="nil"/>
                <w:right w:val="nil"/>
                <w:between w:val="nil"/>
              </w:pBdr>
              <w:spacing w:line="276" w:lineRule="auto"/>
              <w:rPr>
                <w:rFonts w:ascii="Arial" w:eastAsia="Arial" w:hAnsi="Arial" w:cs="Arial"/>
              </w:rPr>
            </w:pPr>
          </w:p>
        </w:tc>
        <w:tc>
          <w:tcPr>
            <w:tcW w:w="1984" w:type="dxa"/>
            <w:vMerge/>
          </w:tcPr>
          <w:p w14:paraId="476D96B9" w14:textId="77777777" w:rsidR="00B14497" w:rsidRDefault="00B14497">
            <w:pPr>
              <w:widowControl w:val="0"/>
              <w:pBdr>
                <w:top w:val="nil"/>
                <w:left w:val="nil"/>
                <w:bottom w:val="nil"/>
                <w:right w:val="nil"/>
                <w:between w:val="nil"/>
              </w:pBdr>
              <w:spacing w:line="276" w:lineRule="auto"/>
              <w:cnfStyle w:val="000000100000" w:firstRow="0" w:lastRow="0" w:firstColumn="0" w:lastColumn="0" w:oddVBand="0" w:evenVBand="0" w:oddHBand="1" w:evenHBand="0" w:firstRowFirstColumn="0" w:firstRowLastColumn="0" w:lastRowFirstColumn="0" w:lastRowLastColumn="0"/>
              <w:rPr>
                <w:rFonts w:ascii="Arial" w:eastAsia="Arial" w:hAnsi="Arial" w:cs="Arial"/>
              </w:rPr>
            </w:pPr>
          </w:p>
        </w:tc>
        <w:tc>
          <w:tcPr>
            <w:tcW w:w="1701" w:type="dxa"/>
          </w:tcPr>
          <w:p w14:paraId="523C0282" w14:textId="77777777" w:rsidR="00B14497" w:rsidRDefault="000142EE">
            <w:pPr>
              <w:tabs>
                <w:tab w:val="left" w:pos="426"/>
              </w:tabs>
              <w:spacing w:line="360" w:lineRule="auto"/>
              <w:ind w:right="36"/>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rPr>
            </w:pPr>
            <w:r>
              <w:rPr>
                <w:rFonts w:ascii="Arial" w:eastAsia="Arial" w:hAnsi="Arial" w:cs="Arial"/>
              </w:rPr>
              <w:t>u)</w:t>
            </w:r>
          </w:p>
        </w:tc>
        <w:tc>
          <w:tcPr>
            <w:tcW w:w="1701" w:type="dxa"/>
          </w:tcPr>
          <w:p w14:paraId="6339241E" w14:textId="77777777" w:rsidR="00B14497" w:rsidRDefault="000142EE">
            <w:pPr>
              <w:tabs>
                <w:tab w:val="left" w:pos="426"/>
              </w:tabs>
              <w:spacing w:line="360" w:lineRule="auto"/>
              <w:ind w:right="36"/>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rPr>
            </w:pPr>
            <w:r>
              <w:rPr>
                <w:rFonts w:ascii="Arial" w:eastAsia="Arial" w:hAnsi="Arial" w:cs="Arial"/>
              </w:rPr>
              <w:t xml:space="preserve">24/7 </w:t>
            </w:r>
            <w:proofErr w:type="spellStart"/>
            <w:r>
              <w:rPr>
                <w:rFonts w:ascii="Arial" w:eastAsia="Arial" w:hAnsi="Arial" w:cs="Arial"/>
              </w:rPr>
              <w:t>news</w:t>
            </w:r>
            <w:proofErr w:type="spellEnd"/>
          </w:p>
        </w:tc>
        <w:tc>
          <w:tcPr>
            <w:tcW w:w="3052" w:type="dxa"/>
          </w:tcPr>
          <w:p w14:paraId="222B8C82" w14:textId="77777777" w:rsidR="00B14497" w:rsidRDefault="000142EE">
            <w:pPr>
              <w:tabs>
                <w:tab w:val="left" w:pos="426"/>
              </w:tabs>
              <w:spacing w:line="360" w:lineRule="auto"/>
              <w:ind w:right="36"/>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rPr>
            </w:pPr>
            <w:r>
              <w:rPr>
                <w:noProof/>
              </w:rPr>
              <w:drawing>
                <wp:inline distT="0" distB="0" distL="0" distR="0" wp14:anchorId="5DA456CC" wp14:editId="04A2B4E4">
                  <wp:extent cx="1679181" cy="1352183"/>
                  <wp:effectExtent l="0" t="0" r="0" b="0"/>
                  <wp:docPr id="306"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29"/>
                          <a:srcRect l="61658" t="42426" r="11427" b="19031"/>
                          <a:stretch>
                            <a:fillRect/>
                          </a:stretch>
                        </pic:blipFill>
                        <pic:spPr>
                          <a:xfrm>
                            <a:off x="0" y="0"/>
                            <a:ext cx="1679181" cy="1352183"/>
                          </a:xfrm>
                          <a:prstGeom prst="rect">
                            <a:avLst/>
                          </a:prstGeom>
                          <a:ln/>
                        </pic:spPr>
                      </pic:pic>
                    </a:graphicData>
                  </a:graphic>
                </wp:inline>
              </w:drawing>
            </w:r>
          </w:p>
        </w:tc>
      </w:tr>
      <w:tr w:rsidR="00B14497" w14:paraId="0A25AAAE" w14:textId="77777777" w:rsidTr="00B14497">
        <w:tc>
          <w:tcPr>
            <w:cnfStyle w:val="001000000000" w:firstRow="0" w:lastRow="0" w:firstColumn="1" w:lastColumn="0" w:oddVBand="0" w:evenVBand="0" w:oddHBand="0" w:evenHBand="0" w:firstRowFirstColumn="0" w:firstRowLastColumn="0" w:lastRowFirstColumn="0" w:lastRowLastColumn="0"/>
            <w:tcW w:w="1276" w:type="dxa"/>
          </w:tcPr>
          <w:p w14:paraId="2FD6D7E9" w14:textId="77777777" w:rsidR="00B14497" w:rsidRDefault="000142EE">
            <w:pPr>
              <w:tabs>
                <w:tab w:val="left" w:pos="426"/>
              </w:tabs>
              <w:spacing w:line="360" w:lineRule="auto"/>
              <w:ind w:right="36"/>
              <w:jc w:val="center"/>
              <w:rPr>
                <w:rFonts w:ascii="Arial" w:eastAsia="Arial" w:hAnsi="Arial" w:cs="Arial"/>
              </w:rPr>
            </w:pPr>
            <w:r>
              <w:rPr>
                <w:rFonts w:ascii="Arial" w:eastAsia="Arial" w:hAnsi="Arial" w:cs="Arial"/>
              </w:rPr>
              <w:t>18</w:t>
            </w:r>
          </w:p>
        </w:tc>
        <w:tc>
          <w:tcPr>
            <w:tcW w:w="1984" w:type="dxa"/>
          </w:tcPr>
          <w:p w14:paraId="6025D956" w14:textId="77777777" w:rsidR="00B14497" w:rsidRDefault="000142EE">
            <w:pPr>
              <w:tabs>
                <w:tab w:val="left" w:pos="426"/>
              </w:tabs>
              <w:spacing w:line="360" w:lineRule="auto"/>
              <w:ind w:right="36"/>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Pr>
                <w:rFonts w:ascii="Arial" w:eastAsia="Arial" w:hAnsi="Arial" w:cs="Arial"/>
              </w:rPr>
              <w:t>30 de mayo de 2022</w:t>
            </w:r>
          </w:p>
        </w:tc>
        <w:tc>
          <w:tcPr>
            <w:tcW w:w="1701" w:type="dxa"/>
          </w:tcPr>
          <w:p w14:paraId="270FB453" w14:textId="77777777" w:rsidR="00B14497" w:rsidRDefault="000142EE">
            <w:pPr>
              <w:tabs>
                <w:tab w:val="left" w:pos="426"/>
              </w:tabs>
              <w:spacing w:line="360" w:lineRule="auto"/>
              <w:ind w:right="36"/>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Pr>
                <w:rFonts w:ascii="Arial" w:eastAsia="Arial" w:hAnsi="Arial" w:cs="Arial"/>
              </w:rPr>
              <w:t>v)</w:t>
            </w:r>
          </w:p>
        </w:tc>
        <w:tc>
          <w:tcPr>
            <w:tcW w:w="1701" w:type="dxa"/>
          </w:tcPr>
          <w:p w14:paraId="2085A633" w14:textId="77777777" w:rsidR="00B14497" w:rsidRDefault="000142EE">
            <w:pPr>
              <w:tabs>
                <w:tab w:val="left" w:pos="426"/>
              </w:tabs>
              <w:spacing w:line="360" w:lineRule="auto"/>
              <w:ind w:right="36"/>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Pr>
                <w:rFonts w:ascii="Arial" w:eastAsia="Arial" w:hAnsi="Arial" w:cs="Arial"/>
              </w:rPr>
              <w:t>*Fue publicada en el perfil de la propia empresa encuestadora</w:t>
            </w:r>
          </w:p>
        </w:tc>
        <w:tc>
          <w:tcPr>
            <w:tcW w:w="3052" w:type="dxa"/>
          </w:tcPr>
          <w:p w14:paraId="4245C865" w14:textId="77777777" w:rsidR="00B14497" w:rsidRDefault="000142EE">
            <w:pPr>
              <w:tabs>
                <w:tab w:val="left" w:pos="426"/>
              </w:tabs>
              <w:spacing w:line="360" w:lineRule="auto"/>
              <w:ind w:right="36"/>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Pr>
                <w:noProof/>
              </w:rPr>
              <w:drawing>
                <wp:inline distT="0" distB="0" distL="0" distR="0" wp14:anchorId="71024E11" wp14:editId="0079C7B5">
                  <wp:extent cx="1708975" cy="1330230"/>
                  <wp:effectExtent l="0" t="0" r="0" b="0"/>
                  <wp:docPr id="30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30"/>
                          <a:srcRect l="61081" t="39738" r="10464" b="20874"/>
                          <a:stretch>
                            <a:fillRect/>
                          </a:stretch>
                        </pic:blipFill>
                        <pic:spPr>
                          <a:xfrm>
                            <a:off x="0" y="0"/>
                            <a:ext cx="1708975" cy="1330230"/>
                          </a:xfrm>
                          <a:prstGeom prst="rect">
                            <a:avLst/>
                          </a:prstGeom>
                          <a:ln/>
                        </pic:spPr>
                      </pic:pic>
                    </a:graphicData>
                  </a:graphic>
                </wp:inline>
              </w:drawing>
            </w:r>
          </w:p>
        </w:tc>
      </w:tr>
    </w:tbl>
    <w:p w14:paraId="62117C79" w14:textId="77777777" w:rsidR="00B14497" w:rsidRDefault="00B14497">
      <w:pPr>
        <w:pBdr>
          <w:top w:val="nil"/>
          <w:left w:val="nil"/>
          <w:bottom w:val="nil"/>
          <w:right w:val="nil"/>
          <w:between w:val="nil"/>
        </w:pBdr>
        <w:spacing w:line="360" w:lineRule="auto"/>
        <w:jc w:val="both"/>
        <w:rPr>
          <w:rFonts w:ascii="Arial" w:eastAsia="Arial" w:hAnsi="Arial" w:cs="Arial"/>
          <w:b/>
          <w:color w:val="000000"/>
          <w:sz w:val="24"/>
          <w:szCs w:val="24"/>
        </w:rPr>
      </w:pPr>
    </w:p>
    <w:p w14:paraId="53E10EB0" w14:textId="77777777" w:rsidR="00B14497" w:rsidRDefault="000142EE">
      <w:pPr>
        <w:pBdr>
          <w:top w:val="nil"/>
          <w:left w:val="nil"/>
          <w:bottom w:val="nil"/>
          <w:right w:val="nil"/>
          <w:between w:val="nil"/>
        </w:pBdr>
        <w:spacing w:line="360" w:lineRule="auto"/>
        <w:jc w:val="both"/>
        <w:rPr>
          <w:rFonts w:ascii="Arial" w:eastAsia="Arial" w:hAnsi="Arial" w:cs="Arial"/>
          <w:b/>
          <w:color w:val="000000"/>
          <w:sz w:val="24"/>
          <w:szCs w:val="24"/>
        </w:rPr>
      </w:pPr>
      <w:r>
        <w:rPr>
          <w:rFonts w:ascii="Arial" w:eastAsia="Arial" w:hAnsi="Arial" w:cs="Arial"/>
          <w:b/>
          <w:color w:val="000000"/>
          <w:sz w:val="24"/>
          <w:szCs w:val="24"/>
        </w:rPr>
        <w:t>2. Defensa</w:t>
      </w:r>
    </w:p>
    <w:p w14:paraId="7BFD62E1" w14:textId="77777777" w:rsidR="00B14497" w:rsidRDefault="00B14497">
      <w:pPr>
        <w:pBdr>
          <w:top w:val="nil"/>
          <w:left w:val="nil"/>
          <w:bottom w:val="nil"/>
          <w:right w:val="nil"/>
          <w:between w:val="nil"/>
        </w:pBdr>
        <w:rPr>
          <w:color w:val="000000"/>
        </w:rPr>
      </w:pPr>
    </w:p>
    <w:p w14:paraId="42C755FD" w14:textId="77777777" w:rsidR="00B14497" w:rsidRDefault="000142EE">
      <w:pPr>
        <w:pBdr>
          <w:top w:val="nil"/>
          <w:left w:val="nil"/>
          <w:bottom w:val="nil"/>
          <w:right w:val="nil"/>
          <w:between w:val="nil"/>
        </w:pBdr>
        <w:spacing w:line="360" w:lineRule="auto"/>
        <w:jc w:val="both"/>
        <w:rPr>
          <w:rFonts w:ascii="Arial" w:eastAsia="Arial" w:hAnsi="Arial" w:cs="Arial"/>
          <w:color w:val="000000"/>
          <w:sz w:val="24"/>
          <w:szCs w:val="24"/>
        </w:rPr>
      </w:pPr>
      <w:r>
        <w:rPr>
          <w:rFonts w:ascii="Arial" w:eastAsia="Arial" w:hAnsi="Arial" w:cs="Arial"/>
          <w:b/>
          <w:color w:val="000000"/>
          <w:sz w:val="24"/>
          <w:szCs w:val="24"/>
        </w:rPr>
        <w:t>2.1. Defensa de María Teresa Jiménez Esquivel y</w:t>
      </w:r>
      <w:r>
        <w:rPr>
          <w:rFonts w:ascii="Arial" w:eastAsia="Arial" w:hAnsi="Arial" w:cs="Arial"/>
          <w:b/>
          <w:sz w:val="24"/>
          <w:szCs w:val="24"/>
        </w:rPr>
        <w:t xml:space="preserve"> de la coalición “Va por Aguascalientes”</w:t>
      </w:r>
      <w:r>
        <w:rPr>
          <w:rFonts w:ascii="Arial" w:eastAsia="Arial" w:hAnsi="Arial" w:cs="Arial"/>
          <w:b/>
          <w:color w:val="000000"/>
          <w:sz w:val="24"/>
          <w:szCs w:val="24"/>
        </w:rPr>
        <w:t xml:space="preserve">. </w:t>
      </w:r>
      <w:r>
        <w:rPr>
          <w:rFonts w:ascii="Arial" w:eastAsia="Arial" w:hAnsi="Arial" w:cs="Arial"/>
          <w:color w:val="000000"/>
          <w:sz w:val="24"/>
          <w:szCs w:val="24"/>
        </w:rPr>
        <w:t>En sus escritos de contestación, manifiestan lo siguiente:</w:t>
      </w:r>
    </w:p>
    <w:p w14:paraId="743A9550" w14:textId="77777777" w:rsidR="00B14497" w:rsidRDefault="000142EE">
      <w:pPr>
        <w:numPr>
          <w:ilvl w:val="0"/>
          <w:numId w:val="2"/>
        </w:numPr>
        <w:pBdr>
          <w:top w:val="nil"/>
          <w:left w:val="nil"/>
          <w:bottom w:val="nil"/>
          <w:right w:val="nil"/>
          <w:between w:val="nil"/>
        </w:pBdr>
        <w:spacing w:line="360" w:lineRule="auto"/>
        <w:ind w:left="426"/>
        <w:jc w:val="both"/>
        <w:rPr>
          <w:rFonts w:ascii="Arial" w:eastAsia="Arial" w:hAnsi="Arial" w:cs="Arial"/>
          <w:color w:val="000000"/>
          <w:sz w:val="24"/>
          <w:szCs w:val="24"/>
        </w:rPr>
      </w:pPr>
      <w:r>
        <w:rPr>
          <w:rFonts w:ascii="Arial" w:eastAsia="Arial" w:hAnsi="Arial" w:cs="Arial"/>
          <w:color w:val="000000"/>
          <w:sz w:val="24"/>
          <w:szCs w:val="24"/>
        </w:rPr>
        <w:t xml:space="preserve">Niegan haber pagado o llevado acciones encaminadas a la elaboración de las encuestas cuestionadas, así como de su posterior difusión a través de las publicaciones de los medios de comunicación y de la propia empresa encuestadora en Facebook. </w:t>
      </w:r>
    </w:p>
    <w:p w14:paraId="067F0611" w14:textId="77777777" w:rsidR="00B14497" w:rsidRDefault="000142EE">
      <w:pPr>
        <w:numPr>
          <w:ilvl w:val="0"/>
          <w:numId w:val="2"/>
        </w:numPr>
        <w:pBdr>
          <w:top w:val="nil"/>
          <w:left w:val="nil"/>
          <w:bottom w:val="nil"/>
          <w:right w:val="nil"/>
          <w:between w:val="nil"/>
        </w:pBdr>
        <w:spacing w:line="360" w:lineRule="auto"/>
        <w:ind w:left="426"/>
        <w:jc w:val="both"/>
        <w:rPr>
          <w:rFonts w:ascii="Arial" w:eastAsia="Arial" w:hAnsi="Arial" w:cs="Arial"/>
          <w:color w:val="000000"/>
          <w:sz w:val="24"/>
          <w:szCs w:val="24"/>
        </w:rPr>
      </w:pPr>
      <w:r>
        <w:rPr>
          <w:rFonts w:ascii="Arial" w:eastAsia="Arial" w:hAnsi="Arial" w:cs="Arial"/>
          <w:color w:val="000000"/>
          <w:sz w:val="24"/>
          <w:szCs w:val="24"/>
        </w:rPr>
        <w:t xml:space="preserve">Aseguran que, en todo caso, las encuestas elaboradas por </w:t>
      </w:r>
      <w:r>
        <w:rPr>
          <w:rFonts w:ascii="Arial" w:eastAsia="Arial" w:hAnsi="Arial" w:cs="Arial"/>
          <w:sz w:val="24"/>
          <w:szCs w:val="24"/>
        </w:rPr>
        <w:t xml:space="preserve">Grupo </w:t>
      </w:r>
      <w:proofErr w:type="spellStart"/>
      <w:r>
        <w:rPr>
          <w:rFonts w:ascii="Arial" w:eastAsia="Arial" w:hAnsi="Arial" w:cs="Arial"/>
          <w:sz w:val="24"/>
          <w:szCs w:val="24"/>
        </w:rPr>
        <w:t>Rapcen</w:t>
      </w:r>
      <w:proofErr w:type="spellEnd"/>
      <w:r>
        <w:rPr>
          <w:rFonts w:ascii="Arial" w:eastAsia="Arial" w:hAnsi="Arial" w:cs="Arial"/>
          <w:sz w:val="24"/>
          <w:szCs w:val="24"/>
        </w:rPr>
        <w:t xml:space="preserve"> S.A. de C.V. (</w:t>
      </w:r>
      <w:proofErr w:type="spellStart"/>
      <w:r>
        <w:rPr>
          <w:rFonts w:ascii="Arial" w:eastAsia="Arial" w:hAnsi="Arial" w:cs="Arial"/>
          <w:sz w:val="24"/>
          <w:szCs w:val="24"/>
        </w:rPr>
        <w:t>TResearch</w:t>
      </w:r>
      <w:proofErr w:type="spellEnd"/>
      <w:r>
        <w:rPr>
          <w:rFonts w:ascii="Arial" w:eastAsia="Arial" w:hAnsi="Arial" w:cs="Arial"/>
          <w:sz w:val="24"/>
          <w:szCs w:val="24"/>
        </w:rPr>
        <w:t>), fueron debidamente informadas y registradas ante el Instituto Local</w:t>
      </w:r>
      <w:r>
        <w:rPr>
          <w:rFonts w:ascii="Arial" w:eastAsia="Arial" w:hAnsi="Arial" w:cs="Arial"/>
          <w:color w:val="000000"/>
          <w:sz w:val="24"/>
          <w:szCs w:val="24"/>
        </w:rPr>
        <w:t xml:space="preserve">. </w:t>
      </w:r>
    </w:p>
    <w:p w14:paraId="52187225" w14:textId="77777777" w:rsidR="00B14497" w:rsidRDefault="00B14497">
      <w:pPr>
        <w:pBdr>
          <w:top w:val="nil"/>
          <w:left w:val="nil"/>
          <w:bottom w:val="nil"/>
          <w:right w:val="nil"/>
          <w:between w:val="nil"/>
        </w:pBdr>
        <w:rPr>
          <w:color w:val="000000"/>
        </w:rPr>
      </w:pPr>
    </w:p>
    <w:p w14:paraId="0EDFE995" w14:textId="77777777" w:rsidR="00B14497" w:rsidRDefault="000142EE">
      <w:pPr>
        <w:pBdr>
          <w:top w:val="nil"/>
          <w:left w:val="nil"/>
          <w:bottom w:val="nil"/>
          <w:right w:val="nil"/>
          <w:between w:val="nil"/>
        </w:pBdr>
        <w:spacing w:line="360" w:lineRule="auto"/>
        <w:jc w:val="both"/>
        <w:rPr>
          <w:rFonts w:ascii="Arial" w:eastAsia="Arial" w:hAnsi="Arial" w:cs="Arial"/>
          <w:color w:val="000000"/>
          <w:sz w:val="24"/>
          <w:szCs w:val="24"/>
        </w:rPr>
      </w:pPr>
      <w:r>
        <w:rPr>
          <w:rFonts w:ascii="Arial" w:eastAsia="Arial" w:hAnsi="Arial" w:cs="Arial"/>
          <w:b/>
          <w:color w:val="000000"/>
          <w:sz w:val="24"/>
          <w:szCs w:val="24"/>
        </w:rPr>
        <w:t xml:space="preserve">2.2. Defensa de Grupo </w:t>
      </w:r>
      <w:proofErr w:type="spellStart"/>
      <w:r>
        <w:rPr>
          <w:rFonts w:ascii="Arial" w:eastAsia="Arial" w:hAnsi="Arial" w:cs="Arial"/>
          <w:b/>
          <w:color w:val="000000"/>
          <w:sz w:val="24"/>
          <w:szCs w:val="24"/>
        </w:rPr>
        <w:t>Rapcen</w:t>
      </w:r>
      <w:proofErr w:type="spellEnd"/>
      <w:r>
        <w:rPr>
          <w:rFonts w:ascii="Arial" w:eastAsia="Arial" w:hAnsi="Arial" w:cs="Arial"/>
          <w:b/>
          <w:color w:val="000000"/>
          <w:sz w:val="24"/>
          <w:szCs w:val="24"/>
        </w:rPr>
        <w:t xml:space="preserve"> S.A. de C.V. (</w:t>
      </w:r>
      <w:proofErr w:type="spellStart"/>
      <w:r>
        <w:rPr>
          <w:rFonts w:ascii="Arial" w:eastAsia="Arial" w:hAnsi="Arial" w:cs="Arial"/>
          <w:b/>
          <w:color w:val="000000"/>
          <w:sz w:val="24"/>
          <w:szCs w:val="24"/>
        </w:rPr>
        <w:t>TResearch</w:t>
      </w:r>
      <w:proofErr w:type="spellEnd"/>
      <w:r>
        <w:rPr>
          <w:rFonts w:ascii="Arial" w:eastAsia="Arial" w:hAnsi="Arial" w:cs="Arial"/>
          <w:b/>
          <w:color w:val="000000"/>
          <w:sz w:val="24"/>
          <w:szCs w:val="24"/>
        </w:rPr>
        <w:t>)</w:t>
      </w:r>
      <w:r>
        <w:rPr>
          <w:rFonts w:ascii="Arial" w:eastAsia="Arial" w:hAnsi="Arial" w:cs="Arial"/>
          <w:color w:val="000000"/>
          <w:sz w:val="24"/>
          <w:szCs w:val="24"/>
        </w:rPr>
        <w:t xml:space="preserve">. En su escrito de contestación, hace valer lo siguiente: </w:t>
      </w:r>
    </w:p>
    <w:p w14:paraId="3F10C16F" w14:textId="77777777" w:rsidR="00B14497" w:rsidRDefault="000142EE">
      <w:pPr>
        <w:numPr>
          <w:ilvl w:val="0"/>
          <w:numId w:val="3"/>
        </w:numPr>
        <w:pBdr>
          <w:top w:val="nil"/>
          <w:left w:val="nil"/>
          <w:bottom w:val="nil"/>
          <w:right w:val="nil"/>
          <w:between w:val="nil"/>
        </w:pBdr>
        <w:spacing w:line="360" w:lineRule="auto"/>
        <w:ind w:left="426"/>
        <w:jc w:val="both"/>
        <w:rPr>
          <w:rFonts w:ascii="Arial" w:eastAsia="Arial" w:hAnsi="Arial" w:cs="Arial"/>
          <w:color w:val="000000"/>
          <w:sz w:val="24"/>
          <w:szCs w:val="24"/>
        </w:rPr>
      </w:pPr>
      <w:r>
        <w:rPr>
          <w:rFonts w:ascii="Arial" w:eastAsia="Arial" w:hAnsi="Arial" w:cs="Arial"/>
          <w:color w:val="000000"/>
          <w:sz w:val="24"/>
          <w:szCs w:val="24"/>
        </w:rPr>
        <w:t>Afirma que publicó y difundió los resultados de sus estudios de opinión exclusivamente en su página oficial y dentro de los plazos establecidos por la ley.</w:t>
      </w:r>
    </w:p>
    <w:p w14:paraId="00D9A408" w14:textId="77777777" w:rsidR="00B14497" w:rsidRDefault="000142EE">
      <w:pPr>
        <w:numPr>
          <w:ilvl w:val="0"/>
          <w:numId w:val="3"/>
        </w:numPr>
        <w:pBdr>
          <w:top w:val="nil"/>
          <w:left w:val="nil"/>
          <w:bottom w:val="nil"/>
          <w:right w:val="nil"/>
          <w:between w:val="nil"/>
        </w:pBdr>
        <w:spacing w:line="360" w:lineRule="auto"/>
        <w:ind w:left="426"/>
        <w:jc w:val="both"/>
        <w:rPr>
          <w:rFonts w:ascii="Arial" w:eastAsia="Arial" w:hAnsi="Arial" w:cs="Arial"/>
          <w:color w:val="000000"/>
          <w:sz w:val="24"/>
          <w:szCs w:val="24"/>
        </w:rPr>
      </w:pPr>
      <w:r>
        <w:rPr>
          <w:rFonts w:ascii="Arial" w:eastAsia="Arial" w:hAnsi="Arial" w:cs="Arial"/>
          <w:color w:val="000000"/>
          <w:sz w:val="24"/>
          <w:szCs w:val="24"/>
        </w:rPr>
        <w:t xml:space="preserve">Asegura que no ordenó ni pagó la difusión de sus estudios de opinión en ningún otro medio y tampoco participó en un plan de difusión con la finalidad de beneficiar una candidatura en particular. </w:t>
      </w:r>
    </w:p>
    <w:p w14:paraId="38767F2E" w14:textId="77777777" w:rsidR="00B14497" w:rsidRDefault="000142EE">
      <w:pPr>
        <w:numPr>
          <w:ilvl w:val="0"/>
          <w:numId w:val="3"/>
        </w:numPr>
        <w:pBdr>
          <w:top w:val="nil"/>
          <w:left w:val="nil"/>
          <w:bottom w:val="nil"/>
          <w:right w:val="nil"/>
          <w:between w:val="nil"/>
        </w:pBdr>
        <w:spacing w:line="360" w:lineRule="auto"/>
        <w:ind w:left="426"/>
        <w:jc w:val="both"/>
        <w:rPr>
          <w:rFonts w:ascii="Arial" w:eastAsia="Arial" w:hAnsi="Arial" w:cs="Arial"/>
          <w:color w:val="000000"/>
          <w:sz w:val="24"/>
          <w:szCs w:val="24"/>
        </w:rPr>
      </w:pPr>
      <w:r>
        <w:rPr>
          <w:rFonts w:ascii="Arial" w:eastAsia="Arial" w:hAnsi="Arial" w:cs="Arial"/>
          <w:color w:val="000000"/>
          <w:sz w:val="24"/>
          <w:szCs w:val="24"/>
        </w:rPr>
        <w:t xml:space="preserve">Estima que la metodología de sus estudios de opinión está apegada a los requisitos establecidos, entre otras normatividades, en el Reglamento de Elecciones del Consejo General del INE. </w:t>
      </w:r>
    </w:p>
    <w:p w14:paraId="34F9CB00" w14:textId="77777777" w:rsidR="00B14497" w:rsidRDefault="00B14497">
      <w:pPr>
        <w:pBdr>
          <w:top w:val="nil"/>
          <w:left w:val="nil"/>
          <w:bottom w:val="nil"/>
          <w:right w:val="nil"/>
          <w:between w:val="nil"/>
        </w:pBdr>
        <w:spacing w:line="360" w:lineRule="auto"/>
        <w:ind w:left="66"/>
        <w:jc w:val="both"/>
        <w:rPr>
          <w:rFonts w:ascii="Arial" w:eastAsia="Arial" w:hAnsi="Arial" w:cs="Arial"/>
          <w:color w:val="000000"/>
          <w:sz w:val="24"/>
          <w:szCs w:val="24"/>
        </w:rPr>
      </w:pPr>
    </w:p>
    <w:p w14:paraId="6DED8248" w14:textId="77777777" w:rsidR="00B14497" w:rsidRDefault="000142EE">
      <w:pPr>
        <w:pBdr>
          <w:top w:val="nil"/>
          <w:left w:val="nil"/>
          <w:bottom w:val="nil"/>
          <w:right w:val="nil"/>
          <w:between w:val="nil"/>
        </w:pBdr>
        <w:spacing w:line="360" w:lineRule="auto"/>
        <w:jc w:val="both"/>
        <w:rPr>
          <w:rFonts w:ascii="Arial" w:eastAsia="Arial" w:hAnsi="Arial" w:cs="Arial"/>
          <w:color w:val="000000"/>
          <w:sz w:val="24"/>
          <w:szCs w:val="24"/>
        </w:rPr>
      </w:pPr>
      <w:r>
        <w:rPr>
          <w:rFonts w:ascii="Arial" w:eastAsia="Arial" w:hAnsi="Arial" w:cs="Arial"/>
          <w:b/>
          <w:color w:val="000000"/>
          <w:sz w:val="24"/>
          <w:szCs w:val="24"/>
        </w:rPr>
        <w:lastRenderedPageBreak/>
        <w:t xml:space="preserve">2.3. Defensas de Miguel Ángel Vertiz Camacho, administrador de los perfiles de Facebook </w:t>
      </w:r>
      <w:r>
        <w:rPr>
          <w:rFonts w:ascii="Arial" w:eastAsia="Arial" w:hAnsi="Arial" w:cs="Arial"/>
          <w:b/>
          <w:i/>
          <w:color w:val="000000"/>
          <w:sz w:val="24"/>
          <w:szCs w:val="24"/>
        </w:rPr>
        <w:t xml:space="preserve">Nexo Noticias, Omega Noticias </w:t>
      </w:r>
      <w:r>
        <w:rPr>
          <w:rFonts w:ascii="Arial" w:eastAsia="Arial" w:hAnsi="Arial" w:cs="Arial"/>
          <w:b/>
          <w:color w:val="000000"/>
          <w:sz w:val="24"/>
          <w:szCs w:val="24"/>
        </w:rPr>
        <w:t>y</w:t>
      </w:r>
      <w:r>
        <w:rPr>
          <w:rFonts w:ascii="Arial" w:eastAsia="Arial" w:hAnsi="Arial" w:cs="Arial"/>
          <w:b/>
          <w:i/>
          <w:color w:val="000000"/>
          <w:sz w:val="24"/>
          <w:szCs w:val="24"/>
        </w:rPr>
        <w:t xml:space="preserve"> </w:t>
      </w:r>
      <w:proofErr w:type="spellStart"/>
      <w:r>
        <w:rPr>
          <w:rFonts w:ascii="Arial" w:eastAsia="Arial" w:hAnsi="Arial" w:cs="Arial"/>
          <w:b/>
          <w:i/>
          <w:color w:val="000000"/>
          <w:sz w:val="24"/>
          <w:szCs w:val="24"/>
        </w:rPr>
        <w:t>Noti</w:t>
      </w:r>
      <w:proofErr w:type="spellEnd"/>
      <w:r>
        <w:rPr>
          <w:rFonts w:ascii="Arial" w:eastAsia="Arial" w:hAnsi="Arial" w:cs="Arial"/>
          <w:b/>
          <w:i/>
          <w:color w:val="000000"/>
          <w:sz w:val="24"/>
          <w:szCs w:val="24"/>
        </w:rPr>
        <w:t xml:space="preserve"> Siete</w:t>
      </w:r>
      <w:r>
        <w:rPr>
          <w:rFonts w:ascii="Arial" w:eastAsia="Arial" w:hAnsi="Arial" w:cs="Arial"/>
          <w:b/>
          <w:color w:val="000000"/>
          <w:sz w:val="24"/>
          <w:szCs w:val="24"/>
        </w:rPr>
        <w:t xml:space="preserve">. </w:t>
      </w:r>
      <w:r>
        <w:rPr>
          <w:rFonts w:ascii="Arial" w:eastAsia="Arial" w:hAnsi="Arial" w:cs="Arial"/>
          <w:color w:val="000000"/>
          <w:sz w:val="24"/>
          <w:szCs w:val="24"/>
        </w:rPr>
        <w:t>En su escrito de contestación, argumenta lo siguiente:</w:t>
      </w:r>
    </w:p>
    <w:p w14:paraId="4BAC08B4" w14:textId="77777777" w:rsidR="00B14497" w:rsidRDefault="000142EE">
      <w:pPr>
        <w:numPr>
          <w:ilvl w:val="0"/>
          <w:numId w:val="3"/>
        </w:numPr>
        <w:pBdr>
          <w:top w:val="nil"/>
          <w:left w:val="nil"/>
          <w:bottom w:val="nil"/>
          <w:right w:val="nil"/>
          <w:between w:val="nil"/>
        </w:pBdr>
        <w:spacing w:line="360" w:lineRule="auto"/>
        <w:ind w:left="426"/>
        <w:jc w:val="both"/>
        <w:rPr>
          <w:rFonts w:ascii="Arial" w:eastAsia="Arial" w:hAnsi="Arial" w:cs="Arial"/>
          <w:color w:val="000000"/>
          <w:sz w:val="24"/>
          <w:szCs w:val="24"/>
        </w:rPr>
      </w:pPr>
      <w:r>
        <w:rPr>
          <w:rFonts w:ascii="Arial" w:eastAsia="Arial" w:hAnsi="Arial" w:cs="Arial"/>
          <w:color w:val="000000"/>
          <w:sz w:val="24"/>
          <w:szCs w:val="24"/>
        </w:rPr>
        <w:t xml:space="preserve">Considera que, en su carácter de medio de comunicación, no es sujeto legitimado para realizar propaganda política-electoral en favor de alguna candidatura. </w:t>
      </w:r>
    </w:p>
    <w:p w14:paraId="21D6C7AB" w14:textId="77777777" w:rsidR="00B14497" w:rsidRDefault="000142EE">
      <w:pPr>
        <w:numPr>
          <w:ilvl w:val="0"/>
          <w:numId w:val="3"/>
        </w:numPr>
        <w:pBdr>
          <w:top w:val="nil"/>
          <w:left w:val="nil"/>
          <w:bottom w:val="nil"/>
          <w:right w:val="nil"/>
          <w:between w:val="nil"/>
        </w:pBdr>
        <w:spacing w:line="360" w:lineRule="auto"/>
        <w:ind w:left="426"/>
        <w:jc w:val="both"/>
        <w:rPr>
          <w:rFonts w:ascii="Arial" w:eastAsia="Arial" w:hAnsi="Arial" w:cs="Arial"/>
          <w:color w:val="000000"/>
          <w:sz w:val="24"/>
          <w:szCs w:val="24"/>
        </w:rPr>
      </w:pPr>
      <w:r>
        <w:rPr>
          <w:rFonts w:ascii="Arial" w:eastAsia="Arial" w:hAnsi="Arial" w:cs="Arial"/>
          <w:color w:val="000000"/>
          <w:sz w:val="24"/>
          <w:szCs w:val="24"/>
        </w:rPr>
        <w:t xml:space="preserve">Afirma que las publicaciones que le son cuestionadas, no se realizaron de forma directa, sino que son producto de una réplica de contenido, lo cual se encuentra amparado por la libertad de expresión. </w:t>
      </w:r>
    </w:p>
    <w:p w14:paraId="47B6C2A3" w14:textId="77777777" w:rsidR="00B14497" w:rsidRDefault="000142EE">
      <w:pPr>
        <w:numPr>
          <w:ilvl w:val="0"/>
          <w:numId w:val="3"/>
        </w:numPr>
        <w:pBdr>
          <w:top w:val="nil"/>
          <w:left w:val="nil"/>
          <w:bottom w:val="nil"/>
          <w:right w:val="nil"/>
          <w:between w:val="nil"/>
        </w:pBdr>
        <w:spacing w:line="360" w:lineRule="auto"/>
        <w:ind w:left="426"/>
        <w:jc w:val="both"/>
        <w:rPr>
          <w:rFonts w:ascii="Arial" w:eastAsia="Arial" w:hAnsi="Arial" w:cs="Arial"/>
          <w:color w:val="000000"/>
          <w:sz w:val="24"/>
          <w:szCs w:val="24"/>
        </w:rPr>
      </w:pPr>
      <w:r>
        <w:rPr>
          <w:rFonts w:ascii="Arial" w:eastAsia="Arial" w:hAnsi="Arial" w:cs="Arial"/>
          <w:color w:val="000000"/>
          <w:sz w:val="24"/>
          <w:szCs w:val="24"/>
        </w:rPr>
        <w:t xml:space="preserve">Estima que no se encuentra obligado a verificar si las encuestas difundidas cumplieron con los requisitos ordenados, porque estas no fueron de elaboración propia. </w:t>
      </w:r>
    </w:p>
    <w:p w14:paraId="4955C70C" w14:textId="77777777" w:rsidR="00B14497" w:rsidRDefault="000142EE">
      <w:pPr>
        <w:numPr>
          <w:ilvl w:val="0"/>
          <w:numId w:val="3"/>
        </w:numPr>
        <w:pBdr>
          <w:top w:val="nil"/>
          <w:left w:val="nil"/>
          <w:bottom w:val="nil"/>
          <w:right w:val="nil"/>
          <w:between w:val="nil"/>
        </w:pBdr>
        <w:spacing w:line="360" w:lineRule="auto"/>
        <w:ind w:left="426"/>
        <w:jc w:val="both"/>
        <w:rPr>
          <w:rFonts w:ascii="Arial" w:eastAsia="Arial" w:hAnsi="Arial" w:cs="Arial"/>
          <w:color w:val="000000"/>
          <w:sz w:val="24"/>
          <w:szCs w:val="24"/>
        </w:rPr>
      </w:pPr>
      <w:r>
        <w:rPr>
          <w:rFonts w:ascii="Arial" w:eastAsia="Arial" w:hAnsi="Arial" w:cs="Arial"/>
          <w:color w:val="000000"/>
          <w:sz w:val="24"/>
          <w:szCs w:val="24"/>
        </w:rPr>
        <w:t xml:space="preserve">Asegura que no se realizó un menoscabo en la opinión pública de la ciudadanía, dado que la impresión generada a partir de las publicaciones, es un tema de carácter personalísimo. </w:t>
      </w:r>
    </w:p>
    <w:p w14:paraId="7AC1FD69" w14:textId="77777777" w:rsidR="00B14497" w:rsidRDefault="00B14497">
      <w:pPr>
        <w:pBdr>
          <w:top w:val="nil"/>
          <w:left w:val="nil"/>
          <w:bottom w:val="nil"/>
          <w:right w:val="nil"/>
          <w:between w:val="nil"/>
        </w:pBdr>
        <w:rPr>
          <w:color w:val="000000"/>
          <w:sz w:val="16"/>
          <w:szCs w:val="16"/>
        </w:rPr>
      </w:pPr>
    </w:p>
    <w:p w14:paraId="7F238E1E" w14:textId="77777777" w:rsidR="00B14497" w:rsidRDefault="000142EE">
      <w:pPr>
        <w:pBdr>
          <w:top w:val="nil"/>
          <w:left w:val="nil"/>
          <w:bottom w:val="nil"/>
          <w:right w:val="nil"/>
          <w:between w:val="nil"/>
        </w:pBdr>
        <w:tabs>
          <w:tab w:val="left" w:pos="567"/>
        </w:tabs>
        <w:spacing w:line="360" w:lineRule="auto"/>
        <w:jc w:val="both"/>
        <w:rPr>
          <w:rFonts w:ascii="Arial" w:eastAsia="Arial" w:hAnsi="Arial" w:cs="Arial"/>
          <w:color w:val="000000"/>
          <w:sz w:val="24"/>
          <w:szCs w:val="24"/>
        </w:rPr>
      </w:pPr>
      <w:r>
        <w:rPr>
          <w:rFonts w:ascii="Arial" w:eastAsia="Arial" w:hAnsi="Arial" w:cs="Arial"/>
          <w:b/>
          <w:color w:val="000000"/>
          <w:sz w:val="24"/>
          <w:szCs w:val="24"/>
        </w:rPr>
        <w:t xml:space="preserve">3. Descripción de los medios de prueba. </w:t>
      </w:r>
      <w:r>
        <w:rPr>
          <w:rFonts w:ascii="Arial" w:eastAsia="Arial" w:hAnsi="Arial" w:cs="Arial"/>
          <w:color w:val="000000"/>
          <w:sz w:val="24"/>
          <w:szCs w:val="24"/>
        </w:rPr>
        <w:t>Como se advierte de la audiencia de pruebas y alegatos, a las partes les fueron admitidas y desahogadas las siguientes probanzas:</w:t>
      </w:r>
    </w:p>
    <w:p w14:paraId="1210012C" w14:textId="77777777" w:rsidR="00B14497" w:rsidRDefault="00B14497">
      <w:pPr>
        <w:pBdr>
          <w:top w:val="nil"/>
          <w:left w:val="nil"/>
          <w:bottom w:val="nil"/>
          <w:right w:val="nil"/>
          <w:between w:val="nil"/>
        </w:pBdr>
        <w:rPr>
          <w:color w:val="000000"/>
        </w:rPr>
      </w:pPr>
    </w:p>
    <w:p w14:paraId="0B09BA99" w14:textId="77777777" w:rsidR="00B14497" w:rsidRDefault="000142EE">
      <w:pPr>
        <w:pBdr>
          <w:top w:val="nil"/>
          <w:left w:val="nil"/>
          <w:bottom w:val="nil"/>
          <w:right w:val="nil"/>
          <w:between w:val="nil"/>
        </w:pBdr>
        <w:tabs>
          <w:tab w:val="left" w:pos="567"/>
        </w:tabs>
        <w:spacing w:line="360" w:lineRule="auto"/>
        <w:jc w:val="both"/>
        <w:rPr>
          <w:rFonts w:ascii="Arial" w:eastAsia="Arial" w:hAnsi="Arial" w:cs="Arial"/>
          <w:b/>
          <w:color w:val="000000"/>
          <w:sz w:val="24"/>
          <w:szCs w:val="24"/>
        </w:rPr>
      </w:pPr>
      <w:r>
        <w:rPr>
          <w:rFonts w:ascii="Arial" w:eastAsia="Arial" w:hAnsi="Arial" w:cs="Arial"/>
          <w:b/>
          <w:color w:val="000000"/>
          <w:sz w:val="24"/>
          <w:szCs w:val="24"/>
        </w:rPr>
        <w:t xml:space="preserve">3.1. Pruebas aportadas por el partido político denunciante: </w:t>
      </w:r>
    </w:p>
    <w:tbl>
      <w:tblPr>
        <w:tblStyle w:val="afd"/>
        <w:tblW w:w="9855" w:type="dxa"/>
        <w:tblInd w:w="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ayout w:type="fixed"/>
        <w:tblLook w:val="04A0" w:firstRow="1" w:lastRow="0" w:firstColumn="1" w:lastColumn="0" w:noHBand="0" w:noVBand="1"/>
      </w:tblPr>
      <w:tblGrid>
        <w:gridCol w:w="420"/>
        <w:gridCol w:w="2145"/>
        <w:gridCol w:w="7290"/>
      </w:tblGrid>
      <w:tr w:rsidR="00B14497" w14:paraId="23C9E855" w14:textId="77777777" w:rsidTr="00B1449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0" w:type="dxa"/>
            <w:shd w:val="clear" w:color="auto" w:fill="A6A6A6"/>
          </w:tcPr>
          <w:p w14:paraId="0F48293F" w14:textId="77777777" w:rsidR="00B14497" w:rsidRDefault="000142EE">
            <w:pPr>
              <w:jc w:val="center"/>
              <w:rPr>
                <w:rFonts w:ascii="Arial" w:eastAsia="Arial" w:hAnsi="Arial" w:cs="Arial"/>
                <w:sz w:val="16"/>
                <w:szCs w:val="16"/>
              </w:rPr>
            </w:pPr>
            <w:r>
              <w:rPr>
                <w:rFonts w:ascii="Arial" w:eastAsia="Arial" w:hAnsi="Arial" w:cs="Arial"/>
                <w:color w:val="000000"/>
                <w:sz w:val="16"/>
                <w:szCs w:val="16"/>
              </w:rPr>
              <w:t>#</w:t>
            </w:r>
          </w:p>
        </w:tc>
        <w:tc>
          <w:tcPr>
            <w:tcW w:w="2145" w:type="dxa"/>
            <w:shd w:val="clear" w:color="auto" w:fill="A6A6A6"/>
          </w:tcPr>
          <w:p w14:paraId="5E630910" w14:textId="77777777" w:rsidR="00B14497" w:rsidRDefault="000142EE">
            <w:pPr>
              <w:cnfStyle w:val="100000000000" w:firstRow="1" w:lastRow="0" w:firstColumn="0" w:lastColumn="0" w:oddVBand="0" w:evenVBand="0" w:oddHBand="0" w:evenHBand="0" w:firstRowFirstColumn="0" w:firstRowLastColumn="0" w:lastRowFirstColumn="0" w:lastRowLastColumn="0"/>
              <w:rPr>
                <w:rFonts w:ascii="Arial" w:eastAsia="Arial" w:hAnsi="Arial" w:cs="Arial"/>
                <w:sz w:val="16"/>
                <w:szCs w:val="16"/>
              </w:rPr>
            </w:pPr>
            <w:r>
              <w:rPr>
                <w:rFonts w:ascii="Arial" w:eastAsia="Arial" w:hAnsi="Arial" w:cs="Arial"/>
                <w:color w:val="000000"/>
                <w:sz w:val="16"/>
                <w:szCs w:val="16"/>
              </w:rPr>
              <w:t>Prueba</w:t>
            </w:r>
          </w:p>
        </w:tc>
        <w:tc>
          <w:tcPr>
            <w:tcW w:w="7290" w:type="dxa"/>
            <w:shd w:val="clear" w:color="auto" w:fill="A6A6A6"/>
          </w:tcPr>
          <w:p w14:paraId="185F86FA" w14:textId="77777777" w:rsidR="00B14497" w:rsidRDefault="000142EE">
            <w:pPr>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sz w:val="16"/>
                <w:szCs w:val="16"/>
              </w:rPr>
            </w:pPr>
            <w:r>
              <w:rPr>
                <w:rFonts w:ascii="Arial" w:eastAsia="Arial" w:hAnsi="Arial" w:cs="Arial"/>
                <w:color w:val="000000"/>
                <w:sz w:val="16"/>
                <w:szCs w:val="16"/>
              </w:rPr>
              <w:t>Consistente en</w:t>
            </w:r>
          </w:p>
        </w:tc>
      </w:tr>
      <w:tr w:rsidR="00B14497" w14:paraId="681881DC" w14:textId="77777777" w:rsidTr="00B14497">
        <w:trPr>
          <w:cnfStyle w:val="000000100000" w:firstRow="0" w:lastRow="0" w:firstColumn="0" w:lastColumn="0" w:oddVBand="0" w:evenVBand="0" w:oddHBand="1" w:evenHBand="0" w:firstRowFirstColumn="0" w:firstRowLastColumn="0" w:lastRowFirstColumn="0" w:lastRowLastColumn="0"/>
          <w:trHeight w:val="431"/>
        </w:trPr>
        <w:tc>
          <w:tcPr>
            <w:cnfStyle w:val="001000000000" w:firstRow="0" w:lastRow="0" w:firstColumn="1" w:lastColumn="0" w:oddVBand="0" w:evenVBand="0" w:oddHBand="0" w:evenHBand="0" w:firstRowFirstColumn="0" w:firstRowLastColumn="0" w:lastRowFirstColumn="0" w:lastRowLastColumn="0"/>
            <w:tcW w:w="420" w:type="dxa"/>
            <w:shd w:val="clear" w:color="auto" w:fill="D9D9D9"/>
          </w:tcPr>
          <w:p w14:paraId="13E2D19C" w14:textId="77777777" w:rsidR="00B14497" w:rsidRDefault="000142EE">
            <w:pPr>
              <w:jc w:val="center"/>
              <w:rPr>
                <w:rFonts w:ascii="Arial" w:eastAsia="Arial" w:hAnsi="Arial" w:cs="Arial"/>
                <w:sz w:val="16"/>
                <w:szCs w:val="16"/>
              </w:rPr>
            </w:pPr>
            <w:r>
              <w:rPr>
                <w:rFonts w:ascii="Arial" w:eastAsia="Arial" w:hAnsi="Arial" w:cs="Arial"/>
                <w:sz w:val="16"/>
                <w:szCs w:val="16"/>
              </w:rPr>
              <w:t>1</w:t>
            </w:r>
          </w:p>
        </w:tc>
        <w:tc>
          <w:tcPr>
            <w:tcW w:w="2145" w:type="dxa"/>
            <w:shd w:val="clear" w:color="auto" w:fill="D9D9D9"/>
          </w:tcPr>
          <w:p w14:paraId="7F900125" w14:textId="77777777" w:rsidR="00B14497" w:rsidRDefault="000142EE">
            <w:pPr>
              <w:cnfStyle w:val="000000100000" w:firstRow="0" w:lastRow="0" w:firstColumn="0" w:lastColumn="0" w:oddVBand="0" w:evenVBand="0" w:oddHBand="1" w:evenHBand="0" w:firstRowFirstColumn="0" w:firstRowLastColumn="0" w:lastRowFirstColumn="0" w:lastRowLastColumn="0"/>
              <w:rPr>
                <w:rFonts w:ascii="Arial" w:eastAsia="Arial" w:hAnsi="Arial" w:cs="Arial"/>
                <w:b/>
                <w:sz w:val="16"/>
                <w:szCs w:val="16"/>
              </w:rPr>
            </w:pPr>
            <w:proofErr w:type="gramStart"/>
            <w:r>
              <w:rPr>
                <w:rFonts w:ascii="Arial" w:eastAsia="Arial" w:hAnsi="Arial" w:cs="Arial"/>
                <w:b/>
                <w:sz w:val="16"/>
                <w:szCs w:val="16"/>
              </w:rPr>
              <w:t>Documental pública</w:t>
            </w:r>
            <w:proofErr w:type="gramEnd"/>
          </w:p>
        </w:tc>
        <w:tc>
          <w:tcPr>
            <w:tcW w:w="7290" w:type="dxa"/>
            <w:shd w:val="clear" w:color="auto" w:fill="D9D9D9"/>
          </w:tcPr>
          <w:p w14:paraId="5288E07A" w14:textId="77777777" w:rsidR="00B14497" w:rsidRDefault="000142EE">
            <w:pPr>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sz w:val="16"/>
                <w:szCs w:val="16"/>
              </w:rPr>
            </w:pPr>
            <w:r>
              <w:rPr>
                <w:rFonts w:ascii="Arial" w:eastAsia="Arial" w:hAnsi="Arial" w:cs="Arial"/>
                <w:sz w:val="16"/>
                <w:szCs w:val="16"/>
              </w:rPr>
              <w:t>Oficialía Electoral IEE/OE/111/2022.</w:t>
            </w:r>
          </w:p>
        </w:tc>
      </w:tr>
      <w:tr w:rsidR="00B14497" w14:paraId="0FD1B3B3" w14:textId="77777777" w:rsidTr="00B14497">
        <w:trPr>
          <w:trHeight w:val="225"/>
        </w:trPr>
        <w:tc>
          <w:tcPr>
            <w:cnfStyle w:val="001000000000" w:firstRow="0" w:lastRow="0" w:firstColumn="1" w:lastColumn="0" w:oddVBand="0" w:evenVBand="0" w:oddHBand="0" w:evenHBand="0" w:firstRowFirstColumn="0" w:firstRowLastColumn="0" w:lastRowFirstColumn="0" w:lastRowLastColumn="0"/>
            <w:tcW w:w="420" w:type="dxa"/>
          </w:tcPr>
          <w:p w14:paraId="0F3AB116" w14:textId="77777777" w:rsidR="00B14497" w:rsidRDefault="000142EE">
            <w:pPr>
              <w:rPr>
                <w:rFonts w:ascii="Arial" w:eastAsia="Arial" w:hAnsi="Arial" w:cs="Arial"/>
                <w:sz w:val="16"/>
                <w:szCs w:val="16"/>
              </w:rPr>
            </w:pPr>
            <w:r>
              <w:rPr>
                <w:rFonts w:ascii="Arial" w:eastAsia="Arial" w:hAnsi="Arial" w:cs="Arial"/>
                <w:sz w:val="16"/>
                <w:szCs w:val="16"/>
              </w:rPr>
              <w:t xml:space="preserve"> 2</w:t>
            </w:r>
          </w:p>
        </w:tc>
        <w:tc>
          <w:tcPr>
            <w:tcW w:w="2145" w:type="dxa"/>
          </w:tcPr>
          <w:p w14:paraId="59A85C80" w14:textId="77777777" w:rsidR="00B14497" w:rsidRDefault="000142EE">
            <w:pPr>
              <w:cnfStyle w:val="000000000000" w:firstRow="0" w:lastRow="0" w:firstColumn="0" w:lastColumn="0" w:oddVBand="0" w:evenVBand="0" w:oddHBand="0" w:evenHBand="0" w:firstRowFirstColumn="0" w:firstRowLastColumn="0" w:lastRowFirstColumn="0" w:lastRowLastColumn="0"/>
              <w:rPr>
                <w:rFonts w:ascii="Arial" w:eastAsia="Arial" w:hAnsi="Arial" w:cs="Arial"/>
                <w:b/>
                <w:sz w:val="16"/>
                <w:szCs w:val="16"/>
              </w:rPr>
            </w:pPr>
            <w:r>
              <w:rPr>
                <w:rFonts w:ascii="Arial" w:eastAsia="Arial" w:hAnsi="Arial" w:cs="Arial"/>
                <w:b/>
                <w:sz w:val="16"/>
                <w:szCs w:val="16"/>
              </w:rPr>
              <w:t xml:space="preserve">Presuncional legal y humana </w:t>
            </w:r>
          </w:p>
        </w:tc>
        <w:tc>
          <w:tcPr>
            <w:tcW w:w="7290" w:type="dxa"/>
          </w:tcPr>
          <w:p w14:paraId="2AF18D97" w14:textId="77777777" w:rsidR="00B14497" w:rsidRDefault="000142EE">
            <w:pPr>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sz w:val="16"/>
                <w:szCs w:val="16"/>
              </w:rPr>
            </w:pPr>
            <w:r>
              <w:rPr>
                <w:rFonts w:ascii="Arial" w:eastAsia="Arial" w:hAnsi="Arial" w:cs="Arial"/>
                <w:sz w:val="16"/>
                <w:szCs w:val="16"/>
              </w:rPr>
              <w:t>Todo lo que por su contenido y alcance favorezca a sus intereses.</w:t>
            </w:r>
          </w:p>
        </w:tc>
      </w:tr>
      <w:tr w:rsidR="00B14497" w14:paraId="691780E3" w14:textId="77777777" w:rsidTr="00B144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0" w:type="dxa"/>
            <w:shd w:val="clear" w:color="auto" w:fill="D9D9D9"/>
          </w:tcPr>
          <w:p w14:paraId="7AE78555" w14:textId="77777777" w:rsidR="00B14497" w:rsidRDefault="000142EE">
            <w:pPr>
              <w:jc w:val="center"/>
              <w:rPr>
                <w:rFonts w:ascii="Arial" w:eastAsia="Arial" w:hAnsi="Arial" w:cs="Arial"/>
                <w:sz w:val="16"/>
                <w:szCs w:val="16"/>
              </w:rPr>
            </w:pPr>
            <w:r>
              <w:rPr>
                <w:rFonts w:ascii="Arial" w:eastAsia="Arial" w:hAnsi="Arial" w:cs="Arial"/>
                <w:sz w:val="16"/>
                <w:szCs w:val="16"/>
              </w:rPr>
              <w:t>3</w:t>
            </w:r>
          </w:p>
        </w:tc>
        <w:tc>
          <w:tcPr>
            <w:tcW w:w="2145" w:type="dxa"/>
            <w:shd w:val="clear" w:color="auto" w:fill="D9D9D9"/>
          </w:tcPr>
          <w:p w14:paraId="1EF30DA2" w14:textId="77777777" w:rsidR="00B14497" w:rsidRDefault="000142EE">
            <w:pPr>
              <w:cnfStyle w:val="000000100000" w:firstRow="0" w:lastRow="0" w:firstColumn="0" w:lastColumn="0" w:oddVBand="0" w:evenVBand="0" w:oddHBand="1" w:evenHBand="0" w:firstRowFirstColumn="0" w:firstRowLastColumn="0" w:lastRowFirstColumn="0" w:lastRowLastColumn="0"/>
              <w:rPr>
                <w:rFonts w:ascii="Arial" w:eastAsia="Arial" w:hAnsi="Arial" w:cs="Arial"/>
                <w:b/>
                <w:sz w:val="16"/>
                <w:szCs w:val="16"/>
              </w:rPr>
            </w:pPr>
            <w:r>
              <w:rPr>
                <w:rFonts w:ascii="Arial" w:eastAsia="Arial" w:hAnsi="Arial" w:cs="Arial"/>
                <w:b/>
                <w:sz w:val="16"/>
                <w:szCs w:val="16"/>
              </w:rPr>
              <w:t>Instrumental de actuaciones</w:t>
            </w:r>
          </w:p>
        </w:tc>
        <w:tc>
          <w:tcPr>
            <w:tcW w:w="7290" w:type="dxa"/>
            <w:shd w:val="clear" w:color="auto" w:fill="D9D9D9"/>
          </w:tcPr>
          <w:p w14:paraId="6D5ECE26" w14:textId="77777777" w:rsidR="00B14497" w:rsidRDefault="000142EE">
            <w:pPr>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sz w:val="16"/>
                <w:szCs w:val="16"/>
              </w:rPr>
            </w:pPr>
            <w:r>
              <w:rPr>
                <w:rFonts w:ascii="Arial" w:eastAsia="Arial" w:hAnsi="Arial" w:cs="Arial"/>
                <w:sz w:val="16"/>
                <w:szCs w:val="16"/>
              </w:rPr>
              <w:t>Todo lo que por su contenido y alcance favorezca a sus intereses.</w:t>
            </w:r>
          </w:p>
        </w:tc>
      </w:tr>
    </w:tbl>
    <w:p w14:paraId="45B872AF" w14:textId="77777777" w:rsidR="00B14497" w:rsidRDefault="00B14497">
      <w:pPr>
        <w:pBdr>
          <w:top w:val="nil"/>
          <w:left w:val="nil"/>
          <w:bottom w:val="nil"/>
          <w:right w:val="nil"/>
          <w:between w:val="nil"/>
        </w:pBdr>
        <w:tabs>
          <w:tab w:val="left" w:pos="567"/>
        </w:tabs>
        <w:spacing w:line="360" w:lineRule="auto"/>
        <w:jc w:val="both"/>
        <w:rPr>
          <w:rFonts w:ascii="Arial" w:eastAsia="Arial" w:hAnsi="Arial" w:cs="Arial"/>
          <w:b/>
          <w:color w:val="000000"/>
          <w:sz w:val="24"/>
          <w:szCs w:val="24"/>
        </w:rPr>
      </w:pPr>
    </w:p>
    <w:p w14:paraId="501484D5" w14:textId="77777777" w:rsidR="00B14497" w:rsidRDefault="000142EE">
      <w:pPr>
        <w:pBdr>
          <w:top w:val="nil"/>
          <w:left w:val="nil"/>
          <w:bottom w:val="nil"/>
          <w:right w:val="nil"/>
          <w:between w:val="nil"/>
        </w:pBdr>
        <w:tabs>
          <w:tab w:val="left" w:pos="567"/>
        </w:tabs>
        <w:spacing w:line="360" w:lineRule="auto"/>
        <w:jc w:val="both"/>
        <w:rPr>
          <w:rFonts w:ascii="Arial" w:eastAsia="Arial" w:hAnsi="Arial" w:cs="Arial"/>
          <w:b/>
          <w:color w:val="000000"/>
          <w:sz w:val="24"/>
          <w:szCs w:val="24"/>
        </w:rPr>
      </w:pPr>
      <w:r>
        <w:rPr>
          <w:rFonts w:ascii="Arial" w:eastAsia="Arial" w:hAnsi="Arial" w:cs="Arial"/>
          <w:b/>
          <w:color w:val="000000"/>
          <w:sz w:val="24"/>
          <w:szCs w:val="24"/>
        </w:rPr>
        <w:t>3.2. Pruebas aportadas la entonces candidata María Teresa Jiménez Esquivel y</w:t>
      </w:r>
      <w:r>
        <w:rPr>
          <w:rFonts w:ascii="Arial" w:eastAsia="Arial" w:hAnsi="Arial" w:cs="Arial"/>
          <w:b/>
          <w:sz w:val="24"/>
          <w:szCs w:val="24"/>
        </w:rPr>
        <w:t xml:space="preserve"> la coalición “Va por Aguascalientes”</w:t>
      </w:r>
      <w:r>
        <w:rPr>
          <w:rFonts w:ascii="Arial" w:eastAsia="Arial" w:hAnsi="Arial" w:cs="Arial"/>
          <w:b/>
          <w:color w:val="000000"/>
          <w:sz w:val="24"/>
          <w:szCs w:val="24"/>
        </w:rPr>
        <w:t xml:space="preserve">: </w:t>
      </w:r>
    </w:p>
    <w:tbl>
      <w:tblPr>
        <w:tblStyle w:val="afe"/>
        <w:tblW w:w="9825" w:type="dxa"/>
        <w:tblInd w:w="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ayout w:type="fixed"/>
        <w:tblLook w:val="0400" w:firstRow="0" w:lastRow="0" w:firstColumn="0" w:lastColumn="0" w:noHBand="0" w:noVBand="1"/>
      </w:tblPr>
      <w:tblGrid>
        <w:gridCol w:w="420"/>
        <w:gridCol w:w="2145"/>
        <w:gridCol w:w="7260"/>
      </w:tblGrid>
      <w:tr w:rsidR="00B14497" w14:paraId="21F7A1C5" w14:textId="77777777">
        <w:tc>
          <w:tcPr>
            <w:tcW w:w="420" w:type="dxa"/>
            <w:shd w:val="clear" w:color="auto" w:fill="A6A6A6"/>
          </w:tcPr>
          <w:p w14:paraId="3E38B060" w14:textId="77777777" w:rsidR="00B14497" w:rsidRDefault="000142EE">
            <w:pPr>
              <w:jc w:val="center"/>
              <w:rPr>
                <w:rFonts w:ascii="Arial" w:eastAsia="Arial" w:hAnsi="Arial" w:cs="Arial"/>
                <w:b/>
                <w:sz w:val="16"/>
                <w:szCs w:val="16"/>
              </w:rPr>
            </w:pPr>
            <w:r>
              <w:rPr>
                <w:rFonts w:ascii="Arial" w:eastAsia="Arial" w:hAnsi="Arial" w:cs="Arial"/>
                <w:b/>
                <w:sz w:val="16"/>
                <w:szCs w:val="16"/>
              </w:rPr>
              <w:t>#</w:t>
            </w:r>
          </w:p>
        </w:tc>
        <w:tc>
          <w:tcPr>
            <w:tcW w:w="2145" w:type="dxa"/>
            <w:shd w:val="clear" w:color="auto" w:fill="A6A6A6"/>
          </w:tcPr>
          <w:p w14:paraId="1FD33A47" w14:textId="77777777" w:rsidR="00B14497" w:rsidRDefault="000142EE">
            <w:pPr>
              <w:rPr>
                <w:rFonts w:ascii="Arial" w:eastAsia="Arial" w:hAnsi="Arial" w:cs="Arial"/>
                <w:b/>
                <w:sz w:val="16"/>
                <w:szCs w:val="16"/>
              </w:rPr>
            </w:pPr>
            <w:r>
              <w:rPr>
                <w:rFonts w:ascii="Arial" w:eastAsia="Arial" w:hAnsi="Arial" w:cs="Arial"/>
                <w:b/>
                <w:sz w:val="16"/>
                <w:szCs w:val="16"/>
              </w:rPr>
              <w:t>Prueba</w:t>
            </w:r>
          </w:p>
        </w:tc>
        <w:tc>
          <w:tcPr>
            <w:tcW w:w="7260" w:type="dxa"/>
            <w:shd w:val="clear" w:color="auto" w:fill="A6A6A6"/>
          </w:tcPr>
          <w:p w14:paraId="056F82C0" w14:textId="77777777" w:rsidR="00B14497" w:rsidRDefault="000142EE">
            <w:pPr>
              <w:jc w:val="center"/>
              <w:rPr>
                <w:rFonts w:ascii="Arial" w:eastAsia="Arial" w:hAnsi="Arial" w:cs="Arial"/>
                <w:b/>
                <w:sz w:val="16"/>
                <w:szCs w:val="16"/>
              </w:rPr>
            </w:pPr>
            <w:r>
              <w:rPr>
                <w:rFonts w:ascii="Arial" w:eastAsia="Arial" w:hAnsi="Arial" w:cs="Arial"/>
                <w:b/>
                <w:sz w:val="16"/>
                <w:szCs w:val="16"/>
              </w:rPr>
              <w:t>Consistente en</w:t>
            </w:r>
          </w:p>
        </w:tc>
      </w:tr>
      <w:tr w:rsidR="00B14497" w14:paraId="7085F212" w14:textId="77777777">
        <w:trPr>
          <w:trHeight w:val="431"/>
        </w:trPr>
        <w:tc>
          <w:tcPr>
            <w:tcW w:w="420" w:type="dxa"/>
            <w:tcBorders>
              <w:top w:val="single" w:sz="4" w:space="0" w:color="666666"/>
              <w:left w:val="single" w:sz="4" w:space="0" w:color="666666"/>
              <w:bottom w:val="single" w:sz="4" w:space="0" w:color="666666"/>
              <w:right w:val="single" w:sz="4" w:space="0" w:color="666666"/>
            </w:tcBorders>
            <w:shd w:val="clear" w:color="auto" w:fill="auto"/>
          </w:tcPr>
          <w:p w14:paraId="3405C7E0" w14:textId="77777777" w:rsidR="00B14497" w:rsidRDefault="000142EE">
            <w:pPr>
              <w:jc w:val="center"/>
              <w:rPr>
                <w:rFonts w:ascii="Arial" w:eastAsia="Arial" w:hAnsi="Arial" w:cs="Arial"/>
                <w:b/>
                <w:sz w:val="16"/>
                <w:szCs w:val="16"/>
              </w:rPr>
            </w:pPr>
            <w:r>
              <w:rPr>
                <w:rFonts w:ascii="Arial" w:eastAsia="Arial" w:hAnsi="Arial" w:cs="Arial"/>
                <w:b/>
                <w:sz w:val="16"/>
                <w:szCs w:val="16"/>
              </w:rPr>
              <w:t>1</w:t>
            </w:r>
          </w:p>
        </w:tc>
        <w:tc>
          <w:tcPr>
            <w:tcW w:w="2145" w:type="dxa"/>
            <w:tcBorders>
              <w:top w:val="single" w:sz="4" w:space="0" w:color="666666"/>
              <w:left w:val="single" w:sz="4" w:space="0" w:color="666666"/>
              <w:bottom w:val="single" w:sz="4" w:space="0" w:color="666666"/>
              <w:right w:val="single" w:sz="4" w:space="0" w:color="666666"/>
            </w:tcBorders>
            <w:shd w:val="clear" w:color="auto" w:fill="auto"/>
          </w:tcPr>
          <w:p w14:paraId="5CD1B6E3" w14:textId="77777777" w:rsidR="00B14497" w:rsidRDefault="000142EE">
            <w:pPr>
              <w:rPr>
                <w:rFonts w:ascii="Arial" w:eastAsia="Arial" w:hAnsi="Arial" w:cs="Arial"/>
                <w:b/>
                <w:sz w:val="16"/>
                <w:szCs w:val="16"/>
              </w:rPr>
            </w:pPr>
            <w:r>
              <w:rPr>
                <w:rFonts w:ascii="Arial" w:eastAsia="Arial" w:hAnsi="Arial" w:cs="Arial"/>
                <w:b/>
                <w:sz w:val="16"/>
                <w:szCs w:val="16"/>
              </w:rPr>
              <w:t xml:space="preserve">Presuncional lógica, legal y humana </w:t>
            </w:r>
          </w:p>
        </w:tc>
        <w:tc>
          <w:tcPr>
            <w:tcW w:w="7260" w:type="dxa"/>
            <w:tcBorders>
              <w:top w:val="single" w:sz="4" w:space="0" w:color="666666"/>
              <w:left w:val="single" w:sz="4" w:space="0" w:color="666666"/>
              <w:bottom w:val="single" w:sz="4" w:space="0" w:color="666666"/>
              <w:right w:val="single" w:sz="4" w:space="0" w:color="666666"/>
            </w:tcBorders>
            <w:shd w:val="clear" w:color="auto" w:fill="auto"/>
          </w:tcPr>
          <w:p w14:paraId="74620C7C" w14:textId="77777777" w:rsidR="00B14497" w:rsidRDefault="000142EE">
            <w:pPr>
              <w:jc w:val="both"/>
              <w:rPr>
                <w:rFonts w:ascii="Arial" w:eastAsia="Arial" w:hAnsi="Arial" w:cs="Arial"/>
                <w:sz w:val="16"/>
                <w:szCs w:val="16"/>
              </w:rPr>
            </w:pPr>
            <w:r>
              <w:rPr>
                <w:rFonts w:ascii="Arial" w:eastAsia="Arial" w:hAnsi="Arial" w:cs="Arial"/>
                <w:sz w:val="16"/>
                <w:szCs w:val="16"/>
              </w:rPr>
              <w:t>Todo lo que por su contenido y alcance favorezca a sus intereses.</w:t>
            </w:r>
          </w:p>
        </w:tc>
      </w:tr>
      <w:tr w:rsidR="00B14497" w14:paraId="67874F4D" w14:textId="77777777">
        <w:trPr>
          <w:trHeight w:val="431"/>
        </w:trPr>
        <w:tc>
          <w:tcPr>
            <w:tcW w:w="420" w:type="dxa"/>
            <w:tcBorders>
              <w:top w:val="single" w:sz="4" w:space="0" w:color="666666"/>
              <w:left w:val="single" w:sz="4" w:space="0" w:color="666666"/>
              <w:bottom w:val="single" w:sz="4" w:space="0" w:color="666666"/>
              <w:right w:val="single" w:sz="4" w:space="0" w:color="666666"/>
            </w:tcBorders>
            <w:shd w:val="clear" w:color="auto" w:fill="D9D9D9"/>
          </w:tcPr>
          <w:p w14:paraId="5DA494A6" w14:textId="77777777" w:rsidR="00B14497" w:rsidRDefault="000142EE">
            <w:pPr>
              <w:jc w:val="center"/>
              <w:rPr>
                <w:rFonts w:ascii="Arial" w:eastAsia="Arial" w:hAnsi="Arial" w:cs="Arial"/>
                <w:b/>
                <w:sz w:val="16"/>
                <w:szCs w:val="16"/>
              </w:rPr>
            </w:pPr>
            <w:r>
              <w:rPr>
                <w:rFonts w:ascii="Arial" w:eastAsia="Arial" w:hAnsi="Arial" w:cs="Arial"/>
                <w:b/>
                <w:sz w:val="16"/>
                <w:szCs w:val="16"/>
              </w:rPr>
              <w:t>2</w:t>
            </w:r>
          </w:p>
        </w:tc>
        <w:tc>
          <w:tcPr>
            <w:tcW w:w="2145" w:type="dxa"/>
            <w:tcBorders>
              <w:top w:val="single" w:sz="4" w:space="0" w:color="666666"/>
              <w:left w:val="single" w:sz="4" w:space="0" w:color="666666"/>
              <w:bottom w:val="single" w:sz="4" w:space="0" w:color="666666"/>
              <w:right w:val="single" w:sz="4" w:space="0" w:color="666666"/>
            </w:tcBorders>
            <w:shd w:val="clear" w:color="auto" w:fill="D9D9D9"/>
          </w:tcPr>
          <w:p w14:paraId="0DE784BE" w14:textId="77777777" w:rsidR="00B14497" w:rsidRDefault="000142EE">
            <w:pPr>
              <w:rPr>
                <w:rFonts w:ascii="Arial" w:eastAsia="Arial" w:hAnsi="Arial" w:cs="Arial"/>
                <w:b/>
                <w:sz w:val="16"/>
                <w:szCs w:val="16"/>
              </w:rPr>
            </w:pPr>
            <w:r>
              <w:rPr>
                <w:rFonts w:ascii="Arial" w:eastAsia="Arial" w:hAnsi="Arial" w:cs="Arial"/>
                <w:b/>
                <w:sz w:val="16"/>
                <w:szCs w:val="16"/>
              </w:rPr>
              <w:t>Instrumental de actuaciones</w:t>
            </w:r>
          </w:p>
        </w:tc>
        <w:tc>
          <w:tcPr>
            <w:tcW w:w="7260" w:type="dxa"/>
            <w:tcBorders>
              <w:top w:val="single" w:sz="4" w:space="0" w:color="666666"/>
              <w:left w:val="single" w:sz="4" w:space="0" w:color="666666"/>
              <w:bottom w:val="single" w:sz="4" w:space="0" w:color="666666"/>
              <w:right w:val="single" w:sz="4" w:space="0" w:color="666666"/>
            </w:tcBorders>
            <w:shd w:val="clear" w:color="auto" w:fill="D9D9D9"/>
          </w:tcPr>
          <w:p w14:paraId="05DC17BD" w14:textId="77777777" w:rsidR="00B14497" w:rsidRDefault="000142EE">
            <w:pPr>
              <w:jc w:val="both"/>
              <w:rPr>
                <w:rFonts w:ascii="Arial" w:eastAsia="Arial" w:hAnsi="Arial" w:cs="Arial"/>
                <w:sz w:val="16"/>
                <w:szCs w:val="16"/>
              </w:rPr>
            </w:pPr>
            <w:r>
              <w:rPr>
                <w:rFonts w:ascii="Arial" w:eastAsia="Arial" w:hAnsi="Arial" w:cs="Arial"/>
                <w:sz w:val="16"/>
                <w:szCs w:val="16"/>
              </w:rPr>
              <w:t>Todo lo que por su contenido y alcance favorezca a sus intereses.</w:t>
            </w:r>
          </w:p>
        </w:tc>
      </w:tr>
    </w:tbl>
    <w:p w14:paraId="4CFA2C2A" w14:textId="77777777" w:rsidR="00B14497" w:rsidRDefault="00B14497">
      <w:pPr>
        <w:pBdr>
          <w:top w:val="nil"/>
          <w:left w:val="nil"/>
          <w:bottom w:val="nil"/>
          <w:right w:val="nil"/>
          <w:between w:val="nil"/>
        </w:pBdr>
        <w:tabs>
          <w:tab w:val="left" w:pos="567"/>
        </w:tabs>
        <w:spacing w:line="360" w:lineRule="auto"/>
        <w:jc w:val="both"/>
        <w:rPr>
          <w:rFonts w:ascii="Arial" w:eastAsia="Arial" w:hAnsi="Arial" w:cs="Arial"/>
          <w:b/>
          <w:color w:val="000000"/>
          <w:sz w:val="24"/>
          <w:szCs w:val="24"/>
        </w:rPr>
      </w:pPr>
    </w:p>
    <w:p w14:paraId="347D3661" w14:textId="77777777" w:rsidR="00B14497" w:rsidRDefault="000142EE">
      <w:pPr>
        <w:pBdr>
          <w:top w:val="nil"/>
          <w:left w:val="nil"/>
          <w:bottom w:val="nil"/>
          <w:right w:val="nil"/>
          <w:between w:val="nil"/>
        </w:pBdr>
        <w:tabs>
          <w:tab w:val="left" w:pos="567"/>
        </w:tabs>
        <w:spacing w:line="360" w:lineRule="auto"/>
        <w:jc w:val="both"/>
        <w:rPr>
          <w:rFonts w:ascii="Arial" w:eastAsia="Arial" w:hAnsi="Arial" w:cs="Arial"/>
          <w:b/>
          <w:color w:val="000000"/>
          <w:sz w:val="24"/>
          <w:szCs w:val="24"/>
        </w:rPr>
      </w:pPr>
      <w:r>
        <w:rPr>
          <w:rFonts w:ascii="Arial" w:eastAsia="Arial" w:hAnsi="Arial" w:cs="Arial"/>
          <w:b/>
          <w:color w:val="000000"/>
          <w:sz w:val="24"/>
          <w:szCs w:val="24"/>
        </w:rPr>
        <w:t xml:space="preserve">3.3. Pruebas aportadas por Miguel Ángel Vertiz Camacho: </w:t>
      </w:r>
    </w:p>
    <w:tbl>
      <w:tblPr>
        <w:tblStyle w:val="aff"/>
        <w:tblW w:w="9765" w:type="dxa"/>
        <w:tblInd w:w="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ayout w:type="fixed"/>
        <w:tblLook w:val="0400" w:firstRow="0" w:lastRow="0" w:firstColumn="0" w:lastColumn="0" w:noHBand="0" w:noVBand="1"/>
      </w:tblPr>
      <w:tblGrid>
        <w:gridCol w:w="420"/>
        <w:gridCol w:w="2145"/>
        <w:gridCol w:w="7200"/>
      </w:tblGrid>
      <w:tr w:rsidR="00B14497" w14:paraId="34DC4FE7" w14:textId="77777777">
        <w:tc>
          <w:tcPr>
            <w:tcW w:w="420" w:type="dxa"/>
            <w:shd w:val="clear" w:color="auto" w:fill="A6A6A6"/>
          </w:tcPr>
          <w:p w14:paraId="429BE907" w14:textId="77777777" w:rsidR="00B14497" w:rsidRDefault="000142EE">
            <w:pPr>
              <w:jc w:val="center"/>
              <w:rPr>
                <w:rFonts w:ascii="Arial" w:eastAsia="Arial" w:hAnsi="Arial" w:cs="Arial"/>
                <w:b/>
                <w:sz w:val="16"/>
                <w:szCs w:val="16"/>
              </w:rPr>
            </w:pPr>
            <w:r>
              <w:rPr>
                <w:rFonts w:ascii="Arial" w:eastAsia="Arial" w:hAnsi="Arial" w:cs="Arial"/>
                <w:b/>
                <w:sz w:val="16"/>
                <w:szCs w:val="16"/>
              </w:rPr>
              <w:t>#</w:t>
            </w:r>
          </w:p>
        </w:tc>
        <w:tc>
          <w:tcPr>
            <w:tcW w:w="2145" w:type="dxa"/>
            <w:shd w:val="clear" w:color="auto" w:fill="A6A6A6"/>
          </w:tcPr>
          <w:p w14:paraId="72477773" w14:textId="77777777" w:rsidR="00B14497" w:rsidRDefault="000142EE">
            <w:pPr>
              <w:rPr>
                <w:rFonts w:ascii="Arial" w:eastAsia="Arial" w:hAnsi="Arial" w:cs="Arial"/>
                <w:b/>
                <w:sz w:val="16"/>
                <w:szCs w:val="16"/>
              </w:rPr>
            </w:pPr>
            <w:r>
              <w:rPr>
                <w:rFonts w:ascii="Arial" w:eastAsia="Arial" w:hAnsi="Arial" w:cs="Arial"/>
                <w:b/>
                <w:sz w:val="16"/>
                <w:szCs w:val="16"/>
              </w:rPr>
              <w:t>Prueba</w:t>
            </w:r>
          </w:p>
        </w:tc>
        <w:tc>
          <w:tcPr>
            <w:tcW w:w="7200" w:type="dxa"/>
            <w:shd w:val="clear" w:color="auto" w:fill="A6A6A6"/>
          </w:tcPr>
          <w:p w14:paraId="3ABE62AD" w14:textId="77777777" w:rsidR="00B14497" w:rsidRDefault="000142EE">
            <w:pPr>
              <w:jc w:val="center"/>
              <w:rPr>
                <w:rFonts w:ascii="Arial" w:eastAsia="Arial" w:hAnsi="Arial" w:cs="Arial"/>
                <w:b/>
                <w:sz w:val="16"/>
                <w:szCs w:val="16"/>
              </w:rPr>
            </w:pPr>
            <w:r>
              <w:rPr>
                <w:rFonts w:ascii="Arial" w:eastAsia="Arial" w:hAnsi="Arial" w:cs="Arial"/>
                <w:b/>
                <w:sz w:val="16"/>
                <w:szCs w:val="16"/>
              </w:rPr>
              <w:t>Consistente en</w:t>
            </w:r>
          </w:p>
        </w:tc>
      </w:tr>
      <w:tr w:rsidR="00B14497" w14:paraId="1469B2BC" w14:textId="77777777">
        <w:trPr>
          <w:trHeight w:val="431"/>
        </w:trPr>
        <w:tc>
          <w:tcPr>
            <w:tcW w:w="420" w:type="dxa"/>
            <w:tcBorders>
              <w:top w:val="single" w:sz="4" w:space="0" w:color="666666"/>
              <w:left w:val="single" w:sz="4" w:space="0" w:color="666666"/>
              <w:bottom w:val="single" w:sz="4" w:space="0" w:color="666666"/>
              <w:right w:val="single" w:sz="4" w:space="0" w:color="666666"/>
            </w:tcBorders>
            <w:shd w:val="clear" w:color="auto" w:fill="auto"/>
          </w:tcPr>
          <w:p w14:paraId="02F22E95" w14:textId="77777777" w:rsidR="00B14497" w:rsidRDefault="000142EE">
            <w:pPr>
              <w:jc w:val="center"/>
              <w:rPr>
                <w:rFonts w:ascii="Arial" w:eastAsia="Arial" w:hAnsi="Arial" w:cs="Arial"/>
                <w:b/>
                <w:sz w:val="16"/>
                <w:szCs w:val="16"/>
              </w:rPr>
            </w:pPr>
            <w:r>
              <w:rPr>
                <w:rFonts w:ascii="Arial" w:eastAsia="Arial" w:hAnsi="Arial" w:cs="Arial"/>
                <w:b/>
                <w:sz w:val="16"/>
                <w:szCs w:val="16"/>
              </w:rPr>
              <w:t>1</w:t>
            </w:r>
          </w:p>
        </w:tc>
        <w:tc>
          <w:tcPr>
            <w:tcW w:w="2145" w:type="dxa"/>
            <w:tcBorders>
              <w:top w:val="single" w:sz="4" w:space="0" w:color="666666"/>
              <w:left w:val="single" w:sz="4" w:space="0" w:color="666666"/>
              <w:bottom w:val="single" w:sz="4" w:space="0" w:color="666666"/>
              <w:right w:val="single" w:sz="4" w:space="0" w:color="666666"/>
            </w:tcBorders>
            <w:shd w:val="clear" w:color="auto" w:fill="auto"/>
          </w:tcPr>
          <w:p w14:paraId="1FF1BF8E" w14:textId="77777777" w:rsidR="00B14497" w:rsidRDefault="000142EE">
            <w:pPr>
              <w:rPr>
                <w:rFonts w:ascii="Arial" w:eastAsia="Arial" w:hAnsi="Arial" w:cs="Arial"/>
                <w:b/>
                <w:sz w:val="16"/>
                <w:szCs w:val="16"/>
              </w:rPr>
            </w:pPr>
            <w:r>
              <w:rPr>
                <w:rFonts w:ascii="Arial" w:eastAsia="Arial" w:hAnsi="Arial" w:cs="Arial"/>
                <w:b/>
                <w:sz w:val="16"/>
                <w:szCs w:val="16"/>
              </w:rPr>
              <w:t xml:space="preserve">Instrumental de actuaciones </w:t>
            </w:r>
          </w:p>
        </w:tc>
        <w:tc>
          <w:tcPr>
            <w:tcW w:w="7200" w:type="dxa"/>
            <w:tcBorders>
              <w:top w:val="single" w:sz="4" w:space="0" w:color="666666"/>
              <w:left w:val="single" w:sz="4" w:space="0" w:color="666666"/>
              <w:bottom w:val="single" w:sz="4" w:space="0" w:color="666666"/>
              <w:right w:val="single" w:sz="4" w:space="0" w:color="666666"/>
            </w:tcBorders>
            <w:shd w:val="clear" w:color="auto" w:fill="auto"/>
          </w:tcPr>
          <w:p w14:paraId="184E71A0" w14:textId="77777777" w:rsidR="00B14497" w:rsidRDefault="000142EE">
            <w:pPr>
              <w:jc w:val="both"/>
              <w:rPr>
                <w:rFonts w:ascii="Arial" w:eastAsia="Arial" w:hAnsi="Arial" w:cs="Arial"/>
                <w:sz w:val="16"/>
                <w:szCs w:val="16"/>
              </w:rPr>
            </w:pPr>
            <w:r>
              <w:rPr>
                <w:rFonts w:ascii="Arial" w:eastAsia="Arial" w:hAnsi="Arial" w:cs="Arial"/>
                <w:sz w:val="16"/>
                <w:szCs w:val="16"/>
              </w:rPr>
              <w:t>Todo lo que por su contenido y alcance favorezca a sus intereses.</w:t>
            </w:r>
          </w:p>
        </w:tc>
      </w:tr>
      <w:tr w:rsidR="00B14497" w14:paraId="2D0146C2" w14:textId="77777777">
        <w:trPr>
          <w:trHeight w:val="431"/>
        </w:trPr>
        <w:tc>
          <w:tcPr>
            <w:tcW w:w="420" w:type="dxa"/>
            <w:tcBorders>
              <w:top w:val="single" w:sz="4" w:space="0" w:color="666666"/>
              <w:left w:val="single" w:sz="4" w:space="0" w:color="666666"/>
              <w:bottom w:val="single" w:sz="4" w:space="0" w:color="666666"/>
              <w:right w:val="single" w:sz="4" w:space="0" w:color="666666"/>
            </w:tcBorders>
            <w:shd w:val="clear" w:color="auto" w:fill="D9D9D9"/>
          </w:tcPr>
          <w:p w14:paraId="35FAA533" w14:textId="77777777" w:rsidR="00B14497" w:rsidRDefault="000142EE">
            <w:pPr>
              <w:jc w:val="center"/>
              <w:rPr>
                <w:rFonts w:ascii="Arial" w:eastAsia="Arial" w:hAnsi="Arial" w:cs="Arial"/>
                <w:b/>
                <w:sz w:val="16"/>
                <w:szCs w:val="16"/>
              </w:rPr>
            </w:pPr>
            <w:r>
              <w:rPr>
                <w:rFonts w:ascii="Arial" w:eastAsia="Arial" w:hAnsi="Arial" w:cs="Arial"/>
                <w:b/>
                <w:sz w:val="16"/>
                <w:szCs w:val="16"/>
              </w:rPr>
              <w:t>2</w:t>
            </w:r>
          </w:p>
        </w:tc>
        <w:tc>
          <w:tcPr>
            <w:tcW w:w="2145" w:type="dxa"/>
            <w:tcBorders>
              <w:top w:val="single" w:sz="4" w:space="0" w:color="666666"/>
              <w:left w:val="single" w:sz="4" w:space="0" w:color="666666"/>
              <w:bottom w:val="single" w:sz="4" w:space="0" w:color="666666"/>
              <w:right w:val="single" w:sz="4" w:space="0" w:color="666666"/>
            </w:tcBorders>
            <w:shd w:val="clear" w:color="auto" w:fill="D9D9D9"/>
          </w:tcPr>
          <w:p w14:paraId="6BA05344" w14:textId="77777777" w:rsidR="00B14497" w:rsidRDefault="000142EE">
            <w:pPr>
              <w:rPr>
                <w:rFonts w:ascii="Arial" w:eastAsia="Arial" w:hAnsi="Arial" w:cs="Arial"/>
                <w:b/>
                <w:sz w:val="16"/>
                <w:szCs w:val="16"/>
              </w:rPr>
            </w:pPr>
            <w:r>
              <w:rPr>
                <w:rFonts w:ascii="Arial" w:eastAsia="Arial" w:hAnsi="Arial" w:cs="Arial"/>
                <w:b/>
                <w:sz w:val="16"/>
                <w:szCs w:val="16"/>
              </w:rPr>
              <w:t>Presuncional legal y humana</w:t>
            </w:r>
          </w:p>
        </w:tc>
        <w:tc>
          <w:tcPr>
            <w:tcW w:w="7200" w:type="dxa"/>
            <w:tcBorders>
              <w:top w:val="single" w:sz="4" w:space="0" w:color="666666"/>
              <w:left w:val="single" w:sz="4" w:space="0" w:color="666666"/>
              <w:bottom w:val="single" w:sz="4" w:space="0" w:color="666666"/>
              <w:right w:val="single" w:sz="4" w:space="0" w:color="666666"/>
            </w:tcBorders>
            <w:shd w:val="clear" w:color="auto" w:fill="D9D9D9"/>
          </w:tcPr>
          <w:p w14:paraId="00A74B52" w14:textId="77777777" w:rsidR="00B14497" w:rsidRDefault="000142EE">
            <w:pPr>
              <w:jc w:val="both"/>
              <w:rPr>
                <w:rFonts w:ascii="Arial" w:eastAsia="Arial" w:hAnsi="Arial" w:cs="Arial"/>
                <w:sz w:val="16"/>
                <w:szCs w:val="16"/>
              </w:rPr>
            </w:pPr>
            <w:r>
              <w:rPr>
                <w:rFonts w:ascii="Arial" w:eastAsia="Arial" w:hAnsi="Arial" w:cs="Arial"/>
                <w:sz w:val="16"/>
                <w:szCs w:val="16"/>
              </w:rPr>
              <w:t>Todo lo que por su contenido y alcance favorezca a sus intereses.</w:t>
            </w:r>
          </w:p>
        </w:tc>
      </w:tr>
    </w:tbl>
    <w:p w14:paraId="25043C46" w14:textId="77777777" w:rsidR="00B14497" w:rsidRDefault="00B14497">
      <w:pPr>
        <w:pBdr>
          <w:top w:val="nil"/>
          <w:left w:val="nil"/>
          <w:bottom w:val="nil"/>
          <w:right w:val="nil"/>
          <w:between w:val="nil"/>
        </w:pBdr>
        <w:tabs>
          <w:tab w:val="left" w:pos="567"/>
        </w:tabs>
        <w:spacing w:line="360" w:lineRule="auto"/>
        <w:jc w:val="both"/>
        <w:rPr>
          <w:rFonts w:ascii="Arial" w:eastAsia="Arial" w:hAnsi="Arial" w:cs="Arial"/>
          <w:b/>
          <w:color w:val="000000"/>
          <w:sz w:val="24"/>
          <w:szCs w:val="24"/>
        </w:rPr>
      </w:pPr>
    </w:p>
    <w:p w14:paraId="2E890676" w14:textId="77777777" w:rsidR="00B14497" w:rsidRDefault="000142EE">
      <w:pPr>
        <w:pBdr>
          <w:top w:val="nil"/>
          <w:left w:val="nil"/>
          <w:bottom w:val="nil"/>
          <w:right w:val="nil"/>
          <w:between w:val="nil"/>
        </w:pBdr>
        <w:tabs>
          <w:tab w:val="left" w:pos="567"/>
        </w:tabs>
        <w:spacing w:line="360" w:lineRule="auto"/>
        <w:jc w:val="both"/>
        <w:rPr>
          <w:rFonts w:ascii="Arial" w:eastAsia="Arial" w:hAnsi="Arial" w:cs="Arial"/>
          <w:color w:val="000000"/>
          <w:sz w:val="24"/>
          <w:szCs w:val="24"/>
          <w:vertAlign w:val="superscript"/>
        </w:rPr>
      </w:pPr>
      <w:r>
        <w:rPr>
          <w:rFonts w:ascii="Arial" w:eastAsia="Arial" w:hAnsi="Arial" w:cs="Arial"/>
          <w:b/>
          <w:color w:val="000000"/>
          <w:sz w:val="24"/>
          <w:szCs w:val="24"/>
        </w:rPr>
        <w:t>3.</w:t>
      </w:r>
      <w:r>
        <w:rPr>
          <w:rFonts w:ascii="Arial" w:eastAsia="Arial" w:hAnsi="Arial" w:cs="Arial"/>
          <w:b/>
          <w:sz w:val="24"/>
          <w:szCs w:val="24"/>
        </w:rPr>
        <w:t>4</w:t>
      </w:r>
      <w:r>
        <w:rPr>
          <w:rFonts w:ascii="Arial" w:eastAsia="Arial" w:hAnsi="Arial" w:cs="Arial"/>
          <w:b/>
          <w:color w:val="000000"/>
          <w:sz w:val="24"/>
          <w:szCs w:val="24"/>
        </w:rPr>
        <w:t xml:space="preserve">. Valoración de pruebas. </w:t>
      </w:r>
      <w:r>
        <w:rPr>
          <w:rFonts w:ascii="Arial" w:eastAsia="Arial" w:hAnsi="Arial" w:cs="Arial"/>
          <w:color w:val="000000"/>
          <w:sz w:val="24"/>
          <w:szCs w:val="24"/>
        </w:rPr>
        <w:t xml:space="preserve">Las pruebas antes descritas, se valoran </w:t>
      </w:r>
      <w:r>
        <w:rPr>
          <w:rFonts w:ascii="Arial" w:eastAsia="Arial" w:hAnsi="Arial" w:cs="Arial"/>
          <w:sz w:val="24"/>
          <w:szCs w:val="24"/>
        </w:rPr>
        <w:t>conforme al</w:t>
      </w:r>
      <w:r>
        <w:rPr>
          <w:rFonts w:ascii="Arial" w:eastAsia="Arial" w:hAnsi="Arial" w:cs="Arial"/>
          <w:color w:val="000000"/>
          <w:sz w:val="24"/>
          <w:szCs w:val="24"/>
        </w:rPr>
        <w:t xml:space="preserve"> Código Electoral.</w:t>
      </w:r>
      <w:r>
        <w:rPr>
          <w:rFonts w:ascii="Arial" w:eastAsia="Arial" w:hAnsi="Arial" w:cs="Arial"/>
          <w:color w:val="000000"/>
          <w:sz w:val="24"/>
          <w:szCs w:val="24"/>
          <w:vertAlign w:val="superscript"/>
        </w:rPr>
        <w:t xml:space="preserve"> </w:t>
      </w:r>
      <w:r>
        <w:rPr>
          <w:rFonts w:ascii="Arial" w:eastAsia="Arial" w:hAnsi="Arial" w:cs="Arial"/>
          <w:color w:val="000000"/>
          <w:sz w:val="24"/>
          <w:szCs w:val="24"/>
          <w:vertAlign w:val="superscript"/>
        </w:rPr>
        <w:footnoteReference w:id="13"/>
      </w:r>
    </w:p>
    <w:p w14:paraId="59C9A176" w14:textId="77777777" w:rsidR="00B14497" w:rsidRDefault="00B14497">
      <w:pPr>
        <w:pBdr>
          <w:top w:val="nil"/>
          <w:left w:val="nil"/>
          <w:bottom w:val="nil"/>
          <w:right w:val="nil"/>
          <w:between w:val="nil"/>
        </w:pBdr>
        <w:rPr>
          <w:color w:val="000000"/>
        </w:rPr>
      </w:pPr>
    </w:p>
    <w:p w14:paraId="27442417" w14:textId="77777777" w:rsidR="00B14497" w:rsidRDefault="000142EE">
      <w:pPr>
        <w:pBdr>
          <w:top w:val="nil"/>
          <w:left w:val="nil"/>
          <w:bottom w:val="nil"/>
          <w:right w:val="nil"/>
          <w:between w:val="nil"/>
        </w:pBdr>
        <w:tabs>
          <w:tab w:val="left" w:pos="426"/>
        </w:tabs>
        <w:spacing w:line="360" w:lineRule="auto"/>
        <w:ind w:right="36"/>
        <w:jc w:val="both"/>
        <w:rPr>
          <w:rFonts w:ascii="Arial" w:eastAsia="Arial" w:hAnsi="Arial" w:cs="Arial"/>
          <w:color w:val="000000"/>
          <w:sz w:val="24"/>
          <w:szCs w:val="24"/>
        </w:rPr>
      </w:pPr>
      <w:r>
        <w:rPr>
          <w:rFonts w:ascii="Arial" w:eastAsia="Arial" w:hAnsi="Arial" w:cs="Arial"/>
          <w:b/>
          <w:color w:val="000000"/>
          <w:sz w:val="24"/>
          <w:szCs w:val="24"/>
        </w:rPr>
        <w:t xml:space="preserve">4. Hechos acreditados. </w:t>
      </w:r>
      <w:r>
        <w:rPr>
          <w:rFonts w:ascii="Arial" w:eastAsia="Arial" w:hAnsi="Arial" w:cs="Arial"/>
          <w:color w:val="000000"/>
          <w:sz w:val="24"/>
          <w:szCs w:val="24"/>
        </w:rPr>
        <w:t>Los hechos relacionados con la controversia que han quedado acreditados conforme a la relación de pruebas y la información proporcionada por el Instituto Local, son la existencia de las encuestas y publicaciones denunciadas, respecto de las cuales se cuenta con la siguiente información:</w:t>
      </w:r>
    </w:p>
    <w:p w14:paraId="7C295E05" w14:textId="77777777" w:rsidR="00B14497" w:rsidRDefault="00B14497" w:rsidP="00101FAC">
      <w:pPr>
        <w:pStyle w:val="Sinespaciado"/>
        <w:rPr>
          <w:rFonts w:eastAsia="Arial"/>
        </w:rPr>
      </w:pPr>
    </w:p>
    <w:tbl>
      <w:tblPr>
        <w:tblStyle w:val="aff0"/>
        <w:tblW w:w="9705" w:type="dxa"/>
        <w:tblInd w:w="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ayout w:type="fixed"/>
        <w:tblLook w:val="04A0" w:firstRow="1" w:lastRow="0" w:firstColumn="1" w:lastColumn="0" w:noHBand="0" w:noVBand="1"/>
      </w:tblPr>
      <w:tblGrid>
        <w:gridCol w:w="1276"/>
        <w:gridCol w:w="1554"/>
        <w:gridCol w:w="1845"/>
        <w:gridCol w:w="2115"/>
        <w:gridCol w:w="2915"/>
      </w:tblGrid>
      <w:tr w:rsidR="00B14497" w14:paraId="51472004" w14:textId="77777777" w:rsidTr="00B1449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5A08D396" w14:textId="77777777" w:rsidR="00B14497" w:rsidRDefault="000142EE">
            <w:pPr>
              <w:tabs>
                <w:tab w:val="left" w:pos="426"/>
              </w:tabs>
              <w:ind w:right="36"/>
              <w:jc w:val="center"/>
              <w:rPr>
                <w:rFonts w:ascii="Arial" w:eastAsia="Arial" w:hAnsi="Arial" w:cs="Arial"/>
                <w:u w:val="single"/>
              </w:rPr>
            </w:pPr>
            <w:r>
              <w:rPr>
                <w:rFonts w:ascii="Arial" w:eastAsia="Arial" w:hAnsi="Arial" w:cs="Arial"/>
                <w:u w:val="single"/>
              </w:rPr>
              <w:t>Encuesta</w:t>
            </w:r>
          </w:p>
        </w:tc>
        <w:tc>
          <w:tcPr>
            <w:tcW w:w="1554" w:type="dxa"/>
          </w:tcPr>
          <w:p w14:paraId="1FA9FF61" w14:textId="77777777" w:rsidR="00B14497" w:rsidRDefault="000142EE">
            <w:pPr>
              <w:tabs>
                <w:tab w:val="left" w:pos="426"/>
              </w:tabs>
              <w:ind w:right="36"/>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u w:val="single"/>
              </w:rPr>
            </w:pPr>
            <w:r>
              <w:rPr>
                <w:rFonts w:ascii="Arial" w:eastAsia="Arial" w:hAnsi="Arial" w:cs="Arial"/>
                <w:u w:val="single"/>
              </w:rPr>
              <w:t>Fecha de publicación de la encuesta</w:t>
            </w:r>
          </w:p>
        </w:tc>
        <w:tc>
          <w:tcPr>
            <w:tcW w:w="1845" w:type="dxa"/>
          </w:tcPr>
          <w:p w14:paraId="57B6F691" w14:textId="77777777" w:rsidR="00B14497" w:rsidRDefault="000142EE">
            <w:pPr>
              <w:tabs>
                <w:tab w:val="left" w:pos="426"/>
              </w:tabs>
              <w:ind w:right="36"/>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u w:val="single"/>
              </w:rPr>
            </w:pPr>
            <w:r>
              <w:rPr>
                <w:rFonts w:ascii="Arial" w:eastAsia="Arial" w:hAnsi="Arial" w:cs="Arial"/>
                <w:u w:val="single"/>
              </w:rPr>
              <w:t>Fecha de presentación de la documentación ante el Instituto Local</w:t>
            </w:r>
            <w:r>
              <w:rPr>
                <w:rFonts w:ascii="Arial" w:eastAsia="Arial" w:hAnsi="Arial" w:cs="Arial"/>
                <w:u w:val="single"/>
                <w:vertAlign w:val="superscript"/>
              </w:rPr>
              <w:footnoteReference w:id="14"/>
            </w:r>
          </w:p>
        </w:tc>
        <w:tc>
          <w:tcPr>
            <w:tcW w:w="2115" w:type="dxa"/>
          </w:tcPr>
          <w:p w14:paraId="211DF9B6" w14:textId="77777777" w:rsidR="00B14497" w:rsidRDefault="000142EE">
            <w:pPr>
              <w:tabs>
                <w:tab w:val="left" w:pos="426"/>
              </w:tabs>
              <w:ind w:right="36"/>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u w:val="single"/>
              </w:rPr>
            </w:pPr>
            <w:r>
              <w:rPr>
                <w:rFonts w:ascii="Arial" w:eastAsia="Arial" w:hAnsi="Arial" w:cs="Arial"/>
                <w:u w:val="single"/>
              </w:rPr>
              <w:t xml:space="preserve">Identidad entre los datos proporcionados ante el Instituto Local y los publicados </w:t>
            </w:r>
          </w:p>
        </w:tc>
        <w:tc>
          <w:tcPr>
            <w:tcW w:w="2915" w:type="dxa"/>
          </w:tcPr>
          <w:p w14:paraId="16017736" w14:textId="77777777" w:rsidR="00B14497" w:rsidRDefault="000142EE">
            <w:pPr>
              <w:tabs>
                <w:tab w:val="left" w:pos="426"/>
              </w:tabs>
              <w:ind w:right="36"/>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u w:val="single"/>
              </w:rPr>
            </w:pPr>
            <w:r>
              <w:rPr>
                <w:rFonts w:ascii="Arial" w:eastAsia="Arial" w:hAnsi="Arial" w:cs="Arial"/>
                <w:u w:val="single"/>
              </w:rPr>
              <w:t>Imagen representativa</w:t>
            </w:r>
          </w:p>
        </w:tc>
      </w:tr>
      <w:tr w:rsidR="00B14497" w14:paraId="7539D607" w14:textId="77777777" w:rsidTr="00B144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30A42BA5" w14:textId="77777777" w:rsidR="00B14497" w:rsidRDefault="000142EE">
            <w:pPr>
              <w:tabs>
                <w:tab w:val="left" w:pos="426"/>
              </w:tabs>
              <w:ind w:right="36"/>
              <w:jc w:val="center"/>
              <w:rPr>
                <w:rFonts w:ascii="Arial" w:eastAsia="Arial" w:hAnsi="Arial" w:cs="Arial"/>
              </w:rPr>
            </w:pPr>
            <w:r>
              <w:rPr>
                <w:rFonts w:ascii="Arial" w:eastAsia="Arial" w:hAnsi="Arial" w:cs="Arial"/>
              </w:rPr>
              <w:t>1</w:t>
            </w:r>
          </w:p>
        </w:tc>
        <w:tc>
          <w:tcPr>
            <w:tcW w:w="1554" w:type="dxa"/>
          </w:tcPr>
          <w:p w14:paraId="252B2BE4" w14:textId="77777777" w:rsidR="00B14497" w:rsidRDefault="000142EE">
            <w:pPr>
              <w:tabs>
                <w:tab w:val="left" w:pos="426"/>
              </w:tabs>
              <w:ind w:right="36"/>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rPr>
            </w:pPr>
            <w:r>
              <w:rPr>
                <w:rFonts w:ascii="Arial" w:eastAsia="Arial" w:hAnsi="Arial" w:cs="Arial"/>
              </w:rPr>
              <w:t>3 de enero de 2022</w:t>
            </w:r>
          </w:p>
        </w:tc>
        <w:tc>
          <w:tcPr>
            <w:tcW w:w="1845" w:type="dxa"/>
          </w:tcPr>
          <w:p w14:paraId="043F803B" w14:textId="77777777" w:rsidR="00B14497" w:rsidRDefault="000142EE">
            <w:pPr>
              <w:tabs>
                <w:tab w:val="left" w:pos="426"/>
              </w:tabs>
              <w:ind w:right="36"/>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rPr>
            </w:pPr>
            <w:r>
              <w:rPr>
                <w:rFonts w:ascii="Arial" w:eastAsia="Arial" w:hAnsi="Arial" w:cs="Arial"/>
              </w:rPr>
              <w:t>No existe constancia al respecto.</w:t>
            </w:r>
          </w:p>
        </w:tc>
        <w:tc>
          <w:tcPr>
            <w:tcW w:w="2115" w:type="dxa"/>
          </w:tcPr>
          <w:p w14:paraId="132705F8" w14:textId="77777777" w:rsidR="00B14497" w:rsidRDefault="000142EE">
            <w:pPr>
              <w:tabs>
                <w:tab w:val="left" w:pos="426"/>
              </w:tabs>
              <w:ind w:right="36"/>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rPr>
            </w:pPr>
            <w:r>
              <w:rPr>
                <w:rFonts w:ascii="Arial" w:eastAsia="Arial" w:hAnsi="Arial" w:cs="Arial"/>
              </w:rPr>
              <w:t>No existe constancia al respecto.</w:t>
            </w:r>
          </w:p>
        </w:tc>
        <w:tc>
          <w:tcPr>
            <w:tcW w:w="2915" w:type="dxa"/>
          </w:tcPr>
          <w:p w14:paraId="5B1CA6DA" w14:textId="77777777" w:rsidR="00B14497" w:rsidRDefault="000142EE">
            <w:pPr>
              <w:tabs>
                <w:tab w:val="left" w:pos="426"/>
              </w:tabs>
              <w:ind w:right="36"/>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rPr>
            </w:pPr>
            <w:r>
              <w:rPr>
                <w:noProof/>
              </w:rPr>
              <w:drawing>
                <wp:inline distT="0" distB="0" distL="0" distR="0" wp14:anchorId="5AEF2306" wp14:editId="231F86D5">
                  <wp:extent cx="1745564" cy="875979"/>
                  <wp:effectExtent l="0" t="0" r="0" b="0"/>
                  <wp:docPr id="308"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9"/>
                          <a:srcRect l="62177" t="49445" r="11324" b="26911"/>
                          <a:stretch>
                            <a:fillRect/>
                          </a:stretch>
                        </pic:blipFill>
                        <pic:spPr>
                          <a:xfrm>
                            <a:off x="0" y="0"/>
                            <a:ext cx="1745564" cy="875979"/>
                          </a:xfrm>
                          <a:prstGeom prst="rect">
                            <a:avLst/>
                          </a:prstGeom>
                          <a:ln/>
                        </pic:spPr>
                      </pic:pic>
                    </a:graphicData>
                  </a:graphic>
                </wp:inline>
              </w:drawing>
            </w:r>
          </w:p>
        </w:tc>
      </w:tr>
      <w:tr w:rsidR="00B14497" w14:paraId="0EA97CD3" w14:textId="77777777" w:rsidTr="00B14497">
        <w:tc>
          <w:tcPr>
            <w:cnfStyle w:val="001000000000" w:firstRow="0" w:lastRow="0" w:firstColumn="1" w:lastColumn="0" w:oddVBand="0" w:evenVBand="0" w:oddHBand="0" w:evenHBand="0" w:firstRowFirstColumn="0" w:firstRowLastColumn="0" w:lastRowFirstColumn="0" w:lastRowLastColumn="0"/>
            <w:tcW w:w="1276" w:type="dxa"/>
          </w:tcPr>
          <w:p w14:paraId="46D4CCC5" w14:textId="77777777" w:rsidR="00B14497" w:rsidRDefault="000142EE">
            <w:pPr>
              <w:tabs>
                <w:tab w:val="left" w:pos="426"/>
              </w:tabs>
              <w:ind w:right="36"/>
              <w:jc w:val="center"/>
              <w:rPr>
                <w:rFonts w:ascii="Arial" w:eastAsia="Arial" w:hAnsi="Arial" w:cs="Arial"/>
              </w:rPr>
            </w:pPr>
            <w:r>
              <w:rPr>
                <w:rFonts w:ascii="Arial" w:eastAsia="Arial" w:hAnsi="Arial" w:cs="Arial"/>
              </w:rPr>
              <w:t>2</w:t>
            </w:r>
          </w:p>
        </w:tc>
        <w:tc>
          <w:tcPr>
            <w:tcW w:w="1554" w:type="dxa"/>
          </w:tcPr>
          <w:p w14:paraId="6CC06FB7" w14:textId="77777777" w:rsidR="00B14497" w:rsidRDefault="000142EE">
            <w:pPr>
              <w:tabs>
                <w:tab w:val="left" w:pos="426"/>
              </w:tabs>
              <w:ind w:right="36"/>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Pr>
                <w:rFonts w:ascii="Arial" w:eastAsia="Arial" w:hAnsi="Arial" w:cs="Arial"/>
              </w:rPr>
              <w:t>11 de enero de 2022</w:t>
            </w:r>
          </w:p>
        </w:tc>
        <w:tc>
          <w:tcPr>
            <w:tcW w:w="1845" w:type="dxa"/>
          </w:tcPr>
          <w:p w14:paraId="2D8AAAA1" w14:textId="77777777" w:rsidR="00B14497" w:rsidRDefault="000142EE">
            <w:pPr>
              <w:tabs>
                <w:tab w:val="left" w:pos="426"/>
              </w:tabs>
              <w:ind w:right="36"/>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Pr>
                <w:rFonts w:ascii="Arial" w:eastAsia="Arial" w:hAnsi="Arial" w:cs="Arial"/>
              </w:rPr>
              <w:t xml:space="preserve">11 de enero de 2022, es decir, el </w:t>
            </w:r>
            <w:r>
              <w:rPr>
                <w:rFonts w:ascii="Arial" w:eastAsia="Arial" w:hAnsi="Arial" w:cs="Arial"/>
                <w:b/>
              </w:rPr>
              <w:t>mismo día</w:t>
            </w:r>
            <w:r>
              <w:rPr>
                <w:rFonts w:ascii="Arial" w:eastAsia="Arial" w:hAnsi="Arial" w:cs="Arial"/>
              </w:rPr>
              <w:t xml:space="preserve"> de su publicación.</w:t>
            </w:r>
          </w:p>
        </w:tc>
        <w:tc>
          <w:tcPr>
            <w:tcW w:w="2115" w:type="dxa"/>
          </w:tcPr>
          <w:p w14:paraId="3BC0B2BD" w14:textId="77777777" w:rsidR="00B14497" w:rsidRDefault="000142EE">
            <w:pPr>
              <w:tabs>
                <w:tab w:val="left" w:pos="426"/>
              </w:tabs>
              <w:ind w:right="36"/>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Pr>
                <w:rFonts w:ascii="Arial" w:eastAsia="Arial" w:hAnsi="Arial" w:cs="Arial"/>
              </w:rPr>
              <w:t>Sí</w:t>
            </w:r>
          </w:p>
        </w:tc>
        <w:tc>
          <w:tcPr>
            <w:tcW w:w="2915" w:type="dxa"/>
          </w:tcPr>
          <w:p w14:paraId="6A95C4BD" w14:textId="77777777" w:rsidR="00B14497" w:rsidRDefault="000142EE">
            <w:pPr>
              <w:tabs>
                <w:tab w:val="left" w:pos="426"/>
              </w:tabs>
              <w:ind w:right="36"/>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Pr>
                <w:noProof/>
              </w:rPr>
              <w:drawing>
                <wp:inline distT="0" distB="0" distL="0" distR="0" wp14:anchorId="0B845CAB" wp14:editId="6FE3C3F1">
                  <wp:extent cx="1754593" cy="986158"/>
                  <wp:effectExtent l="0" t="0" r="0" b="0"/>
                  <wp:docPr id="309" name="image17.png"/>
                  <wp:cNvGraphicFramePr/>
                  <a:graphic xmlns:a="http://schemas.openxmlformats.org/drawingml/2006/main">
                    <a:graphicData uri="http://schemas.openxmlformats.org/drawingml/2006/picture">
                      <pic:pic xmlns:pic="http://schemas.openxmlformats.org/drawingml/2006/picture">
                        <pic:nvPicPr>
                          <pic:cNvPr id="0" name="image17.png"/>
                          <pic:cNvPicPr preferRelativeResize="0"/>
                        </pic:nvPicPr>
                        <pic:blipFill>
                          <a:blip r:embed="rId10"/>
                          <a:srcRect l="61973" t="41903" r="11355" b="31441"/>
                          <a:stretch>
                            <a:fillRect/>
                          </a:stretch>
                        </pic:blipFill>
                        <pic:spPr>
                          <a:xfrm>
                            <a:off x="0" y="0"/>
                            <a:ext cx="1754593" cy="986158"/>
                          </a:xfrm>
                          <a:prstGeom prst="rect">
                            <a:avLst/>
                          </a:prstGeom>
                          <a:ln/>
                        </pic:spPr>
                      </pic:pic>
                    </a:graphicData>
                  </a:graphic>
                </wp:inline>
              </w:drawing>
            </w:r>
          </w:p>
        </w:tc>
      </w:tr>
      <w:tr w:rsidR="00B14497" w14:paraId="17E92F22" w14:textId="77777777" w:rsidTr="00B144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17266F4A" w14:textId="77777777" w:rsidR="00B14497" w:rsidRDefault="000142EE">
            <w:pPr>
              <w:tabs>
                <w:tab w:val="left" w:pos="426"/>
              </w:tabs>
              <w:ind w:right="36"/>
              <w:jc w:val="center"/>
              <w:rPr>
                <w:rFonts w:ascii="Arial" w:eastAsia="Arial" w:hAnsi="Arial" w:cs="Arial"/>
              </w:rPr>
            </w:pPr>
            <w:r>
              <w:rPr>
                <w:rFonts w:ascii="Arial" w:eastAsia="Arial" w:hAnsi="Arial" w:cs="Arial"/>
              </w:rPr>
              <w:t>3</w:t>
            </w:r>
          </w:p>
        </w:tc>
        <w:tc>
          <w:tcPr>
            <w:tcW w:w="1554" w:type="dxa"/>
          </w:tcPr>
          <w:p w14:paraId="38882C0C" w14:textId="77777777" w:rsidR="00B14497" w:rsidRDefault="000142EE">
            <w:pPr>
              <w:tabs>
                <w:tab w:val="left" w:pos="426"/>
              </w:tabs>
              <w:ind w:right="36"/>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rPr>
            </w:pPr>
            <w:r>
              <w:rPr>
                <w:rFonts w:ascii="Arial" w:eastAsia="Arial" w:hAnsi="Arial" w:cs="Arial"/>
              </w:rPr>
              <w:t>17 de enero de 2022</w:t>
            </w:r>
          </w:p>
        </w:tc>
        <w:tc>
          <w:tcPr>
            <w:tcW w:w="1845" w:type="dxa"/>
          </w:tcPr>
          <w:p w14:paraId="5B0E8ABF" w14:textId="77777777" w:rsidR="00B14497" w:rsidRDefault="000142EE">
            <w:pPr>
              <w:tabs>
                <w:tab w:val="left" w:pos="426"/>
              </w:tabs>
              <w:ind w:right="36"/>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rPr>
            </w:pPr>
            <w:r>
              <w:rPr>
                <w:rFonts w:ascii="Arial" w:eastAsia="Arial" w:hAnsi="Arial" w:cs="Arial"/>
              </w:rPr>
              <w:t xml:space="preserve">11 de febrero de 2022, esto es, </w:t>
            </w:r>
            <w:r>
              <w:rPr>
                <w:rFonts w:ascii="Arial" w:eastAsia="Arial" w:hAnsi="Arial" w:cs="Arial"/>
                <w:b/>
              </w:rPr>
              <w:t>25 días</w:t>
            </w:r>
            <w:r>
              <w:rPr>
                <w:rFonts w:ascii="Arial" w:eastAsia="Arial" w:hAnsi="Arial" w:cs="Arial"/>
              </w:rPr>
              <w:t xml:space="preserve"> </w:t>
            </w:r>
            <w:r>
              <w:rPr>
                <w:rFonts w:ascii="Arial" w:eastAsia="Arial" w:hAnsi="Arial" w:cs="Arial"/>
                <w:b/>
              </w:rPr>
              <w:t>después</w:t>
            </w:r>
            <w:r>
              <w:rPr>
                <w:rFonts w:ascii="Arial" w:eastAsia="Arial" w:hAnsi="Arial" w:cs="Arial"/>
              </w:rPr>
              <w:t xml:space="preserve"> de la fecha de su publicación. </w:t>
            </w:r>
          </w:p>
        </w:tc>
        <w:tc>
          <w:tcPr>
            <w:tcW w:w="2115" w:type="dxa"/>
          </w:tcPr>
          <w:p w14:paraId="57ED98AD" w14:textId="77777777" w:rsidR="00B14497" w:rsidRDefault="000142EE">
            <w:pPr>
              <w:tabs>
                <w:tab w:val="left" w:pos="426"/>
              </w:tabs>
              <w:ind w:right="36"/>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rPr>
            </w:pPr>
            <w:r>
              <w:rPr>
                <w:rFonts w:ascii="Arial" w:eastAsia="Arial" w:hAnsi="Arial" w:cs="Arial"/>
              </w:rPr>
              <w:t>Sí</w:t>
            </w:r>
          </w:p>
        </w:tc>
        <w:tc>
          <w:tcPr>
            <w:tcW w:w="2915" w:type="dxa"/>
          </w:tcPr>
          <w:p w14:paraId="51071623" w14:textId="77777777" w:rsidR="00B14497" w:rsidRDefault="000142EE">
            <w:pPr>
              <w:tabs>
                <w:tab w:val="left" w:pos="426"/>
              </w:tabs>
              <w:ind w:right="36"/>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rPr>
            </w:pPr>
            <w:r>
              <w:rPr>
                <w:noProof/>
              </w:rPr>
              <w:drawing>
                <wp:inline distT="0" distB="0" distL="0" distR="0" wp14:anchorId="0FE0DAC2" wp14:editId="4034EEA9">
                  <wp:extent cx="1755831" cy="992621"/>
                  <wp:effectExtent l="0" t="0" r="0" b="0"/>
                  <wp:docPr id="310"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11"/>
                          <a:srcRect l="61984" t="53031" r="11368" b="20182"/>
                          <a:stretch>
                            <a:fillRect/>
                          </a:stretch>
                        </pic:blipFill>
                        <pic:spPr>
                          <a:xfrm>
                            <a:off x="0" y="0"/>
                            <a:ext cx="1755831" cy="992621"/>
                          </a:xfrm>
                          <a:prstGeom prst="rect">
                            <a:avLst/>
                          </a:prstGeom>
                          <a:ln/>
                        </pic:spPr>
                      </pic:pic>
                    </a:graphicData>
                  </a:graphic>
                </wp:inline>
              </w:drawing>
            </w:r>
          </w:p>
        </w:tc>
      </w:tr>
      <w:tr w:rsidR="00B14497" w14:paraId="7645CEC6" w14:textId="77777777" w:rsidTr="00B14497">
        <w:tc>
          <w:tcPr>
            <w:cnfStyle w:val="001000000000" w:firstRow="0" w:lastRow="0" w:firstColumn="1" w:lastColumn="0" w:oddVBand="0" w:evenVBand="0" w:oddHBand="0" w:evenHBand="0" w:firstRowFirstColumn="0" w:firstRowLastColumn="0" w:lastRowFirstColumn="0" w:lastRowLastColumn="0"/>
            <w:tcW w:w="1276" w:type="dxa"/>
          </w:tcPr>
          <w:p w14:paraId="67C1ECD6" w14:textId="77777777" w:rsidR="00B14497" w:rsidRDefault="000142EE">
            <w:pPr>
              <w:tabs>
                <w:tab w:val="left" w:pos="426"/>
              </w:tabs>
              <w:ind w:right="36"/>
              <w:jc w:val="center"/>
              <w:rPr>
                <w:rFonts w:ascii="Arial" w:eastAsia="Arial" w:hAnsi="Arial" w:cs="Arial"/>
              </w:rPr>
            </w:pPr>
            <w:r>
              <w:rPr>
                <w:rFonts w:ascii="Arial" w:eastAsia="Arial" w:hAnsi="Arial" w:cs="Arial"/>
              </w:rPr>
              <w:t>4</w:t>
            </w:r>
          </w:p>
        </w:tc>
        <w:tc>
          <w:tcPr>
            <w:tcW w:w="1554" w:type="dxa"/>
          </w:tcPr>
          <w:p w14:paraId="15A7C482" w14:textId="77777777" w:rsidR="00B14497" w:rsidRDefault="000142EE">
            <w:pPr>
              <w:tabs>
                <w:tab w:val="left" w:pos="426"/>
              </w:tabs>
              <w:ind w:right="36"/>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Pr>
                <w:rFonts w:ascii="Arial" w:eastAsia="Arial" w:hAnsi="Arial" w:cs="Arial"/>
              </w:rPr>
              <w:t>20 de enero de 2022</w:t>
            </w:r>
          </w:p>
        </w:tc>
        <w:tc>
          <w:tcPr>
            <w:tcW w:w="1845" w:type="dxa"/>
          </w:tcPr>
          <w:p w14:paraId="602A5EE1" w14:textId="77777777" w:rsidR="00B14497" w:rsidRDefault="000142EE">
            <w:pPr>
              <w:tabs>
                <w:tab w:val="left" w:pos="426"/>
              </w:tabs>
              <w:ind w:right="36"/>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Pr>
                <w:rFonts w:ascii="Arial" w:eastAsia="Arial" w:hAnsi="Arial" w:cs="Arial"/>
              </w:rPr>
              <w:t xml:space="preserve">11 de febrero de 2022, esto es, </w:t>
            </w:r>
            <w:r>
              <w:rPr>
                <w:rFonts w:ascii="Arial" w:eastAsia="Arial" w:hAnsi="Arial" w:cs="Arial"/>
                <w:b/>
              </w:rPr>
              <w:t>22 días después</w:t>
            </w:r>
            <w:r>
              <w:rPr>
                <w:rFonts w:ascii="Arial" w:eastAsia="Arial" w:hAnsi="Arial" w:cs="Arial"/>
              </w:rPr>
              <w:t xml:space="preserve"> de la fecha de su publicación.</w:t>
            </w:r>
          </w:p>
        </w:tc>
        <w:tc>
          <w:tcPr>
            <w:tcW w:w="2115" w:type="dxa"/>
          </w:tcPr>
          <w:p w14:paraId="5486CBA8" w14:textId="77777777" w:rsidR="00B14497" w:rsidRDefault="000142EE">
            <w:pPr>
              <w:tabs>
                <w:tab w:val="left" w:pos="426"/>
              </w:tabs>
              <w:ind w:right="36"/>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Pr>
                <w:rFonts w:ascii="Arial" w:eastAsia="Arial" w:hAnsi="Arial" w:cs="Arial"/>
              </w:rPr>
              <w:t>Sí</w:t>
            </w:r>
          </w:p>
        </w:tc>
        <w:tc>
          <w:tcPr>
            <w:tcW w:w="2915" w:type="dxa"/>
          </w:tcPr>
          <w:p w14:paraId="523FD7C7" w14:textId="77777777" w:rsidR="00B14497" w:rsidRDefault="000142EE">
            <w:pPr>
              <w:tabs>
                <w:tab w:val="left" w:pos="426"/>
              </w:tabs>
              <w:ind w:right="36"/>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Pr>
                <w:noProof/>
              </w:rPr>
              <w:drawing>
                <wp:inline distT="0" distB="0" distL="0" distR="0" wp14:anchorId="49B4AD59" wp14:editId="336B1503">
                  <wp:extent cx="1742749" cy="967482"/>
                  <wp:effectExtent l="0" t="0" r="0" b="0"/>
                  <wp:docPr id="311"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12"/>
                          <a:srcRect l="63071" t="44300" r="12964" b="32043"/>
                          <a:stretch>
                            <a:fillRect/>
                          </a:stretch>
                        </pic:blipFill>
                        <pic:spPr>
                          <a:xfrm>
                            <a:off x="0" y="0"/>
                            <a:ext cx="1742749" cy="967482"/>
                          </a:xfrm>
                          <a:prstGeom prst="rect">
                            <a:avLst/>
                          </a:prstGeom>
                          <a:ln/>
                        </pic:spPr>
                      </pic:pic>
                    </a:graphicData>
                  </a:graphic>
                </wp:inline>
              </w:drawing>
            </w:r>
          </w:p>
        </w:tc>
      </w:tr>
      <w:tr w:rsidR="00B14497" w14:paraId="04A9FA87" w14:textId="77777777" w:rsidTr="00B144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6F1A67D4" w14:textId="77777777" w:rsidR="00B14497" w:rsidRDefault="000142EE">
            <w:pPr>
              <w:tabs>
                <w:tab w:val="left" w:pos="426"/>
              </w:tabs>
              <w:ind w:right="36"/>
              <w:jc w:val="center"/>
              <w:rPr>
                <w:rFonts w:ascii="Arial" w:eastAsia="Arial" w:hAnsi="Arial" w:cs="Arial"/>
              </w:rPr>
            </w:pPr>
            <w:r>
              <w:rPr>
                <w:rFonts w:ascii="Arial" w:eastAsia="Arial" w:hAnsi="Arial" w:cs="Arial"/>
              </w:rPr>
              <w:t>5</w:t>
            </w:r>
          </w:p>
        </w:tc>
        <w:tc>
          <w:tcPr>
            <w:tcW w:w="1554" w:type="dxa"/>
          </w:tcPr>
          <w:p w14:paraId="630E316A" w14:textId="77777777" w:rsidR="00B14497" w:rsidRDefault="000142EE">
            <w:pPr>
              <w:tabs>
                <w:tab w:val="left" w:pos="426"/>
              </w:tabs>
              <w:ind w:right="36"/>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rPr>
            </w:pPr>
            <w:r>
              <w:rPr>
                <w:rFonts w:ascii="Arial" w:eastAsia="Arial" w:hAnsi="Arial" w:cs="Arial"/>
              </w:rPr>
              <w:t>28 de enero de 2022</w:t>
            </w:r>
          </w:p>
        </w:tc>
        <w:tc>
          <w:tcPr>
            <w:tcW w:w="1845" w:type="dxa"/>
          </w:tcPr>
          <w:p w14:paraId="328AA406" w14:textId="77777777" w:rsidR="00B14497" w:rsidRDefault="000142EE">
            <w:pPr>
              <w:tabs>
                <w:tab w:val="left" w:pos="426"/>
              </w:tabs>
              <w:ind w:right="36"/>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rPr>
            </w:pPr>
            <w:r>
              <w:rPr>
                <w:rFonts w:ascii="Arial" w:eastAsia="Arial" w:hAnsi="Arial" w:cs="Arial"/>
              </w:rPr>
              <w:t xml:space="preserve">11 de febrero de 2022, esto es, </w:t>
            </w:r>
            <w:r>
              <w:rPr>
                <w:rFonts w:ascii="Arial" w:eastAsia="Arial" w:hAnsi="Arial" w:cs="Arial"/>
                <w:b/>
              </w:rPr>
              <w:t>14 días después</w:t>
            </w:r>
            <w:r>
              <w:rPr>
                <w:rFonts w:ascii="Arial" w:eastAsia="Arial" w:hAnsi="Arial" w:cs="Arial"/>
              </w:rPr>
              <w:t xml:space="preserve"> de la fecha de su publicación.</w:t>
            </w:r>
          </w:p>
        </w:tc>
        <w:tc>
          <w:tcPr>
            <w:tcW w:w="2115" w:type="dxa"/>
          </w:tcPr>
          <w:p w14:paraId="0BC33EF8" w14:textId="77777777" w:rsidR="00B14497" w:rsidRDefault="000142EE">
            <w:pPr>
              <w:tabs>
                <w:tab w:val="left" w:pos="426"/>
              </w:tabs>
              <w:ind w:right="36"/>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rPr>
            </w:pPr>
            <w:r>
              <w:rPr>
                <w:rFonts w:ascii="Arial" w:eastAsia="Arial" w:hAnsi="Arial" w:cs="Arial"/>
              </w:rPr>
              <w:t>Sí</w:t>
            </w:r>
          </w:p>
        </w:tc>
        <w:tc>
          <w:tcPr>
            <w:tcW w:w="2915" w:type="dxa"/>
          </w:tcPr>
          <w:p w14:paraId="5C5359D4" w14:textId="77777777" w:rsidR="00B14497" w:rsidRDefault="000142EE">
            <w:pPr>
              <w:tabs>
                <w:tab w:val="left" w:pos="426"/>
              </w:tabs>
              <w:ind w:right="36"/>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rPr>
            </w:pPr>
            <w:r>
              <w:rPr>
                <w:noProof/>
              </w:rPr>
              <w:drawing>
                <wp:inline distT="0" distB="0" distL="0" distR="0" wp14:anchorId="2E11DA39" wp14:editId="7DED9724">
                  <wp:extent cx="1739740" cy="879499"/>
                  <wp:effectExtent l="0" t="0" r="0" b="0"/>
                  <wp:docPr id="312"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13"/>
                          <a:srcRect l="66780" t="42020" r="13694" b="40426"/>
                          <a:stretch>
                            <a:fillRect/>
                          </a:stretch>
                        </pic:blipFill>
                        <pic:spPr>
                          <a:xfrm>
                            <a:off x="0" y="0"/>
                            <a:ext cx="1739740" cy="879499"/>
                          </a:xfrm>
                          <a:prstGeom prst="rect">
                            <a:avLst/>
                          </a:prstGeom>
                          <a:ln/>
                        </pic:spPr>
                      </pic:pic>
                    </a:graphicData>
                  </a:graphic>
                </wp:inline>
              </w:drawing>
            </w:r>
          </w:p>
        </w:tc>
      </w:tr>
      <w:tr w:rsidR="00B14497" w14:paraId="358B9661" w14:textId="77777777" w:rsidTr="00B14497">
        <w:tc>
          <w:tcPr>
            <w:cnfStyle w:val="001000000000" w:firstRow="0" w:lastRow="0" w:firstColumn="1" w:lastColumn="0" w:oddVBand="0" w:evenVBand="0" w:oddHBand="0" w:evenHBand="0" w:firstRowFirstColumn="0" w:firstRowLastColumn="0" w:lastRowFirstColumn="0" w:lastRowLastColumn="0"/>
            <w:tcW w:w="1276" w:type="dxa"/>
          </w:tcPr>
          <w:p w14:paraId="07FCBEB9" w14:textId="77777777" w:rsidR="00B14497" w:rsidRDefault="000142EE">
            <w:pPr>
              <w:tabs>
                <w:tab w:val="left" w:pos="426"/>
              </w:tabs>
              <w:ind w:right="36"/>
              <w:jc w:val="center"/>
              <w:rPr>
                <w:rFonts w:ascii="Arial" w:eastAsia="Arial" w:hAnsi="Arial" w:cs="Arial"/>
              </w:rPr>
            </w:pPr>
            <w:r>
              <w:rPr>
                <w:rFonts w:ascii="Arial" w:eastAsia="Arial" w:hAnsi="Arial" w:cs="Arial"/>
              </w:rPr>
              <w:t>6</w:t>
            </w:r>
          </w:p>
        </w:tc>
        <w:tc>
          <w:tcPr>
            <w:tcW w:w="1554" w:type="dxa"/>
          </w:tcPr>
          <w:p w14:paraId="062D8319" w14:textId="77777777" w:rsidR="00B14497" w:rsidRDefault="000142EE">
            <w:pPr>
              <w:tabs>
                <w:tab w:val="left" w:pos="426"/>
              </w:tabs>
              <w:ind w:right="36"/>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Pr>
                <w:rFonts w:ascii="Arial" w:eastAsia="Arial" w:hAnsi="Arial" w:cs="Arial"/>
              </w:rPr>
              <w:t>1 de febrero de 2022</w:t>
            </w:r>
          </w:p>
        </w:tc>
        <w:tc>
          <w:tcPr>
            <w:tcW w:w="1845" w:type="dxa"/>
          </w:tcPr>
          <w:p w14:paraId="1B0AF8ED" w14:textId="77777777" w:rsidR="00B14497" w:rsidRDefault="000142EE">
            <w:pPr>
              <w:tabs>
                <w:tab w:val="left" w:pos="426"/>
              </w:tabs>
              <w:ind w:right="36"/>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Pr>
                <w:rFonts w:ascii="Arial" w:eastAsia="Arial" w:hAnsi="Arial" w:cs="Arial"/>
              </w:rPr>
              <w:t xml:space="preserve">11 de febrero de 2022, esto es, </w:t>
            </w:r>
            <w:r>
              <w:rPr>
                <w:rFonts w:ascii="Arial" w:eastAsia="Arial" w:hAnsi="Arial" w:cs="Arial"/>
                <w:b/>
              </w:rPr>
              <w:t>10 días después</w:t>
            </w:r>
            <w:r>
              <w:rPr>
                <w:rFonts w:ascii="Arial" w:eastAsia="Arial" w:hAnsi="Arial" w:cs="Arial"/>
              </w:rPr>
              <w:t xml:space="preserve"> de la fecha de su publicación.</w:t>
            </w:r>
          </w:p>
        </w:tc>
        <w:tc>
          <w:tcPr>
            <w:tcW w:w="2115" w:type="dxa"/>
          </w:tcPr>
          <w:p w14:paraId="0EFC6156" w14:textId="77777777" w:rsidR="00B14497" w:rsidRDefault="000142EE">
            <w:pPr>
              <w:tabs>
                <w:tab w:val="left" w:pos="426"/>
              </w:tabs>
              <w:ind w:right="36"/>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Pr>
                <w:rFonts w:ascii="Arial" w:eastAsia="Arial" w:hAnsi="Arial" w:cs="Arial"/>
              </w:rPr>
              <w:t>Sí</w:t>
            </w:r>
          </w:p>
        </w:tc>
        <w:tc>
          <w:tcPr>
            <w:tcW w:w="2915" w:type="dxa"/>
          </w:tcPr>
          <w:p w14:paraId="032ECD6E" w14:textId="77777777" w:rsidR="00B14497" w:rsidRDefault="000142EE">
            <w:pPr>
              <w:tabs>
                <w:tab w:val="left" w:pos="426"/>
              </w:tabs>
              <w:ind w:right="36"/>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Pr>
                <w:noProof/>
              </w:rPr>
              <w:drawing>
                <wp:inline distT="0" distB="0" distL="0" distR="0" wp14:anchorId="1ECC4980" wp14:editId="1E2C6C13">
                  <wp:extent cx="1782924" cy="954223"/>
                  <wp:effectExtent l="0" t="0" r="0" b="0"/>
                  <wp:docPr id="313"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14"/>
                          <a:srcRect l="62747" t="54183" r="12079" b="21857"/>
                          <a:stretch>
                            <a:fillRect/>
                          </a:stretch>
                        </pic:blipFill>
                        <pic:spPr>
                          <a:xfrm>
                            <a:off x="0" y="0"/>
                            <a:ext cx="1782924" cy="954223"/>
                          </a:xfrm>
                          <a:prstGeom prst="rect">
                            <a:avLst/>
                          </a:prstGeom>
                          <a:ln/>
                        </pic:spPr>
                      </pic:pic>
                    </a:graphicData>
                  </a:graphic>
                </wp:inline>
              </w:drawing>
            </w:r>
          </w:p>
        </w:tc>
      </w:tr>
      <w:tr w:rsidR="00B14497" w14:paraId="35DDBC1D" w14:textId="77777777" w:rsidTr="00B144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4714E187" w14:textId="77777777" w:rsidR="00B14497" w:rsidRDefault="000142EE">
            <w:pPr>
              <w:tabs>
                <w:tab w:val="left" w:pos="426"/>
              </w:tabs>
              <w:ind w:right="36"/>
              <w:jc w:val="center"/>
              <w:rPr>
                <w:rFonts w:ascii="Arial" w:eastAsia="Arial" w:hAnsi="Arial" w:cs="Arial"/>
              </w:rPr>
            </w:pPr>
            <w:r>
              <w:rPr>
                <w:rFonts w:ascii="Arial" w:eastAsia="Arial" w:hAnsi="Arial" w:cs="Arial"/>
              </w:rPr>
              <w:lastRenderedPageBreak/>
              <w:t>7</w:t>
            </w:r>
          </w:p>
        </w:tc>
        <w:tc>
          <w:tcPr>
            <w:tcW w:w="1554" w:type="dxa"/>
          </w:tcPr>
          <w:p w14:paraId="071CE42B" w14:textId="77777777" w:rsidR="00B14497" w:rsidRDefault="000142EE">
            <w:pPr>
              <w:tabs>
                <w:tab w:val="left" w:pos="426"/>
              </w:tabs>
              <w:ind w:right="36"/>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rPr>
            </w:pPr>
            <w:r>
              <w:rPr>
                <w:rFonts w:ascii="Arial" w:eastAsia="Arial" w:hAnsi="Arial" w:cs="Arial"/>
              </w:rPr>
              <w:t>4 de febrero de 2022</w:t>
            </w:r>
          </w:p>
        </w:tc>
        <w:tc>
          <w:tcPr>
            <w:tcW w:w="1845" w:type="dxa"/>
          </w:tcPr>
          <w:p w14:paraId="7A69FD37" w14:textId="77777777" w:rsidR="00B14497" w:rsidRDefault="000142EE">
            <w:pPr>
              <w:tabs>
                <w:tab w:val="left" w:pos="426"/>
              </w:tabs>
              <w:ind w:right="36"/>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rPr>
            </w:pPr>
            <w:r>
              <w:rPr>
                <w:rFonts w:ascii="Arial" w:eastAsia="Arial" w:hAnsi="Arial" w:cs="Arial"/>
              </w:rPr>
              <w:t>No existe constancia al respecto.</w:t>
            </w:r>
          </w:p>
        </w:tc>
        <w:tc>
          <w:tcPr>
            <w:tcW w:w="2115" w:type="dxa"/>
          </w:tcPr>
          <w:p w14:paraId="4F241EA4" w14:textId="77777777" w:rsidR="00B14497" w:rsidRDefault="000142EE">
            <w:pPr>
              <w:tabs>
                <w:tab w:val="left" w:pos="426"/>
              </w:tabs>
              <w:ind w:right="36"/>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rPr>
            </w:pPr>
            <w:r>
              <w:rPr>
                <w:rFonts w:ascii="Arial" w:eastAsia="Arial" w:hAnsi="Arial" w:cs="Arial"/>
              </w:rPr>
              <w:t>No existe constancia al respecto.</w:t>
            </w:r>
          </w:p>
        </w:tc>
        <w:tc>
          <w:tcPr>
            <w:tcW w:w="2915" w:type="dxa"/>
          </w:tcPr>
          <w:p w14:paraId="37B85691" w14:textId="77777777" w:rsidR="00B14497" w:rsidRDefault="000142EE">
            <w:pPr>
              <w:tabs>
                <w:tab w:val="left" w:pos="426"/>
              </w:tabs>
              <w:ind w:right="36"/>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rPr>
            </w:pPr>
            <w:r>
              <w:rPr>
                <w:noProof/>
              </w:rPr>
              <w:drawing>
                <wp:inline distT="0" distB="0" distL="0" distR="0" wp14:anchorId="293ACDB3" wp14:editId="4FF219BA">
                  <wp:extent cx="1723792" cy="1012488"/>
                  <wp:effectExtent l="0" t="0" r="0" b="0"/>
                  <wp:docPr id="314" name="image20.png"/>
                  <wp:cNvGraphicFramePr/>
                  <a:graphic xmlns:a="http://schemas.openxmlformats.org/drawingml/2006/main">
                    <a:graphicData uri="http://schemas.openxmlformats.org/drawingml/2006/picture">
                      <pic:pic xmlns:pic="http://schemas.openxmlformats.org/drawingml/2006/picture">
                        <pic:nvPicPr>
                          <pic:cNvPr id="0" name="image20.png"/>
                          <pic:cNvPicPr preferRelativeResize="0"/>
                        </pic:nvPicPr>
                        <pic:blipFill>
                          <a:blip r:embed="rId15"/>
                          <a:srcRect l="62443" t="46017" r="11663" b="26935"/>
                          <a:stretch>
                            <a:fillRect/>
                          </a:stretch>
                        </pic:blipFill>
                        <pic:spPr>
                          <a:xfrm>
                            <a:off x="0" y="0"/>
                            <a:ext cx="1723792" cy="1012488"/>
                          </a:xfrm>
                          <a:prstGeom prst="rect">
                            <a:avLst/>
                          </a:prstGeom>
                          <a:ln/>
                        </pic:spPr>
                      </pic:pic>
                    </a:graphicData>
                  </a:graphic>
                </wp:inline>
              </w:drawing>
            </w:r>
          </w:p>
        </w:tc>
      </w:tr>
      <w:tr w:rsidR="00B14497" w14:paraId="76DF68F3" w14:textId="77777777" w:rsidTr="00B14497">
        <w:tc>
          <w:tcPr>
            <w:cnfStyle w:val="001000000000" w:firstRow="0" w:lastRow="0" w:firstColumn="1" w:lastColumn="0" w:oddVBand="0" w:evenVBand="0" w:oddHBand="0" w:evenHBand="0" w:firstRowFirstColumn="0" w:firstRowLastColumn="0" w:lastRowFirstColumn="0" w:lastRowLastColumn="0"/>
            <w:tcW w:w="1276" w:type="dxa"/>
          </w:tcPr>
          <w:p w14:paraId="16866A4C" w14:textId="77777777" w:rsidR="00B14497" w:rsidRDefault="000142EE">
            <w:pPr>
              <w:tabs>
                <w:tab w:val="left" w:pos="426"/>
              </w:tabs>
              <w:ind w:right="36"/>
              <w:jc w:val="center"/>
              <w:rPr>
                <w:rFonts w:ascii="Arial" w:eastAsia="Arial" w:hAnsi="Arial" w:cs="Arial"/>
              </w:rPr>
            </w:pPr>
            <w:r>
              <w:rPr>
                <w:rFonts w:ascii="Arial" w:eastAsia="Arial" w:hAnsi="Arial" w:cs="Arial"/>
              </w:rPr>
              <w:t>8</w:t>
            </w:r>
          </w:p>
        </w:tc>
        <w:tc>
          <w:tcPr>
            <w:tcW w:w="1554" w:type="dxa"/>
          </w:tcPr>
          <w:p w14:paraId="3DA89D35" w14:textId="77777777" w:rsidR="00B14497" w:rsidRDefault="000142EE">
            <w:pPr>
              <w:tabs>
                <w:tab w:val="left" w:pos="426"/>
              </w:tabs>
              <w:ind w:right="36"/>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Pr>
                <w:rFonts w:ascii="Arial" w:eastAsia="Arial" w:hAnsi="Arial" w:cs="Arial"/>
              </w:rPr>
              <w:t>2 de marzo de 2022</w:t>
            </w:r>
          </w:p>
        </w:tc>
        <w:tc>
          <w:tcPr>
            <w:tcW w:w="1845" w:type="dxa"/>
          </w:tcPr>
          <w:p w14:paraId="08A3CB8E" w14:textId="77777777" w:rsidR="00B14497" w:rsidRDefault="000142EE">
            <w:pPr>
              <w:tabs>
                <w:tab w:val="left" w:pos="426"/>
              </w:tabs>
              <w:ind w:right="36"/>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Pr>
                <w:rFonts w:ascii="Arial" w:eastAsia="Arial" w:hAnsi="Arial" w:cs="Arial"/>
              </w:rPr>
              <w:t xml:space="preserve">11 de marzo de 2022, esto es, </w:t>
            </w:r>
            <w:r>
              <w:rPr>
                <w:rFonts w:ascii="Arial" w:eastAsia="Arial" w:hAnsi="Arial" w:cs="Arial"/>
                <w:b/>
              </w:rPr>
              <w:t xml:space="preserve">9 días después </w:t>
            </w:r>
            <w:r>
              <w:rPr>
                <w:rFonts w:ascii="Arial" w:eastAsia="Arial" w:hAnsi="Arial" w:cs="Arial"/>
              </w:rPr>
              <w:t>de la fecha de su publicación.</w:t>
            </w:r>
          </w:p>
        </w:tc>
        <w:tc>
          <w:tcPr>
            <w:tcW w:w="2115" w:type="dxa"/>
          </w:tcPr>
          <w:p w14:paraId="0EC4BD23" w14:textId="77777777" w:rsidR="00B14497" w:rsidRDefault="000142EE">
            <w:pPr>
              <w:tabs>
                <w:tab w:val="left" w:pos="426"/>
              </w:tabs>
              <w:ind w:right="36"/>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Pr>
                <w:rFonts w:ascii="Arial" w:eastAsia="Arial" w:hAnsi="Arial" w:cs="Arial"/>
              </w:rPr>
              <w:t>Sí</w:t>
            </w:r>
          </w:p>
        </w:tc>
        <w:tc>
          <w:tcPr>
            <w:tcW w:w="2915" w:type="dxa"/>
          </w:tcPr>
          <w:p w14:paraId="2C98A42F" w14:textId="77777777" w:rsidR="00B14497" w:rsidRDefault="000142EE">
            <w:pPr>
              <w:tabs>
                <w:tab w:val="left" w:pos="426"/>
              </w:tabs>
              <w:ind w:right="36"/>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Pr>
                <w:noProof/>
              </w:rPr>
              <w:drawing>
                <wp:inline distT="0" distB="0" distL="0" distR="0" wp14:anchorId="15D1DC46" wp14:editId="2EFC2BE4">
                  <wp:extent cx="1695880" cy="595158"/>
                  <wp:effectExtent l="0" t="0" r="0" b="0"/>
                  <wp:docPr id="315" name="image19.png"/>
                  <wp:cNvGraphicFramePr/>
                  <a:graphic xmlns:a="http://schemas.openxmlformats.org/drawingml/2006/main">
                    <a:graphicData uri="http://schemas.openxmlformats.org/drawingml/2006/picture">
                      <pic:pic xmlns:pic="http://schemas.openxmlformats.org/drawingml/2006/picture">
                        <pic:nvPicPr>
                          <pic:cNvPr id="0" name="image19.png"/>
                          <pic:cNvPicPr preferRelativeResize="0"/>
                        </pic:nvPicPr>
                        <pic:blipFill>
                          <a:blip r:embed="rId16"/>
                          <a:srcRect l="62660" t="43509" r="11464" b="40341"/>
                          <a:stretch>
                            <a:fillRect/>
                          </a:stretch>
                        </pic:blipFill>
                        <pic:spPr>
                          <a:xfrm>
                            <a:off x="0" y="0"/>
                            <a:ext cx="1695880" cy="595158"/>
                          </a:xfrm>
                          <a:prstGeom prst="rect">
                            <a:avLst/>
                          </a:prstGeom>
                          <a:ln/>
                        </pic:spPr>
                      </pic:pic>
                    </a:graphicData>
                  </a:graphic>
                </wp:inline>
              </w:drawing>
            </w:r>
          </w:p>
        </w:tc>
      </w:tr>
      <w:tr w:rsidR="00B14497" w14:paraId="451F3DC6" w14:textId="77777777" w:rsidTr="00B144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73CA3639" w14:textId="77777777" w:rsidR="00B14497" w:rsidRDefault="000142EE">
            <w:pPr>
              <w:tabs>
                <w:tab w:val="left" w:pos="426"/>
              </w:tabs>
              <w:ind w:right="36"/>
              <w:jc w:val="center"/>
              <w:rPr>
                <w:rFonts w:ascii="Arial" w:eastAsia="Arial" w:hAnsi="Arial" w:cs="Arial"/>
              </w:rPr>
            </w:pPr>
            <w:r>
              <w:rPr>
                <w:rFonts w:ascii="Arial" w:eastAsia="Arial" w:hAnsi="Arial" w:cs="Arial"/>
              </w:rPr>
              <w:t>9</w:t>
            </w:r>
          </w:p>
        </w:tc>
        <w:tc>
          <w:tcPr>
            <w:tcW w:w="1554" w:type="dxa"/>
          </w:tcPr>
          <w:p w14:paraId="2F8F23F7" w14:textId="77777777" w:rsidR="00B14497" w:rsidRDefault="000142EE">
            <w:pPr>
              <w:tabs>
                <w:tab w:val="left" w:pos="426"/>
              </w:tabs>
              <w:ind w:right="36"/>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rPr>
            </w:pPr>
            <w:r>
              <w:rPr>
                <w:rFonts w:ascii="Arial" w:eastAsia="Arial" w:hAnsi="Arial" w:cs="Arial"/>
              </w:rPr>
              <w:t>23 de marzo de 2022</w:t>
            </w:r>
          </w:p>
        </w:tc>
        <w:tc>
          <w:tcPr>
            <w:tcW w:w="1845" w:type="dxa"/>
          </w:tcPr>
          <w:p w14:paraId="21638CEE" w14:textId="77777777" w:rsidR="00B14497" w:rsidRDefault="000142EE">
            <w:pPr>
              <w:tabs>
                <w:tab w:val="left" w:pos="426"/>
              </w:tabs>
              <w:ind w:right="36"/>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rPr>
            </w:pPr>
            <w:r>
              <w:rPr>
                <w:rFonts w:ascii="Arial" w:eastAsia="Arial" w:hAnsi="Arial" w:cs="Arial"/>
              </w:rPr>
              <w:t xml:space="preserve">25 de marzo de 2022, esto es, </w:t>
            </w:r>
            <w:r>
              <w:rPr>
                <w:rFonts w:ascii="Arial" w:eastAsia="Arial" w:hAnsi="Arial" w:cs="Arial"/>
                <w:b/>
              </w:rPr>
              <w:t>2 días después</w:t>
            </w:r>
            <w:r>
              <w:rPr>
                <w:rFonts w:ascii="Arial" w:eastAsia="Arial" w:hAnsi="Arial" w:cs="Arial"/>
              </w:rPr>
              <w:t xml:space="preserve"> de la fecha de su publicación.</w:t>
            </w:r>
          </w:p>
        </w:tc>
        <w:tc>
          <w:tcPr>
            <w:tcW w:w="2115" w:type="dxa"/>
          </w:tcPr>
          <w:p w14:paraId="032243E8" w14:textId="77777777" w:rsidR="00B14497" w:rsidRDefault="000142EE">
            <w:pPr>
              <w:tabs>
                <w:tab w:val="left" w:pos="426"/>
              </w:tabs>
              <w:ind w:right="36"/>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rPr>
            </w:pPr>
            <w:r>
              <w:rPr>
                <w:rFonts w:ascii="Arial" w:eastAsia="Arial" w:hAnsi="Arial" w:cs="Arial"/>
              </w:rPr>
              <w:t>Sí</w:t>
            </w:r>
          </w:p>
        </w:tc>
        <w:tc>
          <w:tcPr>
            <w:tcW w:w="2915" w:type="dxa"/>
          </w:tcPr>
          <w:p w14:paraId="5493CCA8" w14:textId="77777777" w:rsidR="00B14497" w:rsidRDefault="000142EE">
            <w:pPr>
              <w:tabs>
                <w:tab w:val="left" w:pos="426"/>
              </w:tabs>
              <w:ind w:right="36"/>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rPr>
            </w:pPr>
            <w:r>
              <w:rPr>
                <w:noProof/>
              </w:rPr>
              <w:drawing>
                <wp:inline distT="0" distB="0" distL="0" distR="0" wp14:anchorId="1B2CA817" wp14:editId="1B39412A">
                  <wp:extent cx="1768202" cy="795179"/>
                  <wp:effectExtent l="0" t="0" r="0" b="0"/>
                  <wp:docPr id="296"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7"/>
                          <a:srcRect l="61948" t="50326" r="11428" b="28383"/>
                          <a:stretch>
                            <a:fillRect/>
                          </a:stretch>
                        </pic:blipFill>
                        <pic:spPr>
                          <a:xfrm>
                            <a:off x="0" y="0"/>
                            <a:ext cx="1768202" cy="795179"/>
                          </a:xfrm>
                          <a:prstGeom prst="rect">
                            <a:avLst/>
                          </a:prstGeom>
                          <a:ln/>
                        </pic:spPr>
                      </pic:pic>
                    </a:graphicData>
                  </a:graphic>
                </wp:inline>
              </w:drawing>
            </w:r>
          </w:p>
        </w:tc>
      </w:tr>
      <w:tr w:rsidR="00B14497" w14:paraId="76C953BF" w14:textId="77777777" w:rsidTr="00B14497">
        <w:tc>
          <w:tcPr>
            <w:cnfStyle w:val="001000000000" w:firstRow="0" w:lastRow="0" w:firstColumn="1" w:lastColumn="0" w:oddVBand="0" w:evenVBand="0" w:oddHBand="0" w:evenHBand="0" w:firstRowFirstColumn="0" w:firstRowLastColumn="0" w:lastRowFirstColumn="0" w:lastRowLastColumn="0"/>
            <w:tcW w:w="1276" w:type="dxa"/>
          </w:tcPr>
          <w:p w14:paraId="5A919F42" w14:textId="77777777" w:rsidR="00B14497" w:rsidRDefault="000142EE">
            <w:pPr>
              <w:tabs>
                <w:tab w:val="left" w:pos="426"/>
              </w:tabs>
              <w:ind w:right="36"/>
              <w:jc w:val="center"/>
              <w:rPr>
                <w:rFonts w:ascii="Arial" w:eastAsia="Arial" w:hAnsi="Arial" w:cs="Arial"/>
              </w:rPr>
            </w:pPr>
            <w:r>
              <w:rPr>
                <w:rFonts w:ascii="Arial" w:eastAsia="Arial" w:hAnsi="Arial" w:cs="Arial"/>
              </w:rPr>
              <w:t>10</w:t>
            </w:r>
          </w:p>
        </w:tc>
        <w:tc>
          <w:tcPr>
            <w:tcW w:w="1554" w:type="dxa"/>
          </w:tcPr>
          <w:p w14:paraId="1F978803" w14:textId="77777777" w:rsidR="00B14497" w:rsidRDefault="000142EE">
            <w:pPr>
              <w:tabs>
                <w:tab w:val="left" w:pos="426"/>
              </w:tabs>
              <w:ind w:right="36"/>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Pr>
                <w:rFonts w:ascii="Arial" w:eastAsia="Arial" w:hAnsi="Arial" w:cs="Arial"/>
              </w:rPr>
              <w:t>31 de marzo de 2022</w:t>
            </w:r>
          </w:p>
        </w:tc>
        <w:tc>
          <w:tcPr>
            <w:tcW w:w="1845" w:type="dxa"/>
          </w:tcPr>
          <w:p w14:paraId="1349972F" w14:textId="77777777" w:rsidR="00B14497" w:rsidRDefault="000142EE">
            <w:pPr>
              <w:tabs>
                <w:tab w:val="left" w:pos="426"/>
              </w:tabs>
              <w:ind w:right="36"/>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Pr>
                <w:rFonts w:ascii="Arial" w:eastAsia="Arial" w:hAnsi="Arial" w:cs="Arial"/>
              </w:rPr>
              <w:t xml:space="preserve">7 de abril de 2022, esto es, </w:t>
            </w:r>
            <w:r>
              <w:rPr>
                <w:rFonts w:ascii="Arial" w:eastAsia="Arial" w:hAnsi="Arial" w:cs="Arial"/>
                <w:b/>
              </w:rPr>
              <w:t>7 días después</w:t>
            </w:r>
            <w:r>
              <w:rPr>
                <w:rFonts w:ascii="Arial" w:eastAsia="Arial" w:hAnsi="Arial" w:cs="Arial"/>
              </w:rPr>
              <w:t xml:space="preserve"> de la fecha de su publicación.</w:t>
            </w:r>
          </w:p>
        </w:tc>
        <w:tc>
          <w:tcPr>
            <w:tcW w:w="2115" w:type="dxa"/>
          </w:tcPr>
          <w:p w14:paraId="0939B37B" w14:textId="77777777" w:rsidR="00B14497" w:rsidRDefault="000142EE">
            <w:pPr>
              <w:tabs>
                <w:tab w:val="left" w:pos="426"/>
              </w:tabs>
              <w:ind w:right="36"/>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Pr>
                <w:rFonts w:ascii="Arial" w:eastAsia="Arial" w:hAnsi="Arial" w:cs="Arial"/>
              </w:rPr>
              <w:t>Sí</w:t>
            </w:r>
          </w:p>
        </w:tc>
        <w:tc>
          <w:tcPr>
            <w:tcW w:w="2915" w:type="dxa"/>
          </w:tcPr>
          <w:p w14:paraId="05A71B27" w14:textId="77777777" w:rsidR="00B14497" w:rsidRDefault="000142EE">
            <w:pPr>
              <w:tabs>
                <w:tab w:val="left" w:pos="426"/>
              </w:tabs>
              <w:ind w:right="36"/>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Pr>
                <w:noProof/>
              </w:rPr>
              <w:drawing>
                <wp:inline distT="0" distB="0" distL="0" distR="0" wp14:anchorId="7E85B4AE" wp14:editId="6A7181E7">
                  <wp:extent cx="1763936" cy="947939"/>
                  <wp:effectExtent l="0" t="0" r="0" b="0"/>
                  <wp:docPr id="297"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8"/>
                          <a:srcRect l="61305" t="43637" r="10264" b="29195"/>
                          <a:stretch>
                            <a:fillRect/>
                          </a:stretch>
                        </pic:blipFill>
                        <pic:spPr>
                          <a:xfrm>
                            <a:off x="0" y="0"/>
                            <a:ext cx="1763936" cy="947939"/>
                          </a:xfrm>
                          <a:prstGeom prst="rect">
                            <a:avLst/>
                          </a:prstGeom>
                          <a:ln/>
                        </pic:spPr>
                      </pic:pic>
                    </a:graphicData>
                  </a:graphic>
                </wp:inline>
              </w:drawing>
            </w:r>
          </w:p>
        </w:tc>
      </w:tr>
      <w:tr w:rsidR="00B14497" w14:paraId="213566AC" w14:textId="77777777" w:rsidTr="00B144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249EC983" w14:textId="77777777" w:rsidR="00B14497" w:rsidRDefault="000142EE">
            <w:pPr>
              <w:tabs>
                <w:tab w:val="left" w:pos="426"/>
              </w:tabs>
              <w:ind w:right="36"/>
              <w:jc w:val="center"/>
              <w:rPr>
                <w:rFonts w:ascii="Arial" w:eastAsia="Arial" w:hAnsi="Arial" w:cs="Arial"/>
              </w:rPr>
            </w:pPr>
            <w:r>
              <w:rPr>
                <w:rFonts w:ascii="Arial" w:eastAsia="Arial" w:hAnsi="Arial" w:cs="Arial"/>
              </w:rPr>
              <w:t>11</w:t>
            </w:r>
          </w:p>
        </w:tc>
        <w:tc>
          <w:tcPr>
            <w:tcW w:w="1554" w:type="dxa"/>
          </w:tcPr>
          <w:p w14:paraId="7AA57BA1" w14:textId="77777777" w:rsidR="00B14497" w:rsidRDefault="000142EE">
            <w:pPr>
              <w:tabs>
                <w:tab w:val="left" w:pos="426"/>
              </w:tabs>
              <w:ind w:right="36"/>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rPr>
            </w:pPr>
            <w:r>
              <w:rPr>
                <w:rFonts w:ascii="Arial" w:eastAsia="Arial" w:hAnsi="Arial" w:cs="Arial"/>
              </w:rPr>
              <w:t>5 de abril de 2022</w:t>
            </w:r>
          </w:p>
        </w:tc>
        <w:tc>
          <w:tcPr>
            <w:tcW w:w="1845" w:type="dxa"/>
          </w:tcPr>
          <w:p w14:paraId="3984D5E9" w14:textId="77777777" w:rsidR="00B14497" w:rsidRDefault="000142EE">
            <w:pPr>
              <w:tabs>
                <w:tab w:val="left" w:pos="426"/>
              </w:tabs>
              <w:ind w:right="36"/>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rPr>
            </w:pPr>
            <w:r>
              <w:rPr>
                <w:rFonts w:ascii="Arial" w:eastAsia="Arial" w:hAnsi="Arial" w:cs="Arial"/>
              </w:rPr>
              <w:t xml:space="preserve">7 de abril de 2022, esto es, </w:t>
            </w:r>
            <w:r>
              <w:rPr>
                <w:rFonts w:ascii="Arial" w:eastAsia="Arial" w:hAnsi="Arial" w:cs="Arial"/>
                <w:b/>
              </w:rPr>
              <w:t>2 días después</w:t>
            </w:r>
            <w:r>
              <w:rPr>
                <w:rFonts w:ascii="Arial" w:eastAsia="Arial" w:hAnsi="Arial" w:cs="Arial"/>
              </w:rPr>
              <w:t xml:space="preserve"> de la fecha de su publicación.</w:t>
            </w:r>
          </w:p>
        </w:tc>
        <w:tc>
          <w:tcPr>
            <w:tcW w:w="2115" w:type="dxa"/>
          </w:tcPr>
          <w:p w14:paraId="380F2064" w14:textId="77777777" w:rsidR="00B14497" w:rsidRDefault="000142EE">
            <w:pPr>
              <w:tabs>
                <w:tab w:val="left" w:pos="426"/>
              </w:tabs>
              <w:ind w:right="36"/>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rPr>
            </w:pPr>
            <w:r>
              <w:rPr>
                <w:rFonts w:ascii="Arial" w:eastAsia="Arial" w:hAnsi="Arial" w:cs="Arial"/>
              </w:rPr>
              <w:t xml:space="preserve">No, ello porque: </w:t>
            </w:r>
            <w:r>
              <w:rPr>
                <w:rFonts w:ascii="Arial" w:eastAsia="Arial" w:hAnsi="Arial" w:cs="Arial"/>
                <w:b/>
                <w:i/>
              </w:rPr>
              <w:t>i)</w:t>
            </w:r>
            <w:r>
              <w:rPr>
                <w:rFonts w:ascii="Arial" w:eastAsia="Arial" w:hAnsi="Arial" w:cs="Arial"/>
              </w:rPr>
              <w:t xml:space="preserve"> el rubro “NO SABE AÚN” varía en 0.5 puntos y, </w:t>
            </w:r>
            <w:proofErr w:type="spellStart"/>
            <w:r>
              <w:rPr>
                <w:rFonts w:ascii="Arial" w:eastAsia="Arial" w:hAnsi="Arial" w:cs="Arial"/>
                <w:b/>
                <w:i/>
              </w:rPr>
              <w:t>ii</w:t>
            </w:r>
            <w:proofErr w:type="spellEnd"/>
            <w:r>
              <w:rPr>
                <w:rFonts w:ascii="Arial" w:eastAsia="Arial" w:hAnsi="Arial" w:cs="Arial"/>
                <w:b/>
                <w:i/>
              </w:rPr>
              <w:t>)</w:t>
            </w:r>
            <w:r>
              <w:rPr>
                <w:rFonts w:ascii="Arial" w:eastAsia="Arial" w:hAnsi="Arial" w:cs="Arial"/>
              </w:rPr>
              <w:t xml:space="preserve"> en la encuesta publicada se agregó la información de la candidata Natzielly Rodríguez. </w:t>
            </w:r>
          </w:p>
        </w:tc>
        <w:tc>
          <w:tcPr>
            <w:tcW w:w="2915" w:type="dxa"/>
          </w:tcPr>
          <w:p w14:paraId="375A6084" w14:textId="77777777" w:rsidR="00B14497" w:rsidRDefault="000142EE">
            <w:pPr>
              <w:tabs>
                <w:tab w:val="left" w:pos="426"/>
              </w:tabs>
              <w:ind w:right="36"/>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rPr>
            </w:pPr>
            <w:r>
              <w:rPr>
                <w:noProof/>
              </w:rPr>
              <w:drawing>
                <wp:inline distT="0" distB="0" distL="0" distR="0" wp14:anchorId="1F915D27" wp14:editId="26AF59AA">
                  <wp:extent cx="1753044" cy="639797"/>
                  <wp:effectExtent l="0" t="0" r="0" b="0"/>
                  <wp:docPr id="298"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9"/>
                          <a:srcRect l="62646" t="44058" r="12096" b="39551"/>
                          <a:stretch>
                            <a:fillRect/>
                          </a:stretch>
                        </pic:blipFill>
                        <pic:spPr>
                          <a:xfrm>
                            <a:off x="0" y="0"/>
                            <a:ext cx="1753044" cy="639797"/>
                          </a:xfrm>
                          <a:prstGeom prst="rect">
                            <a:avLst/>
                          </a:prstGeom>
                          <a:ln/>
                        </pic:spPr>
                      </pic:pic>
                    </a:graphicData>
                  </a:graphic>
                </wp:inline>
              </w:drawing>
            </w:r>
          </w:p>
        </w:tc>
      </w:tr>
      <w:tr w:rsidR="00B14497" w14:paraId="0AA0ED29" w14:textId="77777777" w:rsidTr="00B14497">
        <w:tc>
          <w:tcPr>
            <w:cnfStyle w:val="001000000000" w:firstRow="0" w:lastRow="0" w:firstColumn="1" w:lastColumn="0" w:oddVBand="0" w:evenVBand="0" w:oddHBand="0" w:evenHBand="0" w:firstRowFirstColumn="0" w:firstRowLastColumn="0" w:lastRowFirstColumn="0" w:lastRowLastColumn="0"/>
            <w:tcW w:w="1276" w:type="dxa"/>
          </w:tcPr>
          <w:p w14:paraId="18B0893D" w14:textId="77777777" w:rsidR="00B14497" w:rsidRDefault="000142EE">
            <w:pPr>
              <w:tabs>
                <w:tab w:val="left" w:pos="426"/>
              </w:tabs>
              <w:ind w:right="36"/>
              <w:jc w:val="center"/>
              <w:rPr>
                <w:rFonts w:ascii="Arial" w:eastAsia="Arial" w:hAnsi="Arial" w:cs="Arial"/>
              </w:rPr>
            </w:pPr>
            <w:r>
              <w:rPr>
                <w:rFonts w:ascii="Arial" w:eastAsia="Arial" w:hAnsi="Arial" w:cs="Arial"/>
              </w:rPr>
              <w:t>12</w:t>
            </w:r>
          </w:p>
        </w:tc>
        <w:tc>
          <w:tcPr>
            <w:tcW w:w="1554" w:type="dxa"/>
          </w:tcPr>
          <w:p w14:paraId="478D97D7" w14:textId="77777777" w:rsidR="00B14497" w:rsidRDefault="000142EE">
            <w:pPr>
              <w:tabs>
                <w:tab w:val="left" w:pos="426"/>
              </w:tabs>
              <w:ind w:right="36"/>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Pr>
                <w:rFonts w:ascii="Arial" w:eastAsia="Arial" w:hAnsi="Arial" w:cs="Arial"/>
              </w:rPr>
              <w:t>8 de abril de 2022</w:t>
            </w:r>
          </w:p>
        </w:tc>
        <w:tc>
          <w:tcPr>
            <w:tcW w:w="1845" w:type="dxa"/>
          </w:tcPr>
          <w:p w14:paraId="1E06F32A" w14:textId="77777777" w:rsidR="00B14497" w:rsidRDefault="000142EE">
            <w:pPr>
              <w:tabs>
                <w:tab w:val="left" w:pos="426"/>
              </w:tabs>
              <w:ind w:right="36"/>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Pr>
                <w:rFonts w:ascii="Arial" w:eastAsia="Arial" w:hAnsi="Arial" w:cs="Arial"/>
              </w:rPr>
              <w:t xml:space="preserve">7 de abril de 2022, esto es, </w:t>
            </w:r>
            <w:r>
              <w:rPr>
                <w:rFonts w:ascii="Arial" w:eastAsia="Arial" w:hAnsi="Arial" w:cs="Arial"/>
                <w:b/>
              </w:rPr>
              <w:t>1 día antes</w:t>
            </w:r>
            <w:r>
              <w:rPr>
                <w:rFonts w:ascii="Arial" w:eastAsia="Arial" w:hAnsi="Arial" w:cs="Arial"/>
              </w:rPr>
              <w:t xml:space="preserve"> de la fecha de su publicación.</w:t>
            </w:r>
          </w:p>
        </w:tc>
        <w:tc>
          <w:tcPr>
            <w:tcW w:w="2115" w:type="dxa"/>
          </w:tcPr>
          <w:p w14:paraId="0BAB66DB" w14:textId="77777777" w:rsidR="00B14497" w:rsidRDefault="000142EE">
            <w:pPr>
              <w:tabs>
                <w:tab w:val="left" w:pos="426"/>
              </w:tabs>
              <w:ind w:right="36"/>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Pr>
                <w:rFonts w:ascii="Arial" w:eastAsia="Arial" w:hAnsi="Arial" w:cs="Arial"/>
              </w:rPr>
              <w:t xml:space="preserve">No, ello porque: </w:t>
            </w:r>
            <w:r>
              <w:rPr>
                <w:rFonts w:ascii="Arial" w:eastAsia="Arial" w:hAnsi="Arial" w:cs="Arial"/>
                <w:b/>
                <w:i/>
              </w:rPr>
              <w:t>i)</w:t>
            </w:r>
            <w:r>
              <w:rPr>
                <w:rFonts w:ascii="Arial" w:eastAsia="Arial" w:hAnsi="Arial" w:cs="Arial"/>
              </w:rPr>
              <w:t xml:space="preserve"> el rubro “NO SABE AÚN” varía en 0.7 puntos y, </w:t>
            </w:r>
            <w:proofErr w:type="spellStart"/>
            <w:r>
              <w:rPr>
                <w:rFonts w:ascii="Arial" w:eastAsia="Arial" w:hAnsi="Arial" w:cs="Arial"/>
                <w:b/>
                <w:i/>
              </w:rPr>
              <w:t>ii</w:t>
            </w:r>
            <w:proofErr w:type="spellEnd"/>
            <w:r>
              <w:rPr>
                <w:rFonts w:ascii="Arial" w:eastAsia="Arial" w:hAnsi="Arial" w:cs="Arial"/>
                <w:b/>
                <w:i/>
              </w:rPr>
              <w:t>)</w:t>
            </w:r>
            <w:r>
              <w:rPr>
                <w:rFonts w:ascii="Arial" w:eastAsia="Arial" w:hAnsi="Arial" w:cs="Arial"/>
              </w:rPr>
              <w:t xml:space="preserve"> en la encuesta publicada se agregó la información de la candidata Natzielly Rodríguez.</w:t>
            </w:r>
          </w:p>
        </w:tc>
        <w:tc>
          <w:tcPr>
            <w:tcW w:w="2915" w:type="dxa"/>
          </w:tcPr>
          <w:p w14:paraId="499595CE" w14:textId="77777777" w:rsidR="00B14497" w:rsidRDefault="000142EE">
            <w:pPr>
              <w:tabs>
                <w:tab w:val="left" w:pos="426"/>
              </w:tabs>
              <w:ind w:right="36"/>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Pr>
                <w:noProof/>
              </w:rPr>
              <w:drawing>
                <wp:inline distT="0" distB="0" distL="0" distR="0" wp14:anchorId="300FA6F3" wp14:editId="63848A19">
                  <wp:extent cx="1769411" cy="791409"/>
                  <wp:effectExtent l="0" t="0" r="0" b="0"/>
                  <wp:docPr id="299" name="image18.png"/>
                  <wp:cNvGraphicFramePr/>
                  <a:graphic xmlns:a="http://schemas.openxmlformats.org/drawingml/2006/main">
                    <a:graphicData uri="http://schemas.openxmlformats.org/drawingml/2006/picture">
                      <pic:pic xmlns:pic="http://schemas.openxmlformats.org/drawingml/2006/picture">
                        <pic:nvPicPr>
                          <pic:cNvPr id="0" name="image18.png"/>
                          <pic:cNvPicPr preferRelativeResize="0"/>
                        </pic:nvPicPr>
                        <pic:blipFill>
                          <a:blip r:embed="rId20"/>
                          <a:srcRect l="63492" t="58292" r="13136" b="23119"/>
                          <a:stretch>
                            <a:fillRect/>
                          </a:stretch>
                        </pic:blipFill>
                        <pic:spPr>
                          <a:xfrm>
                            <a:off x="0" y="0"/>
                            <a:ext cx="1769411" cy="791409"/>
                          </a:xfrm>
                          <a:prstGeom prst="rect">
                            <a:avLst/>
                          </a:prstGeom>
                          <a:ln/>
                        </pic:spPr>
                      </pic:pic>
                    </a:graphicData>
                  </a:graphic>
                </wp:inline>
              </w:drawing>
            </w:r>
          </w:p>
        </w:tc>
      </w:tr>
      <w:tr w:rsidR="00B14497" w14:paraId="5A59024C" w14:textId="77777777" w:rsidTr="00B144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5AB6F1E5" w14:textId="77777777" w:rsidR="00B14497" w:rsidRDefault="000142EE">
            <w:pPr>
              <w:tabs>
                <w:tab w:val="left" w:pos="426"/>
              </w:tabs>
              <w:ind w:right="36"/>
              <w:jc w:val="center"/>
              <w:rPr>
                <w:rFonts w:ascii="Arial" w:eastAsia="Arial" w:hAnsi="Arial" w:cs="Arial"/>
              </w:rPr>
            </w:pPr>
            <w:r>
              <w:rPr>
                <w:rFonts w:ascii="Arial" w:eastAsia="Arial" w:hAnsi="Arial" w:cs="Arial"/>
              </w:rPr>
              <w:t>13</w:t>
            </w:r>
          </w:p>
        </w:tc>
        <w:tc>
          <w:tcPr>
            <w:tcW w:w="1554" w:type="dxa"/>
          </w:tcPr>
          <w:p w14:paraId="376ABA47" w14:textId="77777777" w:rsidR="00B14497" w:rsidRDefault="000142EE">
            <w:pPr>
              <w:tabs>
                <w:tab w:val="left" w:pos="426"/>
              </w:tabs>
              <w:ind w:right="36"/>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rPr>
            </w:pPr>
            <w:r>
              <w:rPr>
                <w:rFonts w:ascii="Arial" w:eastAsia="Arial" w:hAnsi="Arial" w:cs="Arial"/>
              </w:rPr>
              <w:t>22 de abril de 2022</w:t>
            </w:r>
          </w:p>
        </w:tc>
        <w:tc>
          <w:tcPr>
            <w:tcW w:w="1845" w:type="dxa"/>
          </w:tcPr>
          <w:p w14:paraId="147918B4" w14:textId="77777777" w:rsidR="00B14497" w:rsidRDefault="000142EE">
            <w:pPr>
              <w:tabs>
                <w:tab w:val="left" w:pos="426"/>
              </w:tabs>
              <w:ind w:right="36"/>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rPr>
            </w:pPr>
            <w:r>
              <w:rPr>
                <w:rFonts w:ascii="Arial" w:eastAsia="Arial" w:hAnsi="Arial" w:cs="Arial"/>
              </w:rPr>
              <w:t xml:space="preserve">29 de abril de 2022, esto es, </w:t>
            </w:r>
            <w:r>
              <w:rPr>
                <w:rFonts w:ascii="Arial" w:eastAsia="Arial" w:hAnsi="Arial" w:cs="Arial"/>
                <w:b/>
              </w:rPr>
              <w:t>7 días después</w:t>
            </w:r>
            <w:r>
              <w:rPr>
                <w:rFonts w:ascii="Arial" w:eastAsia="Arial" w:hAnsi="Arial" w:cs="Arial"/>
              </w:rPr>
              <w:t xml:space="preserve"> de la fecha de su publicación.</w:t>
            </w:r>
          </w:p>
        </w:tc>
        <w:tc>
          <w:tcPr>
            <w:tcW w:w="2115" w:type="dxa"/>
          </w:tcPr>
          <w:p w14:paraId="04B55BE1" w14:textId="77777777" w:rsidR="00B14497" w:rsidRDefault="000142EE">
            <w:pPr>
              <w:tabs>
                <w:tab w:val="left" w:pos="426"/>
              </w:tabs>
              <w:ind w:right="36"/>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rPr>
            </w:pPr>
            <w:r>
              <w:rPr>
                <w:rFonts w:ascii="Arial" w:eastAsia="Arial" w:hAnsi="Arial" w:cs="Arial"/>
              </w:rPr>
              <w:t>No</w:t>
            </w:r>
            <w:proofErr w:type="gramStart"/>
            <w:r>
              <w:rPr>
                <w:rFonts w:ascii="Arial" w:eastAsia="Arial" w:hAnsi="Arial" w:cs="Arial"/>
              </w:rPr>
              <w:t>, ,</w:t>
            </w:r>
            <w:proofErr w:type="gramEnd"/>
            <w:r>
              <w:rPr>
                <w:rFonts w:ascii="Arial" w:eastAsia="Arial" w:hAnsi="Arial" w:cs="Arial"/>
              </w:rPr>
              <w:t xml:space="preserve"> ello porque: </w:t>
            </w:r>
            <w:r>
              <w:rPr>
                <w:rFonts w:ascii="Arial" w:eastAsia="Arial" w:hAnsi="Arial" w:cs="Arial"/>
                <w:b/>
                <w:i/>
              </w:rPr>
              <w:t>i)</w:t>
            </w:r>
            <w:r>
              <w:rPr>
                <w:rFonts w:ascii="Arial" w:eastAsia="Arial" w:hAnsi="Arial" w:cs="Arial"/>
              </w:rPr>
              <w:t xml:space="preserve"> el rubro “NO SABE AÚN” varía en 2.1 puntos y, </w:t>
            </w:r>
            <w:proofErr w:type="spellStart"/>
            <w:r>
              <w:rPr>
                <w:rFonts w:ascii="Arial" w:eastAsia="Arial" w:hAnsi="Arial" w:cs="Arial"/>
                <w:b/>
                <w:i/>
              </w:rPr>
              <w:t>ii</w:t>
            </w:r>
            <w:proofErr w:type="spellEnd"/>
            <w:r>
              <w:rPr>
                <w:rFonts w:ascii="Arial" w:eastAsia="Arial" w:hAnsi="Arial" w:cs="Arial"/>
                <w:b/>
                <w:i/>
              </w:rPr>
              <w:t>)</w:t>
            </w:r>
            <w:r>
              <w:rPr>
                <w:rFonts w:ascii="Arial" w:eastAsia="Arial" w:hAnsi="Arial" w:cs="Arial"/>
              </w:rPr>
              <w:t xml:space="preserve"> en la encuesta publicada se agregó la información de la candidata Natzielly Rodríguez.</w:t>
            </w:r>
          </w:p>
        </w:tc>
        <w:tc>
          <w:tcPr>
            <w:tcW w:w="2915" w:type="dxa"/>
          </w:tcPr>
          <w:p w14:paraId="3C9279D7" w14:textId="77777777" w:rsidR="00B14497" w:rsidRDefault="000142EE">
            <w:pPr>
              <w:tabs>
                <w:tab w:val="left" w:pos="426"/>
              </w:tabs>
              <w:ind w:right="36"/>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rPr>
            </w:pPr>
            <w:r>
              <w:rPr>
                <w:noProof/>
              </w:rPr>
              <w:drawing>
                <wp:inline distT="0" distB="0" distL="0" distR="0" wp14:anchorId="6EB2C868" wp14:editId="5BBF2A20">
                  <wp:extent cx="1760746" cy="902783"/>
                  <wp:effectExtent l="0" t="0" r="0" b="0"/>
                  <wp:docPr id="300"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21"/>
                          <a:srcRect l="61295" t="42387" r="7698" b="29342"/>
                          <a:stretch>
                            <a:fillRect/>
                          </a:stretch>
                        </pic:blipFill>
                        <pic:spPr>
                          <a:xfrm>
                            <a:off x="0" y="0"/>
                            <a:ext cx="1760746" cy="902783"/>
                          </a:xfrm>
                          <a:prstGeom prst="rect">
                            <a:avLst/>
                          </a:prstGeom>
                          <a:ln/>
                        </pic:spPr>
                      </pic:pic>
                    </a:graphicData>
                  </a:graphic>
                </wp:inline>
              </w:drawing>
            </w:r>
          </w:p>
        </w:tc>
      </w:tr>
      <w:tr w:rsidR="00B14497" w14:paraId="78DFAC2B" w14:textId="77777777" w:rsidTr="00B14497">
        <w:tc>
          <w:tcPr>
            <w:cnfStyle w:val="001000000000" w:firstRow="0" w:lastRow="0" w:firstColumn="1" w:lastColumn="0" w:oddVBand="0" w:evenVBand="0" w:oddHBand="0" w:evenHBand="0" w:firstRowFirstColumn="0" w:firstRowLastColumn="0" w:lastRowFirstColumn="0" w:lastRowLastColumn="0"/>
            <w:tcW w:w="1276" w:type="dxa"/>
          </w:tcPr>
          <w:p w14:paraId="23BA0B9B" w14:textId="77777777" w:rsidR="00B14497" w:rsidRDefault="000142EE">
            <w:pPr>
              <w:tabs>
                <w:tab w:val="left" w:pos="426"/>
              </w:tabs>
              <w:ind w:right="36"/>
              <w:jc w:val="center"/>
              <w:rPr>
                <w:rFonts w:ascii="Arial" w:eastAsia="Arial" w:hAnsi="Arial" w:cs="Arial"/>
              </w:rPr>
            </w:pPr>
            <w:r>
              <w:rPr>
                <w:rFonts w:ascii="Arial" w:eastAsia="Arial" w:hAnsi="Arial" w:cs="Arial"/>
              </w:rPr>
              <w:t>14</w:t>
            </w:r>
          </w:p>
        </w:tc>
        <w:tc>
          <w:tcPr>
            <w:tcW w:w="1554" w:type="dxa"/>
          </w:tcPr>
          <w:p w14:paraId="335C05A9" w14:textId="77777777" w:rsidR="00B14497" w:rsidRDefault="000142EE">
            <w:pPr>
              <w:tabs>
                <w:tab w:val="left" w:pos="426"/>
              </w:tabs>
              <w:ind w:right="36"/>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Pr>
                <w:rFonts w:ascii="Arial" w:eastAsia="Arial" w:hAnsi="Arial" w:cs="Arial"/>
              </w:rPr>
              <w:t>29 de abril de 2022</w:t>
            </w:r>
          </w:p>
        </w:tc>
        <w:tc>
          <w:tcPr>
            <w:tcW w:w="1845" w:type="dxa"/>
          </w:tcPr>
          <w:p w14:paraId="6C5201C1" w14:textId="77777777" w:rsidR="00B14497" w:rsidRDefault="000142EE">
            <w:pPr>
              <w:tabs>
                <w:tab w:val="left" w:pos="426"/>
              </w:tabs>
              <w:ind w:right="36"/>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Pr>
                <w:rFonts w:ascii="Arial" w:eastAsia="Arial" w:hAnsi="Arial" w:cs="Arial"/>
              </w:rPr>
              <w:t xml:space="preserve">29 de abril de 2022, esto es, el </w:t>
            </w:r>
            <w:r>
              <w:rPr>
                <w:rFonts w:ascii="Arial" w:eastAsia="Arial" w:hAnsi="Arial" w:cs="Arial"/>
                <w:b/>
              </w:rPr>
              <w:t>mismo día</w:t>
            </w:r>
            <w:r>
              <w:rPr>
                <w:rFonts w:ascii="Arial" w:eastAsia="Arial" w:hAnsi="Arial" w:cs="Arial"/>
              </w:rPr>
              <w:t xml:space="preserve"> de su publicación. </w:t>
            </w:r>
          </w:p>
        </w:tc>
        <w:tc>
          <w:tcPr>
            <w:tcW w:w="2115" w:type="dxa"/>
          </w:tcPr>
          <w:p w14:paraId="211A2F65" w14:textId="77777777" w:rsidR="00B14497" w:rsidRDefault="000142EE">
            <w:pPr>
              <w:tabs>
                <w:tab w:val="left" w:pos="426"/>
              </w:tabs>
              <w:ind w:right="36"/>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Pr>
                <w:rFonts w:ascii="Arial" w:eastAsia="Arial" w:hAnsi="Arial" w:cs="Arial"/>
              </w:rPr>
              <w:t xml:space="preserve">No, ello porque: </w:t>
            </w:r>
            <w:r>
              <w:rPr>
                <w:rFonts w:ascii="Arial" w:eastAsia="Arial" w:hAnsi="Arial" w:cs="Arial"/>
                <w:b/>
                <w:i/>
              </w:rPr>
              <w:t>i)</w:t>
            </w:r>
            <w:r>
              <w:rPr>
                <w:rFonts w:ascii="Arial" w:eastAsia="Arial" w:hAnsi="Arial" w:cs="Arial"/>
              </w:rPr>
              <w:t xml:space="preserve"> el rubro “NO SABE AÚN” varía en 2.3 puntos y, </w:t>
            </w:r>
            <w:proofErr w:type="spellStart"/>
            <w:r>
              <w:rPr>
                <w:rFonts w:ascii="Arial" w:eastAsia="Arial" w:hAnsi="Arial" w:cs="Arial"/>
                <w:b/>
                <w:i/>
              </w:rPr>
              <w:t>ii</w:t>
            </w:r>
            <w:proofErr w:type="spellEnd"/>
            <w:r>
              <w:rPr>
                <w:rFonts w:ascii="Arial" w:eastAsia="Arial" w:hAnsi="Arial" w:cs="Arial"/>
                <w:b/>
                <w:i/>
              </w:rPr>
              <w:t>)</w:t>
            </w:r>
            <w:r>
              <w:rPr>
                <w:rFonts w:ascii="Arial" w:eastAsia="Arial" w:hAnsi="Arial" w:cs="Arial"/>
              </w:rPr>
              <w:t xml:space="preserve"> en la encuesta publicada se agregó la información de la candidata Natzielly Rodríguez.</w:t>
            </w:r>
          </w:p>
        </w:tc>
        <w:tc>
          <w:tcPr>
            <w:tcW w:w="2915" w:type="dxa"/>
          </w:tcPr>
          <w:p w14:paraId="0498E6EC" w14:textId="77777777" w:rsidR="00B14497" w:rsidRDefault="000142EE">
            <w:pPr>
              <w:tabs>
                <w:tab w:val="left" w:pos="426"/>
              </w:tabs>
              <w:ind w:right="36"/>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Pr>
                <w:noProof/>
              </w:rPr>
              <w:drawing>
                <wp:inline distT="0" distB="0" distL="0" distR="0" wp14:anchorId="4FC000A4" wp14:editId="13E56674">
                  <wp:extent cx="1753525" cy="994498"/>
                  <wp:effectExtent l="0" t="0" r="0" b="0"/>
                  <wp:docPr id="301"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22"/>
                          <a:srcRect l="61892" t="46676" r="11257" b="26245"/>
                          <a:stretch>
                            <a:fillRect/>
                          </a:stretch>
                        </pic:blipFill>
                        <pic:spPr>
                          <a:xfrm>
                            <a:off x="0" y="0"/>
                            <a:ext cx="1753525" cy="994498"/>
                          </a:xfrm>
                          <a:prstGeom prst="rect">
                            <a:avLst/>
                          </a:prstGeom>
                          <a:ln/>
                        </pic:spPr>
                      </pic:pic>
                    </a:graphicData>
                  </a:graphic>
                </wp:inline>
              </w:drawing>
            </w:r>
          </w:p>
        </w:tc>
      </w:tr>
      <w:tr w:rsidR="00B14497" w14:paraId="1DBA269D" w14:textId="77777777" w:rsidTr="00B144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37DCF5EB" w14:textId="77777777" w:rsidR="00B14497" w:rsidRDefault="000142EE">
            <w:pPr>
              <w:tabs>
                <w:tab w:val="left" w:pos="426"/>
              </w:tabs>
              <w:ind w:right="36"/>
              <w:jc w:val="center"/>
              <w:rPr>
                <w:rFonts w:ascii="Arial" w:eastAsia="Arial" w:hAnsi="Arial" w:cs="Arial"/>
              </w:rPr>
            </w:pPr>
            <w:r>
              <w:rPr>
                <w:rFonts w:ascii="Arial" w:eastAsia="Arial" w:hAnsi="Arial" w:cs="Arial"/>
              </w:rPr>
              <w:t>15</w:t>
            </w:r>
          </w:p>
        </w:tc>
        <w:tc>
          <w:tcPr>
            <w:tcW w:w="1554" w:type="dxa"/>
          </w:tcPr>
          <w:p w14:paraId="32D2FB6F" w14:textId="77777777" w:rsidR="00B14497" w:rsidRDefault="000142EE">
            <w:pPr>
              <w:tabs>
                <w:tab w:val="left" w:pos="426"/>
              </w:tabs>
              <w:ind w:right="36"/>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rPr>
            </w:pPr>
            <w:r>
              <w:rPr>
                <w:rFonts w:ascii="Arial" w:eastAsia="Arial" w:hAnsi="Arial" w:cs="Arial"/>
              </w:rPr>
              <w:t>5 de mayo de 2022</w:t>
            </w:r>
          </w:p>
        </w:tc>
        <w:tc>
          <w:tcPr>
            <w:tcW w:w="1845" w:type="dxa"/>
          </w:tcPr>
          <w:p w14:paraId="63049A9A" w14:textId="77777777" w:rsidR="00B14497" w:rsidRDefault="000142EE">
            <w:pPr>
              <w:tabs>
                <w:tab w:val="left" w:pos="426"/>
              </w:tabs>
              <w:ind w:right="36"/>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rPr>
            </w:pPr>
            <w:r>
              <w:rPr>
                <w:rFonts w:ascii="Arial" w:eastAsia="Arial" w:hAnsi="Arial" w:cs="Arial"/>
              </w:rPr>
              <w:t xml:space="preserve">11 de mayo de 2022, esto es, </w:t>
            </w:r>
            <w:r>
              <w:rPr>
                <w:rFonts w:ascii="Arial" w:eastAsia="Arial" w:hAnsi="Arial" w:cs="Arial"/>
                <w:b/>
              </w:rPr>
              <w:t>6 días después</w:t>
            </w:r>
            <w:r>
              <w:rPr>
                <w:rFonts w:ascii="Arial" w:eastAsia="Arial" w:hAnsi="Arial" w:cs="Arial"/>
              </w:rPr>
              <w:t xml:space="preserve"> de la fecha de su publicación.</w:t>
            </w:r>
          </w:p>
        </w:tc>
        <w:tc>
          <w:tcPr>
            <w:tcW w:w="2115" w:type="dxa"/>
          </w:tcPr>
          <w:p w14:paraId="42ABF883" w14:textId="77777777" w:rsidR="00B14497" w:rsidRDefault="000142EE">
            <w:pPr>
              <w:tabs>
                <w:tab w:val="left" w:pos="426"/>
              </w:tabs>
              <w:ind w:right="36"/>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rPr>
            </w:pPr>
            <w:r>
              <w:rPr>
                <w:rFonts w:ascii="Arial" w:eastAsia="Arial" w:hAnsi="Arial" w:cs="Arial"/>
              </w:rPr>
              <w:t xml:space="preserve">No, ello porque: </w:t>
            </w:r>
            <w:r>
              <w:rPr>
                <w:rFonts w:ascii="Arial" w:eastAsia="Arial" w:hAnsi="Arial" w:cs="Arial"/>
                <w:b/>
                <w:i/>
              </w:rPr>
              <w:t>i)</w:t>
            </w:r>
            <w:r>
              <w:rPr>
                <w:rFonts w:ascii="Arial" w:eastAsia="Arial" w:hAnsi="Arial" w:cs="Arial"/>
              </w:rPr>
              <w:t xml:space="preserve"> el rubro “NO SABE AÚN” varía en 2.5 puntos y, </w:t>
            </w:r>
            <w:proofErr w:type="spellStart"/>
            <w:r>
              <w:rPr>
                <w:rFonts w:ascii="Arial" w:eastAsia="Arial" w:hAnsi="Arial" w:cs="Arial"/>
                <w:b/>
                <w:i/>
              </w:rPr>
              <w:t>ii</w:t>
            </w:r>
            <w:proofErr w:type="spellEnd"/>
            <w:r>
              <w:rPr>
                <w:rFonts w:ascii="Arial" w:eastAsia="Arial" w:hAnsi="Arial" w:cs="Arial"/>
                <w:b/>
                <w:i/>
              </w:rPr>
              <w:t>)</w:t>
            </w:r>
            <w:r>
              <w:rPr>
                <w:rFonts w:ascii="Arial" w:eastAsia="Arial" w:hAnsi="Arial" w:cs="Arial"/>
              </w:rPr>
              <w:t xml:space="preserve"> en la encuesta publicada se agregó la información de la candidata Natzielly Rodríguez.</w:t>
            </w:r>
          </w:p>
        </w:tc>
        <w:tc>
          <w:tcPr>
            <w:tcW w:w="2915" w:type="dxa"/>
          </w:tcPr>
          <w:p w14:paraId="5A698903" w14:textId="77777777" w:rsidR="00B14497" w:rsidRDefault="000142EE">
            <w:pPr>
              <w:tabs>
                <w:tab w:val="left" w:pos="426"/>
              </w:tabs>
              <w:ind w:right="36"/>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rPr>
            </w:pPr>
            <w:r>
              <w:rPr>
                <w:noProof/>
              </w:rPr>
              <w:drawing>
                <wp:inline distT="0" distB="0" distL="0" distR="0" wp14:anchorId="62981F92" wp14:editId="00FFFD0F">
                  <wp:extent cx="1740146" cy="999098"/>
                  <wp:effectExtent l="0" t="0" r="0" b="0"/>
                  <wp:docPr id="302"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23"/>
                          <a:srcRect l="61296" t="42062" r="10598" b="29244"/>
                          <a:stretch>
                            <a:fillRect/>
                          </a:stretch>
                        </pic:blipFill>
                        <pic:spPr>
                          <a:xfrm>
                            <a:off x="0" y="0"/>
                            <a:ext cx="1740146" cy="999098"/>
                          </a:xfrm>
                          <a:prstGeom prst="rect">
                            <a:avLst/>
                          </a:prstGeom>
                          <a:ln/>
                        </pic:spPr>
                      </pic:pic>
                    </a:graphicData>
                  </a:graphic>
                </wp:inline>
              </w:drawing>
            </w:r>
          </w:p>
        </w:tc>
      </w:tr>
      <w:tr w:rsidR="00B14497" w14:paraId="6C955344" w14:textId="77777777" w:rsidTr="00B14497">
        <w:tc>
          <w:tcPr>
            <w:cnfStyle w:val="001000000000" w:firstRow="0" w:lastRow="0" w:firstColumn="1" w:lastColumn="0" w:oddVBand="0" w:evenVBand="0" w:oddHBand="0" w:evenHBand="0" w:firstRowFirstColumn="0" w:firstRowLastColumn="0" w:lastRowFirstColumn="0" w:lastRowLastColumn="0"/>
            <w:tcW w:w="1276" w:type="dxa"/>
          </w:tcPr>
          <w:p w14:paraId="09680571" w14:textId="77777777" w:rsidR="00B14497" w:rsidRDefault="000142EE">
            <w:pPr>
              <w:tabs>
                <w:tab w:val="left" w:pos="426"/>
              </w:tabs>
              <w:ind w:right="36"/>
              <w:jc w:val="center"/>
              <w:rPr>
                <w:rFonts w:ascii="Arial" w:eastAsia="Arial" w:hAnsi="Arial" w:cs="Arial"/>
              </w:rPr>
            </w:pPr>
            <w:r>
              <w:rPr>
                <w:rFonts w:ascii="Arial" w:eastAsia="Arial" w:hAnsi="Arial" w:cs="Arial"/>
              </w:rPr>
              <w:lastRenderedPageBreak/>
              <w:t>16</w:t>
            </w:r>
          </w:p>
        </w:tc>
        <w:tc>
          <w:tcPr>
            <w:tcW w:w="1554" w:type="dxa"/>
          </w:tcPr>
          <w:p w14:paraId="76A58090" w14:textId="77777777" w:rsidR="00B14497" w:rsidRDefault="000142EE">
            <w:pPr>
              <w:tabs>
                <w:tab w:val="left" w:pos="426"/>
              </w:tabs>
              <w:ind w:right="36"/>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Pr>
                <w:rFonts w:ascii="Arial" w:eastAsia="Arial" w:hAnsi="Arial" w:cs="Arial"/>
              </w:rPr>
              <w:t>18 de mayo de 2022</w:t>
            </w:r>
          </w:p>
        </w:tc>
        <w:tc>
          <w:tcPr>
            <w:tcW w:w="1845" w:type="dxa"/>
          </w:tcPr>
          <w:p w14:paraId="4641FD36" w14:textId="77777777" w:rsidR="00B14497" w:rsidRDefault="000142EE">
            <w:pPr>
              <w:tabs>
                <w:tab w:val="left" w:pos="426"/>
              </w:tabs>
              <w:ind w:right="36"/>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Pr>
                <w:rFonts w:ascii="Arial" w:eastAsia="Arial" w:hAnsi="Arial" w:cs="Arial"/>
              </w:rPr>
              <w:t xml:space="preserve">18 de mayo de 2022, es decir, el </w:t>
            </w:r>
            <w:r>
              <w:rPr>
                <w:rFonts w:ascii="Arial" w:eastAsia="Arial" w:hAnsi="Arial" w:cs="Arial"/>
                <w:b/>
              </w:rPr>
              <w:t>mismo día</w:t>
            </w:r>
            <w:r>
              <w:rPr>
                <w:rFonts w:ascii="Arial" w:eastAsia="Arial" w:hAnsi="Arial" w:cs="Arial"/>
              </w:rPr>
              <w:t xml:space="preserve"> de su publicación. </w:t>
            </w:r>
          </w:p>
        </w:tc>
        <w:tc>
          <w:tcPr>
            <w:tcW w:w="2115" w:type="dxa"/>
          </w:tcPr>
          <w:p w14:paraId="6C9BE5D8" w14:textId="77777777" w:rsidR="00B14497" w:rsidRDefault="000142EE">
            <w:pPr>
              <w:tabs>
                <w:tab w:val="left" w:pos="426"/>
              </w:tabs>
              <w:ind w:right="36"/>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Pr>
                <w:rFonts w:ascii="Arial" w:eastAsia="Arial" w:hAnsi="Arial" w:cs="Arial"/>
              </w:rPr>
              <w:t xml:space="preserve">No, ello porque: </w:t>
            </w:r>
            <w:r>
              <w:rPr>
                <w:rFonts w:ascii="Arial" w:eastAsia="Arial" w:hAnsi="Arial" w:cs="Arial"/>
                <w:b/>
                <w:i/>
              </w:rPr>
              <w:t>i)</w:t>
            </w:r>
            <w:r>
              <w:rPr>
                <w:rFonts w:ascii="Arial" w:eastAsia="Arial" w:hAnsi="Arial" w:cs="Arial"/>
              </w:rPr>
              <w:t xml:space="preserve"> el rubro “NO SABE AÚN” varía en 2.1 puntos y, </w:t>
            </w:r>
            <w:proofErr w:type="spellStart"/>
            <w:r>
              <w:rPr>
                <w:rFonts w:ascii="Arial" w:eastAsia="Arial" w:hAnsi="Arial" w:cs="Arial"/>
                <w:b/>
                <w:i/>
              </w:rPr>
              <w:t>ii</w:t>
            </w:r>
            <w:proofErr w:type="spellEnd"/>
            <w:r>
              <w:rPr>
                <w:rFonts w:ascii="Arial" w:eastAsia="Arial" w:hAnsi="Arial" w:cs="Arial"/>
                <w:b/>
                <w:i/>
              </w:rPr>
              <w:t>)</w:t>
            </w:r>
            <w:r>
              <w:rPr>
                <w:rFonts w:ascii="Arial" w:eastAsia="Arial" w:hAnsi="Arial" w:cs="Arial"/>
              </w:rPr>
              <w:t xml:space="preserve"> en la encuesta publicada se agregó la información de la candidata Natzielly Rodríguez.</w:t>
            </w:r>
          </w:p>
        </w:tc>
        <w:tc>
          <w:tcPr>
            <w:tcW w:w="2915" w:type="dxa"/>
          </w:tcPr>
          <w:p w14:paraId="33CD7885" w14:textId="77777777" w:rsidR="00B14497" w:rsidRDefault="000142EE">
            <w:pPr>
              <w:tabs>
                <w:tab w:val="left" w:pos="426"/>
              </w:tabs>
              <w:ind w:right="36"/>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Pr>
                <w:noProof/>
              </w:rPr>
              <w:drawing>
                <wp:inline distT="0" distB="0" distL="0" distR="0" wp14:anchorId="779BD3D4" wp14:editId="301A72BD">
                  <wp:extent cx="1702708" cy="1477557"/>
                  <wp:effectExtent l="0" t="0" r="0" b="0"/>
                  <wp:docPr id="303"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24"/>
                          <a:srcRect l="61701" t="42855" r="10729" b="14606"/>
                          <a:stretch>
                            <a:fillRect/>
                          </a:stretch>
                        </pic:blipFill>
                        <pic:spPr>
                          <a:xfrm>
                            <a:off x="0" y="0"/>
                            <a:ext cx="1702708" cy="1477557"/>
                          </a:xfrm>
                          <a:prstGeom prst="rect">
                            <a:avLst/>
                          </a:prstGeom>
                          <a:ln/>
                        </pic:spPr>
                      </pic:pic>
                    </a:graphicData>
                  </a:graphic>
                </wp:inline>
              </w:drawing>
            </w:r>
          </w:p>
        </w:tc>
      </w:tr>
      <w:tr w:rsidR="00B14497" w14:paraId="54A28052" w14:textId="77777777" w:rsidTr="00B144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37A84673" w14:textId="77777777" w:rsidR="00B14497" w:rsidRDefault="000142EE">
            <w:pPr>
              <w:tabs>
                <w:tab w:val="left" w:pos="426"/>
              </w:tabs>
              <w:ind w:right="36"/>
              <w:jc w:val="center"/>
              <w:rPr>
                <w:rFonts w:ascii="Arial" w:eastAsia="Arial" w:hAnsi="Arial" w:cs="Arial"/>
              </w:rPr>
            </w:pPr>
            <w:r>
              <w:rPr>
                <w:rFonts w:ascii="Arial" w:eastAsia="Arial" w:hAnsi="Arial" w:cs="Arial"/>
              </w:rPr>
              <w:t>17</w:t>
            </w:r>
          </w:p>
        </w:tc>
        <w:tc>
          <w:tcPr>
            <w:tcW w:w="1554" w:type="dxa"/>
          </w:tcPr>
          <w:p w14:paraId="4DA36F3C" w14:textId="77777777" w:rsidR="00B14497" w:rsidRDefault="000142EE">
            <w:pPr>
              <w:tabs>
                <w:tab w:val="left" w:pos="426"/>
              </w:tabs>
              <w:ind w:right="36"/>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rPr>
            </w:pPr>
            <w:r>
              <w:rPr>
                <w:rFonts w:ascii="Arial" w:eastAsia="Arial" w:hAnsi="Arial" w:cs="Arial"/>
              </w:rPr>
              <w:t>24 de mayo de 2022</w:t>
            </w:r>
          </w:p>
        </w:tc>
        <w:tc>
          <w:tcPr>
            <w:tcW w:w="1845" w:type="dxa"/>
          </w:tcPr>
          <w:p w14:paraId="11EF3940" w14:textId="77777777" w:rsidR="00B14497" w:rsidRDefault="000142EE">
            <w:pPr>
              <w:tabs>
                <w:tab w:val="left" w:pos="426"/>
              </w:tabs>
              <w:ind w:right="36"/>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rPr>
            </w:pPr>
            <w:r>
              <w:rPr>
                <w:rFonts w:ascii="Arial" w:eastAsia="Arial" w:hAnsi="Arial" w:cs="Arial"/>
              </w:rPr>
              <w:t xml:space="preserve">1 de junio de 2022, esto es, </w:t>
            </w:r>
            <w:r>
              <w:rPr>
                <w:rFonts w:ascii="Arial" w:eastAsia="Arial" w:hAnsi="Arial" w:cs="Arial"/>
                <w:b/>
              </w:rPr>
              <w:t>8 días después</w:t>
            </w:r>
            <w:r>
              <w:rPr>
                <w:rFonts w:ascii="Arial" w:eastAsia="Arial" w:hAnsi="Arial" w:cs="Arial"/>
              </w:rPr>
              <w:t xml:space="preserve"> de la fecha de su publicación.</w:t>
            </w:r>
          </w:p>
        </w:tc>
        <w:tc>
          <w:tcPr>
            <w:tcW w:w="2115" w:type="dxa"/>
          </w:tcPr>
          <w:p w14:paraId="217407AC" w14:textId="77777777" w:rsidR="00B14497" w:rsidRDefault="000142EE">
            <w:pPr>
              <w:tabs>
                <w:tab w:val="left" w:pos="426"/>
              </w:tabs>
              <w:ind w:right="36"/>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rPr>
            </w:pPr>
            <w:r>
              <w:rPr>
                <w:rFonts w:ascii="Arial" w:eastAsia="Arial" w:hAnsi="Arial" w:cs="Arial"/>
              </w:rPr>
              <w:t xml:space="preserve">No, ello porque: </w:t>
            </w:r>
            <w:r>
              <w:rPr>
                <w:rFonts w:ascii="Arial" w:eastAsia="Arial" w:hAnsi="Arial" w:cs="Arial"/>
                <w:b/>
                <w:i/>
              </w:rPr>
              <w:t>i)</w:t>
            </w:r>
            <w:r>
              <w:rPr>
                <w:rFonts w:ascii="Arial" w:eastAsia="Arial" w:hAnsi="Arial" w:cs="Arial"/>
              </w:rPr>
              <w:t xml:space="preserve"> el rubro “NO SABE AÚN” varía en 1.3 puntos y, </w:t>
            </w:r>
            <w:proofErr w:type="spellStart"/>
            <w:r>
              <w:rPr>
                <w:rFonts w:ascii="Arial" w:eastAsia="Arial" w:hAnsi="Arial" w:cs="Arial"/>
                <w:b/>
                <w:i/>
              </w:rPr>
              <w:t>ii</w:t>
            </w:r>
            <w:proofErr w:type="spellEnd"/>
            <w:r>
              <w:rPr>
                <w:rFonts w:ascii="Arial" w:eastAsia="Arial" w:hAnsi="Arial" w:cs="Arial"/>
                <w:b/>
                <w:i/>
              </w:rPr>
              <w:t>)</w:t>
            </w:r>
            <w:r>
              <w:rPr>
                <w:rFonts w:ascii="Arial" w:eastAsia="Arial" w:hAnsi="Arial" w:cs="Arial"/>
              </w:rPr>
              <w:t xml:space="preserve"> en la encuesta publicada se agregó la información de la candidata Natzielly Rodríguez.</w:t>
            </w:r>
          </w:p>
        </w:tc>
        <w:tc>
          <w:tcPr>
            <w:tcW w:w="2915" w:type="dxa"/>
          </w:tcPr>
          <w:p w14:paraId="7B570688" w14:textId="77777777" w:rsidR="00B14497" w:rsidRDefault="000142EE">
            <w:pPr>
              <w:tabs>
                <w:tab w:val="left" w:pos="426"/>
              </w:tabs>
              <w:ind w:right="36"/>
              <w:jc w:val="both"/>
              <w:cnfStyle w:val="000000100000" w:firstRow="0" w:lastRow="0" w:firstColumn="0" w:lastColumn="0" w:oddVBand="0" w:evenVBand="0" w:oddHBand="1" w:evenHBand="0" w:firstRowFirstColumn="0" w:firstRowLastColumn="0" w:lastRowFirstColumn="0" w:lastRowLastColumn="0"/>
            </w:pPr>
            <w:r>
              <w:rPr>
                <w:noProof/>
              </w:rPr>
              <w:drawing>
                <wp:inline distT="0" distB="0" distL="0" distR="0" wp14:anchorId="01B0924F" wp14:editId="6DE98569">
                  <wp:extent cx="1687411" cy="828225"/>
                  <wp:effectExtent l="0" t="0" r="0" b="0"/>
                  <wp:docPr id="304"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25"/>
                          <a:srcRect l="64692" t="44588" r="13006" b="35948"/>
                          <a:stretch>
                            <a:fillRect/>
                          </a:stretch>
                        </pic:blipFill>
                        <pic:spPr>
                          <a:xfrm>
                            <a:off x="0" y="0"/>
                            <a:ext cx="1687411" cy="828225"/>
                          </a:xfrm>
                          <a:prstGeom prst="rect">
                            <a:avLst/>
                          </a:prstGeom>
                          <a:ln/>
                        </pic:spPr>
                      </pic:pic>
                    </a:graphicData>
                  </a:graphic>
                </wp:inline>
              </w:drawing>
            </w:r>
          </w:p>
        </w:tc>
      </w:tr>
      <w:tr w:rsidR="00B14497" w14:paraId="2AE95207" w14:textId="77777777" w:rsidTr="00B14497">
        <w:tc>
          <w:tcPr>
            <w:cnfStyle w:val="001000000000" w:firstRow="0" w:lastRow="0" w:firstColumn="1" w:lastColumn="0" w:oddVBand="0" w:evenVBand="0" w:oddHBand="0" w:evenHBand="0" w:firstRowFirstColumn="0" w:firstRowLastColumn="0" w:lastRowFirstColumn="0" w:lastRowLastColumn="0"/>
            <w:tcW w:w="1276" w:type="dxa"/>
          </w:tcPr>
          <w:p w14:paraId="7921BFCC" w14:textId="77777777" w:rsidR="00B14497" w:rsidRDefault="000142EE">
            <w:pPr>
              <w:tabs>
                <w:tab w:val="left" w:pos="426"/>
              </w:tabs>
              <w:ind w:right="36"/>
              <w:jc w:val="center"/>
              <w:rPr>
                <w:rFonts w:ascii="Arial" w:eastAsia="Arial" w:hAnsi="Arial" w:cs="Arial"/>
              </w:rPr>
            </w:pPr>
            <w:r>
              <w:rPr>
                <w:rFonts w:ascii="Arial" w:eastAsia="Arial" w:hAnsi="Arial" w:cs="Arial"/>
              </w:rPr>
              <w:t>18</w:t>
            </w:r>
          </w:p>
        </w:tc>
        <w:tc>
          <w:tcPr>
            <w:tcW w:w="1554" w:type="dxa"/>
          </w:tcPr>
          <w:p w14:paraId="1EC7F889" w14:textId="77777777" w:rsidR="00B14497" w:rsidRDefault="000142EE">
            <w:pPr>
              <w:tabs>
                <w:tab w:val="left" w:pos="426"/>
              </w:tabs>
              <w:ind w:right="36"/>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Pr>
                <w:rFonts w:ascii="Arial" w:eastAsia="Arial" w:hAnsi="Arial" w:cs="Arial"/>
              </w:rPr>
              <w:t>30 de mayo de 2022</w:t>
            </w:r>
          </w:p>
        </w:tc>
        <w:tc>
          <w:tcPr>
            <w:tcW w:w="1845" w:type="dxa"/>
          </w:tcPr>
          <w:p w14:paraId="78966A52" w14:textId="77777777" w:rsidR="00B14497" w:rsidRDefault="000142EE">
            <w:pPr>
              <w:tabs>
                <w:tab w:val="left" w:pos="426"/>
              </w:tabs>
              <w:ind w:right="36"/>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Pr>
                <w:rFonts w:ascii="Arial" w:eastAsia="Arial" w:hAnsi="Arial" w:cs="Arial"/>
              </w:rPr>
              <w:t xml:space="preserve">1 de junio de 2022, esto es, </w:t>
            </w:r>
            <w:r>
              <w:rPr>
                <w:rFonts w:ascii="Arial" w:eastAsia="Arial" w:hAnsi="Arial" w:cs="Arial"/>
                <w:b/>
              </w:rPr>
              <w:t xml:space="preserve">2 días después </w:t>
            </w:r>
            <w:r>
              <w:rPr>
                <w:rFonts w:ascii="Arial" w:eastAsia="Arial" w:hAnsi="Arial" w:cs="Arial"/>
              </w:rPr>
              <w:t>de la fecha de su publicación.</w:t>
            </w:r>
          </w:p>
        </w:tc>
        <w:tc>
          <w:tcPr>
            <w:tcW w:w="2115" w:type="dxa"/>
          </w:tcPr>
          <w:p w14:paraId="3D79C1BA" w14:textId="77777777" w:rsidR="00B14497" w:rsidRDefault="000142EE">
            <w:pPr>
              <w:tabs>
                <w:tab w:val="left" w:pos="426"/>
              </w:tabs>
              <w:ind w:right="36"/>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Pr>
                <w:rFonts w:ascii="Arial" w:eastAsia="Arial" w:hAnsi="Arial" w:cs="Arial"/>
              </w:rPr>
              <w:t xml:space="preserve">No, ello porque: </w:t>
            </w:r>
            <w:r>
              <w:rPr>
                <w:rFonts w:ascii="Arial" w:eastAsia="Arial" w:hAnsi="Arial" w:cs="Arial"/>
                <w:b/>
                <w:i/>
              </w:rPr>
              <w:t>i)</w:t>
            </w:r>
            <w:r>
              <w:rPr>
                <w:rFonts w:ascii="Arial" w:eastAsia="Arial" w:hAnsi="Arial" w:cs="Arial"/>
              </w:rPr>
              <w:t xml:space="preserve"> el rubro “NO SABE AÚN” varía en 0.9 puntos y, </w:t>
            </w:r>
            <w:proofErr w:type="spellStart"/>
            <w:r>
              <w:rPr>
                <w:rFonts w:ascii="Arial" w:eastAsia="Arial" w:hAnsi="Arial" w:cs="Arial"/>
                <w:b/>
                <w:i/>
              </w:rPr>
              <w:t>ii</w:t>
            </w:r>
            <w:proofErr w:type="spellEnd"/>
            <w:r>
              <w:rPr>
                <w:rFonts w:ascii="Arial" w:eastAsia="Arial" w:hAnsi="Arial" w:cs="Arial"/>
                <w:b/>
                <w:i/>
              </w:rPr>
              <w:t>)</w:t>
            </w:r>
            <w:r>
              <w:rPr>
                <w:rFonts w:ascii="Arial" w:eastAsia="Arial" w:hAnsi="Arial" w:cs="Arial"/>
              </w:rPr>
              <w:t xml:space="preserve"> en la encuesta publicada se agregó la información de la candidata Natzielly Rodríguez.</w:t>
            </w:r>
          </w:p>
        </w:tc>
        <w:tc>
          <w:tcPr>
            <w:tcW w:w="2915" w:type="dxa"/>
          </w:tcPr>
          <w:p w14:paraId="0309D2D1" w14:textId="77777777" w:rsidR="00B14497" w:rsidRDefault="000142EE">
            <w:pPr>
              <w:tabs>
                <w:tab w:val="left" w:pos="426"/>
              </w:tabs>
              <w:ind w:right="36"/>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Pr>
                <w:noProof/>
              </w:rPr>
              <w:drawing>
                <wp:inline distT="0" distB="0" distL="0" distR="0" wp14:anchorId="32B00D80" wp14:editId="2702B7C0">
                  <wp:extent cx="1708975" cy="965666"/>
                  <wp:effectExtent l="0" t="0" r="0" b="0"/>
                  <wp:docPr id="30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30"/>
                          <a:srcRect l="61081" t="50532" r="10464" b="20875"/>
                          <a:stretch>
                            <a:fillRect/>
                          </a:stretch>
                        </pic:blipFill>
                        <pic:spPr>
                          <a:xfrm>
                            <a:off x="0" y="0"/>
                            <a:ext cx="1708975" cy="965666"/>
                          </a:xfrm>
                          <a:prstGeom prst="rect">
                            <a:avLst/>
                          </a:prstGeom>
                          <a:ln/>
                        </pic:spPr>
                      </pic:pic>
                    </a:graphicData>
                  </a:graphic>
                </wp:inline>
              </w:drawing>
            </w:r>
          </w:p>
        </w:tc>
      </w:tr>
    </w:tbl>
    <w:p w14:paraId="53FC8F91" w14:textId="77777777" w:rsidR="00B14497" w:rsidRDefault="00B14497">
      <w:pPr>
        <w:pBdr>
          <w:top w:val="nil"/>
          <w:left w:val="nil"/>
          <w:bottom w:val="nil"/>
          <w:right w:val="nil"/>
          <w:between w:val="nil"/>
        </w:pBdr>
        <w:tabs>
          <w:tab w:val="left" w:pos="426"/>
        </w:tabs>
        <w:spacing w:line="360" w:lineRule="auto"/>
        <w:ind w:right="36"/>
        <w:jc w:val="both"/>
        <w:rPr>
          <w:rFonts w:ascii="Arial" w:eastAsia="Arial" w:hAnsi="Arial" w:cs="Arial"/>
          <w:color w:val="000000"/>
          <w:sz w:val="24"/>
          <w:szCs w:val="24"/>
        </w:rPr>
      </w:pPr>
    </w:p>
    <w:p w14:paraId="1B1C80EC" w14:textId="77777777" w:rsidR="00B14497" w:rsidRDefault="00B14497">
      <w:pPr>
        <w:pBdr>
          <w:top w:val="nil"/>
          <w:left w:val="nil"/>
          <w:bottom w:val="nil"/>
          <w:right w:val="nil"/>
          <w:between w:val="nil"/>
        </w:pBdr>
        <w:rPr>
          <w:color w:val="000000"/>
          <w:sz w:val="10"/>
          <w:szCs w:val="10"/>
        </w:rPr>
      </w:pPr>
    </w:p>
    <w:p w14:paraId="2F8AB002" w14:textId="77777777" w:rsidR="00B14497" w:rsidRDefault="000142EE">
      <w:pPr>
        <w:numPr>
          <w:ilvl w:val="0"/>
          <w:numId w:val="9"/>
        </w:numPr>
        <w:pBdr>
          <w:top w:val="nil"/>
          <w:left w:val="nil"/>
          <w:bottom w:val="nil"/>
          <w:right w:val="nil"/>
          <w:between w:val="nil"/>
        </w:pBdr>
        <w:tabs>
          <w:tab w:val="left" w:pos="426"/>
        </w:tabs>
        <w:spacing w:line="360" w:lineRule="auto"/>
        <w:ind w:right="36" w:hanging="862"/>
        <w:jc w:val="both"/>
        <w:rPr>
          <w:rFonts w:ascii="Arial" w:eastAsia="Arial" w:hAnsi="Arial" w:cs="Arial"/>
          <w:color w:val="000000"/>
          <w:sz w:val="24"/>
          <w:szCs w:val="24"/>
        </w:rPr>
      </w:pPr>
      <w:r>
        <w:rPr>
          <w:rFonts w:ascii="Arial" w:eastAsia="Arial" w:hAnsi="Arial" w:cs="Arial"/>
          <w:b/>
          <w:color w:val="000000"/>
          <w:sz w:val="24"/>
          <w:szCs w:val="24"/>
        </w:rPr>
        <w:t>Análisis de fondo</w:t>
      </w:r>
    </w:p>
    <w:p w14:paraId="768F0122" w14:textId="77777777" w:rsidR="00B14497" w:rsidRDefault="00B14497">
      <w:pPr>
        <w:pBdr>
          <w:top w:val="nil"/>
          <w:left w:val="nil"/>
          <w:bottom w:val="nil"/>
          <w:right w:val="nil"/>
          <w:between w:val="nil"/>
        </w:pBdr>
        <w:rPr>
          <w:color w:val="000000"/>
        </w:rPr>
      </w:pPr>
    </w:p>
    <w:p w14:paraId="672B6F55" w14:textId="77777777" w:rsidR="00B14497" w:rsidRDefault="000142EE">
      <w:pPr>
        <w:numPr>
          <w:ilvl w:val="0"/>
          <w:numId w:val="11"/>
        </w:numPr>
        <w:pBdr>
          <w:top w:val="nil"/>
          <w:left w:val="nil"/>
          <w:bottom w:val="nil"/>
          <w:right w:val="nil"/>
          <w:between w:val="nil"/>
        </w:pBdr>
        <w:tabs>
          <w:tab w:val="left" w:pos="426"/>
        </w:tabs>
        <w:spacing w:line="276" w:lineRule="auto"/>
        <w:ind w:left="0" w:right="36" w:firstLine="0"/>
        <w:jc w:val="both"/>
        <w:rPr>
          <w:b/>
          <w:color w:val="000000"/>
          <w:sz w:val="24"/>
          <w:szCs w:val="24"/>
        </w:rPr>
      </w:pPr>
      <w:r>
        <w:rPr>
          <w:rFonts w:ascii="Arial" w:eastAsia="Arial" w:hAnsi="Arial" w:cs="Arial"/>
          <w:b/>
          <w:color w:val="000000"/>
          <w:sz w:val="24"/>
          <w:szCs w:val="24"/>
        </w:rPr>
        <w:t xml:space="preserve">Planteamiento de la controversia. </w:t>
      </w:r>
      <w:r>
        <w:rPr>
          <w:rFonts w:ascii="Arial" w:eastAsia="Arial" w:hAnsi="Arial" w:cs="Arial"/>
          <w:color w:val="000000"/>
          <w:sz w:val="24"/>
          <w:szCs w:val="24"/>
        </w:rPr>
        <w:t>De conformidad con lo expuesto, este Tribunal considera que la controversia a definir consiste en determinar lo siguiente:</w:t>
      </w:r>
      <w:r>
        <w:rPr>
          <w:rFonts w:ascii="Arial" w:eastAsia="Arial" w:hAnsi="Arial" w:cs="Arial"/>
          <w:b/>
          <w:color w:val="000000"/>
          <w:sz w:val="24"/>
          <w:szCs w:val="24"/>
        </w:rPr>
        <w:t xml:space="preserve"> </w:t>
      </w:r>
    </w:p>
    <w:p w14:paraId="085B04FF" w14:textId="77777777" w:rsidR="00B14497" w:rsidRDefault="00B14497">
      <w:pPr>
        <w:pBdr>
          <w:top w:val="nil"/>
          <w:left w:val="nil"/>
          <w:bottom w:val="nil"/>
          <w:right w:val="nil"/>
          <w:between w:val="nil"/>
        </w:pBdr>
        <w:rPr>
          <w:color w:val="000000"/>
        </w:rPr>
      </w:pPr>
    </w:p>
    <w:p w14:paraId="26DB5A71" w14:textId="77777777" w:rsidR="00B14497" w:rsidRDefault="000142EE">
      <w:pPr>
        <w:pBdr>
          <w:top w:val="nil"/>
          <w:left w:val="nil"/>
          <w:bottom w:val="nil"/>
          <w:right w:val="nil"/>
          <w:between w:val="nil"/>
        </w:pBdr>
        <w:tabs>
          <w:tab w:val="left" w:pos="426"/>
        </w:tabs>
        <w:spacing w:line="360" w:lineRule="auto"/>
        <w:ind w:right="36"/>
        <w:jc w:val="both"/>
        <w:rPr>
          <w:rFonts w:ascii="Arial" w:eastAsia="Arial" w:hAnsi="Arial" w:cs="Arial"/>
          <w:color w:val="000000"/>
          <w:sz w:val="24"/>
          <w:szCs w:val="24"/>
        </w:rPr>
      </w:pPr>
      <w:r>
        <w:rPr>
          <w:rFonts w:ascii="Arial" w:eastAsia="Arial" w:hAnsi="Arial" w:cs="Arial"/>
          <w:b/>
          <w:i/>
          <w:color w:val="000000"/>
          <w:sz w:val="24"/>
          <w:szCs w:val="24"/>
        </w:rPr>
        <w:t>a)</w:t>
      </w:r>
      <w:r>
        <w:rPr>
          <w:rFonts w:ascii="Arial" w:eastAsia="Arial" w:hAnsi="Arial" w:cs="Arial"/>
          <w:color w:val="000000"/>
          <w:sz w:val="24"/>
          <w:szCs w:val="24"/>
        </w:rPr>
        <w:t xml:space="preserve"> ¿Si las encuestas elaboradas y difundidas por la empresa </w:t>
      </w:r>
      <w:r>
        <w:rPr>
          <w:rFonts w:ascii="Arial" w:eastAsia="Arial" w:hAnsi="Arial" w:cs="Arial"/>
          <w:i/>
          <w:sz w:val="24"/>
          <w:szCs w:val="24"/>
        </w:rPr>
        <w:t xml:space="preserve">Grupo </w:t>
      </w:r>
      <w:proofErr w:type="spellStart"/>
      <w:r>
        <w:rPr>
          <w:rFonts w:ascii="Arial" w:eastAsia="Arial" w:hAnsi="Arial" w:cs="Arial"/>
          <w:i/>
          <w:sz w:val="24"/>
          <w:szCs w:val="24"/>
        </w:rPr>
        <w:t>Rapcen</w:t>
      </w:r>
      <w:proofErr w:type="spellEnd"/>
      <w:r>
        <w:rPr>
          <w:rFonts w:ascii="Arial" w:eastAsia="Arial" w:hAnsi="Arial" w:cs="Arial"/>
          <w:i/>
          <w:sz w:val="24"/>
          <w:szCs w:val="24"/>
        </w:rPr>
        <w:t xml:space="preserve"> S.A. de C.V. (</w:t>
      </w:r>
      <w:proofErr w:type="spellStart"/>
      <w:r>
        <w:rPr>
          <w:rFonts w:ascii="Arial" w:eastAsia="Arial" w:hAnsi="Arial" w:cs="Arial"/>
          <w:i/>
          <w:sz w:val="24"/>
          <w:szCs w:val="24"/>
        </w:rPr>
        <w:t>TResearch</w:t>
      </w:r>
      <w:proofErr w:type="spellEnd"/>
      <w:r>
        <w:rPr>
          <w:rFonts w:ascii="Arial" w:eastAsia="Arial" w:hAnsi="Arial" w:cs="Arial"/>
          <w:i/>
          <w:sz w:val="24"/>
          <w:szCs w:val="24"/>
        </w:rPr>
        <w:t xml:space="preserve">) </w:t>
      </w:r>
      <w:r>
        <w:rPr>
          <w:rFonts w:ascii="Arial" w:eastAsia="Arial" w:hAnsi="Arial" w:cs="Arial"/>
          <w:sz w:val="24"/>
          <w:szCs w:val="24"/>
        </w:rPr>
        <w:t xml:space="preserve">se apegaron a lo dispuesto por el Reglamento de Elecciones del Consejo General del INE, en concreto: </w:t>
      </w:r>
      <w:r>
        <w:rPr>
          <w:rFonts w:ascii="Arial" w:eastAsia="Arial" w:hAnsi="Arial" w:cs="Arial"/>
          <w:b/>
          <w:i/>
          <w:sz w:val="24"/>
          <w:szCs w:val="24"/>
        </w:rPr>
        <w:t>i)</w:t>
      </w:r>
      <w:r>
        <w:rPr>
          <w:rFonts w:ascii="Arial" w:eastAsia="Arial" w:hAnsi="Arial" w:cs="Arial"/>
          <w:color w:val="000000"/>
          <w:sz w:val="24"/>
          <w:szCs w:val="24"/>
          <w:highlight w:val="white"/>
        </w:rPr>
        <w:t xml:space="preserve"> si se entregó la documentación que respaldara la difusión de las encuestas electorales controvertidas,</w:t>
      </w:r>
      <w:r>
        <w:rPr>
          <w:rFonts w:ascii="Arial" w:eastAsia="Arial" w:hAnsi="Arial" w:cs="Arial"/>
          <w:b/>
          <w:i/>
          <w:color w:val="000000"/>
          <w:sz w:val="24"/>
          <w:szCs w:val="24"/>
          <w:highlight w:val="white"/>
        </w:rPr>
        <w:t xml:space="preserve"> </w:t>
      </w:r>
      <w:proofErr w:type="spellStart"/>
      <w:r>
        <w:rPr>
          <w:rFonts w:ascii="Arial" w:eastAsia="Arial" w:hAnsi="Arial" w:cs="Arial"/>
          <w:b/>
          <w:i/>
          <w:color w:val="000000"/>
          <w:sz w:val="24"/>
          <w:szCs w:val="24"/>
          <w:highlight w:val="white"/>
        </w:rPr>
        <w:t>ii</w:t>
      </w:r>
      <w:proofErr w:type="spellEnd"/>
      <w:r>
        <w:rPr>
          <w:rFonts w:ascii="Arial" w:eastAsia="Arial" w:hAnsi="Arial" w:cs="Arial"/>
          <w:b/>
          <w:i/>
          <w:color w:val="000000"/>
          <w:sz w:val="24"/>
          <w:szCs w:val="24"/>
          <w:highlight w:val="white"/>
        </w:rPr>
        <w:t>)</w:t>
      </w:r>
      <w:r>
        <w:rPr>
          <w:rFonts w:ascii="Arial" w:eastAsia="Arial" w:hAnsi="Arial" w:cs="Arial"/>
          <w:color w:val="000000"/>
          <w:sz w:val="24"/>
          <w:szCs w:val="24"/>
          <w:highlight w:val="white"/>
        </w:rPr>
        <w:t xml:space="preserve"> si tal documentación se presentó dentro del p</w:t>
      </w:r>
      <w:r>
        <w:rPr>
          <w:rFonts w:ascii="Arial" w:eastAsia="Arial" w:hAnsi="Arial" w:cs="Arial"/>
          <w:sz w:val="24"/>
          <w:szCs w:val="24"/>
          <w:highlight w:val="white"/>
        </w:rPr>
        <w:t>lazo de</w:t>
      </w:r>
      <w:r>
        <w:rPr>
          <w:rFonts w:ascii="Arial" w:eastAsia="Arial" w:hAnsi="Arial" w:cs="Arial"/>
          <w:color w:val="000000"/>
          <w:sz w:val="24"/>
          <w:szCs w:val="24"/>
          <w:highlight w:val="white"/>
        </w:rPr>
        <w:t xml:space="preserve"> los cinco días posteriores a su publicación y, </w:t>
      </w:r>
      <w:proofErr w:type="spellStart"/>
      <w:r>
        <w:rPr>
          <w:rFonts w:ascii="Arial" w:eastAsia="Arial" w:hAnsi="Arial" w:cs="Arial"/>
          <w:b/>
          <w:i/>
          <w:color w:val="000000"/>
          <w:sz w:val="24"/>
          <w:szCs w:val="24"/>
          <w:highlight w:val="white"/>
        </w:rPr>
        <w:t>iii</w:t>
      </w:r>
      <w:proofErr w:type="spellEnd"/>
      <w:r>
        <w:rPr>
          <w:rFonts w:ascii="Arial" w:eastAsia="Arial" w:hAnsi="Arial" w:cs="Arial"/>
          <w:b/>
          <w:i/>
          <w:color w:val="000000"/>
          <w:sz w:val="24"/>
          <w:szCs w:val="24"/>
          <w:highlight w:val="white"/>
        </w:rPr>
        <w:t>)</w:t>
      </w:r>
      <w:r>
        <w:rPr>
          <w:rFonts w:ascii="Arial" w:eastAsia="Arial" w:hAnsi="Arial" w:cs="Arial"/>
          <w:color w:val="000000"/>
          <w:sz w:val="24"/>
          <w:szCs w:val="24"/>
          <w:highlight w:val="white"/>
        </w:rPr>
        <w:t xml:space="preserve"> si las encuestas difundidas son coincidentes con las encuestas que en su caso se hayan registrado ante la autoridad administrativa</w:t>
      </w:r>
      <w:r>
        <w:rPr>
          <w:rFonts w:ascii="Arial" w:eastAsia="Arial" w:hAnsi="Arial" w:cs="Arial"/>
          <w:color w:val="000000"/>
          <w:sz w:val="24"/>
          <w:szCs w:val="24"/>
        </w:rPr>
        <w:t>?</w:t>
      </w:r>
    </w:p>
    <w:p w14:paraId="4829768B" w14:textId="77777777" w:rsidR="00B14497" w:rsidRDefault="00B14497">
      <w:pPr>
        <w:pBdr>
          <w:top w:val="nil"/>
          <w:left w:val="nil"/>
          <w:bottom w:val="nil"/>
          <w:right w:val="nil"/>
          <w:between w:val="nil"/>
        </w:pBdr>
        <w:rPr>
          <w:color w:val="000000"/>
        </w:rPr>
      </w:pPr>
    </w:p>
    <w:p w14:paraId="79B595FF" w14:textId="77777777" w:rsidR="00B14497" w:rsidRDefault="000142EE">
      <w:pPr>
        <w:spacing w:line="360" w:lineRule="auto"/>
        <w:jc w:val="both"/>
        <w:rPr>
          <w:rFonts w:ascii="Arial" w:eastAsia="Arial" w:hAnsi="Arial" w:cs="Arial"/>
          <w:b/>
          <w:sz w:val="24"/>
          <w:szCs w:val="24"/>
        </w:rPr>
      </w:pPr>
      <w:r>
        <w:rPr>
          <w:rFonts w:ascii="Arial" w:eastAsia="Arial" w:hAnsi="Arial" w:cs="Arial"/>
          <w:b/>
          <w:sz w:val="24"/>
          <w:szCs w:val="24"/>
          <w:u w:val="single"/>
        </w:rPr>
        <w:t>Aparatado I.</w:t>
      </w:r>
      <w:r>
        <w:rPr>
          <w:rFonts w:ascii="Arial" w:eastAsia="Arial" w:hAnsi="Arial" w:cs="Arial"/>
          <w:b/>
          <w:sz w:val="24"/>
          <w:szCs w:val="24"/>
        </w:rPr>
        <w:t xml:space="preserve"> Decisión. </w:t>
      </w:r>
    </w:p>
    <w:p w14:paraId="4648603B" w14:textId="77777777" w:rsidR="00B14497" w:rsidRDefault="00B14497">
      <w:pPr>
        <w:pBdr>
          <w:top w:val="nil"/>
          <w:left w:val="nil"/>
          <w:bottom w:val="nil"/>
          <w:right w:val="nil"/>
          <w:between w:val="nil"/>
        </w:pBdr>
        <w:rPr>
          <w:color w:val="000000"/>
          <w:highlight w:val="yellow"/>
        </w:rPr>
      </w:pPr>
    </w:p>
    <w:p w14:paraId="61A0965E" w14:textId="77777777" w:rsidR="00B14497" w:rsidRDefault="000142EE">
      <w:pPr>
        <w:spacing w:line="360" w:lineRule="auto"/>
        <w:jc w:val="both"/>
        <w:rPr>
          <w:rFonts w:ascii="Arial" w:eastAsia="Arial" w:hAnsi="Arial" w:cs="Arial"/>
          <w:sz w:val="24"/>
          <w:szCs w:val="24"/>
        </w:rPr>
      </w:pPr>
      <w:r>
        <w:rPr>
          <w:rFonts w:ascii="Arial" w:eastAsia="Arial" w:hAnsi="Arial" w:cs="Arial"/>
          <w:sz w:val="24"/>
          <w:szCs w:val="24"/>
        </w:rPr>
        <w:t xml:space="preserve">Este Tribunal Electoral considera que </w:t>
      </w:r>
      <w:r>
        <w:rPr>
          <w:rFonts w:ascii="Arial" w:eastAsia="Arial" w:hAnsi="Arial" w:cs="Arial"/>
          <w:b/>
          <w:sz w:val="24"/>
          <w:szCs w:val="24"/>
        </w:rPr>
        <w:t xml:space="preserve">debe declararse la existencia </w:t>
      </w:r>
      <w:r>
        <w:rPr>
          <w:rFonts w:ascii="Arial" w:eastAsia="Arial" w:hAnsi="Arial" w:cs="Arial"/>
          <w:sz w:val="24"/>
          <w:szCs w:val="24"/>
        </w:rPr>
        <w:t xml:space="preserve">de la infracción atribuida a la persona moral </w:t>
      </w:r>
      <w:r>
        <w:rPr>
          <w:rFonts w:ascii="Arial" w:eastAsia="Arial" w:hAnsi="Arial" w:cs="Arial"/>
          <w:i/>
          <w:sz w:val="24"/>
          <w:szCs w:val="24"/>
        </w:rPr>
        <w:t xml:space="preserve">Grupo </w:t>
      </w:r>
      <w:proofErr w:type="spellStart"/>
      <w:r>
        <w:rPr>
          <w:rFonts w:ascii="Arial" w:eastAsia="Arial" w:hAnsi="Arial" w:cs="Arial"/>
          <w:i/>
          <w:sz w:val="24"/>
          <w:szCs w:val="24"/>
        </w:rPr>
        <w:t>Rapcen</w:t>
      </w:r>
      <w:proofErr w:type="spellEnd"/>
      <w:r>
        <w:rPr>
          <w:rFonts w:ascii="Arial" w:eastAsia="Arial" w:hAnsi="Arial" w:cs="Arial"/>
          <w:i/>
          <w:sz w:val="24"/>
          <w:szCs w:val="24"/>
        </w:rPr>
        <w:t xml:space="preserve"> S.A. de C.V. (</w:t>
      </w:r>
      <w:proofErr w:type="spellStart"/>
      <w:r>
        <w:rPr>
          <w:rFonts w:ascii="Arial" w:eastAsia="Arial" w:hAnsi="Arial" w:cs="Arial"/>
          <w:i/>
          <w:sz w:val="24"/>
          <w:szCs w:val="24"/>
        </w:rPr>
        <w:t>TResearch</w:t>
      </w:r>
      <w:proofErr w:type="spellEnd"/>
      <w:r>
        <w:rPr>
          <w:rFonts w:ascii="Arial" w:eastAsia="Arial" w:hAnsi="Arial" w:cs="Arial"/>
          <w:i/>
          <w:sz w:val="24"/>
          <w:szCs w:val="24"/>
        </w:rPr>
        <w:t>)</w:t>
      </w:r>
      <w:r>
        <w:rPr>
          <w:rFonts w:ascii="Arial" w:eastAsia="Arial" w:hAnsi="Arial" w:cs="Arial"/>
          <w:sz w:val="24"/>
          <w:szCs w:val="24"/>
        </w:rPr>
        <w:t xml:space="preserve">, consistente en la vulneración a la normatividad acerca de la elaboración y difusión de encuestas sobre preferencias electorales, en el marco del proceso comicial de renovación de gubernatura. </w:t>
      </w:r>
    </w:p>
    <w:p w14:paraId="68B5734E" w14:textId="77777777" w:rsidR="00B14497" w:rsidRDefault="00B14497">
      <w:pPr>
        <w:rPr>
          <w:highlight w:val="yellow"/>
        </w:rPr>
      </w:pPr>
    </w:p>
    <w:p w14:paraId="14156B67" w14:textId="7ECFF70E" w:rsidR="00B14497" w:rsidRDefault="000142EE">
      <w:pPr>
        <w:spacing w:line="360" w:lineRule="auto"/>
        <w:jc w:val="both"/>
        <w:rPr>
          <w:rFonts w:ascii="Arial" w:eastAsia="Arial" w:hAnsi="Arial" w:cs="Arial"/>
          <w:sz w:val="24"/>
          <w:szCs w:val="24"/>
        </w:rPr>
      </w:pPr>
      <w:r>
        <w:rPr>
          <w:rFonts w:ascii="Arial" w:eastAsia="Arial" w:hAnsi="Arial" w:cs="Arial"/>
          <w:sz w:val="24"/>
          <w:szCs w:val="24"/>
        </w:rPr>
        <w:t xml:space="preserve">Lo anterior, porque </w:t>
      </w:r>
      <w:r>
        <w:rPr>
          <w:rFonts w:ascii="Arial" w:eastAsia="Arial" w:hAnsi="Arial" w:cs="Arial"/>
          <w:b/>
          <w:sz w:val="24"/>
          <w:szCs w:val="24"/>
        </w:rPr>
        <w:t>este órgano jurisdiccional estima</w:t>
      </w:r>
      <w:r>
        <w:rPr>
          <w:rFonts w:ascii="Arial" w:eastAsia="Arial" w:hAnsi="Arial" w:cs="Arial"/>
          <w:sz w:val="24"/>
          <w:szCs w:val="24"/>
        </w:rPr>
        <w:t xml:space="preserve"> que, </w:t>
      </w:r>
      <w:r>
        <w:rPr>
          <w:rFonts w:ascii="Arial" w:eastAsia="Arial" w:hAnsi="Arial" w:cs="Arial"/>
          <w:sz w:val="24"/>
          <w:szCs w:val="24"/>
          <w:highlight w:val="white"/>
        </w:rPr>
        <w:t xml:space="preserve">a partir del análisis realizado a las encuestas electorales controvertidas, se determinó que: </w:t>
      </w:r>
      <w:r>
        <w:rPr>
          <w:rFonts w:ascii="Arial" w:eastAsia="Arial" w:hAnsi="Arial" w:cs="Arial"/>
          <w:b/>
          <w:i/>
          <w:sz w:val="24"/>
          <w:szCs w:val="24"/>
          <w:highlight w:val="white"/>
        </w:rPr>
        <w:t xml:space="preserve">a) </w:t>
      </w:r>
      <w:r>
        <w:rPr>
          <w:rFonts w:ascii="Arial" w:eastAsia="Arial" w:hAnsi="Arial" w:cs="Arial"/>
          <w:sz w:val="24"/>
          <w:szCs w:val="24"/>
          <w:highlight w:val="white"/>
        </w:rPr>
        <w:t>en cuanto a las publicaciones identificadas con los numerales 2 y 9</w:t>
      </w:r>
      <w:r>
        <w:rPr>
          <w:rFonts w:ascii="Arial" w:eastAsia="Arial" w:hAnsi="Arial" w:cs="Arial"/>
          <w:sz w:val="24"/>
          <w:szCs w:val="24"/>
          <w:highlight w:val="white"/>
          <w:vertAlign w:val="superscript"/>
        </w:rPr>
        <w:footnoteReference w:id="15"/>
      </w:r>
      <w:r>
        <w:rPr>
          <w:rFonts w:ascii="Arial" w:eastAsia="Arial" w:hAnsi="Arial" w:cs="Arial"/>
          <w:sz w:val="24"/>
          <w:szCs w:val="24"/>
          <w:highlight w:val="white"/>
        </w:rPr>
        <w:t xml:space="preserve">, se logró demostrar que estas </w:t>
      </w:r>
      <w:r>
        <w:rPr>
          <w:rFonts w:ascii="Arial" w:eastAsia="Arial" w:hAnsi="Arial" w:cs="Arial"/>
          <w:b/>
          <w:sz w:val="24"/>
          <w:szCs w:val="24"/>
          <w:highlight w:val="white"/>
        </w:rPr>
        <w:t>fueron regulares</w:t>
      </w:r>
      <w:r>
        <w:rPr>
          <w:rFonts w:ascii="Arial" w:eastAsia="Arial" w:hAnsi="Arial" w:cs="Arial"/>
          <w:sz w:val="24"/>
          <w:szCs w:val="24"/>
          <w:highlight w:val="white"/>
        </w:rPr>
        <w:t xml:space="preserve"> y </w:t>
      </w:r>
      <w:r>
        <w:rPr>
          <w:rFonts w:ascii="Arial" w:eastAsia="Arial" w:hAnsi="Arial" w:cs="Arial"/>
          <w:sz w:val="24"/>
          <w:szCs w:val="24"/>
          <w:highlight w:val="white"/>
        </w:rPr>
        <w:lastRenderedPageBreak/>
        <w:t>se apegaron al marco normativo de la materia, ya que la parte denunciada sí entregó la documentación que respalda la difusión de las encuestas en tiempo</w:t>
      </w:r>
      <w:r>
        <w:rPr>
          <w:rFonts w:ascii="Arial" w:eastAsia="Arial" w:hAnsi="Arial" w:cs="Arial"/>
          <w:sz w:val="24"/>
          <w:szCs w:val="24"/>
          <w:highlight w:val="white"/>
          <w:vertAlign w:val="superscript"/>
        </w:rPr>
        <w:footnoteReference w:id="16"/>
      </w:r>
      <w:r>
        <w:rPr>
          <w:rFonts w:ascii="Arial" w:eastAsia="Arial" w:hAnsi="Arial" w:cs="Arial"/>
          <w:sz w:val="24"/>
          <w:szCs w:val="24"/>
          <w:highlight w:val="white"/>
        </w:rPr>
        <w:t xml:space="preserve"> y forma</w:t>
      </w:r>
      <w:r>
        <w:rPr>
          <w:rFonts w:ascii="Arial" w:eastAsia="Arial" w:hAnsi="Arial" w:cs="Arial"/>
          <w:sz w:val="24"/>
          <w:szCs w:val="24"/>
          <w:highlight w:val="white"/>
          <w:vertAlign w:val="superscript"/>
        </w:rPr>
        <w:footnoteReference w:id="17"/>
      </w:r>
      <w:r>
        <w:rPr>
          <w:rFonts w:ascii="Arial" w:eastAsia="Arial" w:hAnsi="Arial" w:cs="Arial"/>
          <w:sz w:val="24"/>
          <w:szCs w:val="24"/>
          <w:highlight w:val="white"/>
        </w:rPr>
        <w:t xml:space="preserve">; </w:t>
      </w:r>
      <w:r>
        <w:rPr>
          <w:rFonts w:ascii="Arial" w:eastAsia="Arial" w:hAnsi="Arial" w:cs="Arial"/>
          <w:b/>
          <w:i/>
          <w:sz w:val="24"/>
          <w:szCs w:val="24"/>
          <w:highlight w:val="white"/>
        </w:rPr>
        <w:t xml:space="preserve">b) </w:t>
      </w:r>
      <w:r>
        <w:rPr>
          <w:rFonts w:ascii="Arial" w:eastAsia="Arial" w:hAnsi="Arial" w:cs="Arial"/>
          <w:sz w:val="24"/>
          <w:szCs w:val="24"/>
          <w:highlight w:val="white"/>
        </w:rPr>
        <w:t xml:space="preserve">sin embargo, en cuanto a las encuestas restantes, fue posible advertir que: </w:t>
      </w:r>
      <w:r>
        <w:rPr>
          <w:rFonts w:ascii="Arial" w:eastAsia="Arial" w:hAnsi="Arial" w:cs="Arial"/>
          <w:b/>
          <w:i/>
          <w:sz w:val="24"/>
          <w:szCs w:val="24"/>
          <w:highlight w:val="white"/>
        </w:rPr>
        <w:t>i)</w:t>
      </w:r>
      <w:r>
        <w:rPr>
          <w:rFonts w:ascii="Arial" w:eastAsia="Arial" w:hAnsi="Arial" w:cs="Arial"/>
          <w:sz w:val="24"/>
          <w:szCs w:val="24"/>
          <w:highlight w:val="white"/>
        </w:rPr>
        <w:t xml:space="preserve"> respecto a algunas de ellas</w:t>
      </w:r>
      <w:r>
        <w:rPr>
          <w:rFonts w:ascii="Arial" w:eastAsia="Arial" w:hAnsi="Arial" w:cs="Arial"/>
          <w:sz w:val="24"/>
          <w:szCs w:val="24"/>
          <w:highlight w:val="white"/>
          <w:vertAlign w:val="superscript"/>
        </w:rPr>
        <w:footnoteReference w:id="18"/>
      </w:r>
      <w:r>
        <w:rPr>
          <w:rFonts w:ascii="Arial" w:eastAsia="Arial" w:hAnsi="Arial" w:cs="Arial"/>
          <w:sz w:val="24"/>
          <w:szCs w:val="24"/>
          <w:highlight w:val="white"/>
        </w:rPr>
        <w:t xml:space="preserve">, </w:t>
      </w:r>
      <w:r>
        <w:rPr>
          <w:rFonts w:ascii="Arial" w:eastAsia="Arial" w:hAnsi="Arial" w:cs="Arial"/>
          <w:b/>
          <w:sz w:val="24"/>
          <w:szCs w:val="24"/>
          <w:highlight w:val="white"/>
        </w:rPr>
        <w:t>no se presentó el estudio metodológico</w:t>
      </w:r>
      <w:r>
        <w:rPr>
          <w:rFonts w:ascii="Arial" w:eastAsia="Arial" w:hAnsi="Arial" w:cs="Arial"/>
          <w:sz w:val="24"/>
          <w:szCs w:val="24"/>
          <w:highlight w:val="white"/>
        </w:rPr>
        <w:t xml:space="preserve"> de respaldo ante la autoridad administrativa, </w:t>
      </w:r>
      <w:proofErr w:type="spellStart"/>
      <w:r>
        <w:rPr>
          <w:rFonts w:ascii="Arial" w:eastAsia="Arial" w:hAnsi="Arial" w:cs="Arial"/>
          <w:b/>
          <w:i/>
          <w:sz w:val="24"/>
          <w:szCs w:val="24"/>
          <w:highlight w:val="white"/>
        </w:rPr>
        <w:t>ii</w:t>
      </w:r>
      <w:proofErr w:type="spellEnd"/>
      <w:r>
        <w:rPr>
          <w:rFonts w:ascii="Arial" w:eastAsia="Arial" w:hAnsi="Arial" w:cs="Arial"/>
          <w:b/>
          <w:i/>
          <w:sz w:val="24"/>
          <w:szCs w:val="24"/>
          <w:highlight w:val="white"/>
        </w:rPr>
        <w:t xml:space="preserve">) </w:t>
      </w:r>
      <w:r>
        <w:rPr>
          <w:rFonts w:ascii="Arial" w:eastAsia="Arial" w:hAnsi="Arial" w:cs="Arial"/>
          <w:sz w:val="24"/>
          <w:szCs w:val="24"/>
          <w:highlight w:val="white"/>
        </w:rPr>
        <w:t>respecto a otras</w:t>
      </w:r>
      <w:r>
        <w:rPr>
          <w:rFonts w:ascii="Arial" w:eastAsia="Arial" w:hAnsi="Arial" w:cs="Arial"/>
          <w:sz w:val="24"/>
          <w:szCs w:val="24"/>
          <w:highlight w:val="white"/>
          <w:vertAlign w:val="superscript"/>
        </w:rPr>
        <w:footnoteReference w:id="19"/>
      </w:r>
      <w:r>
        <w:rPr>
          <w:rFonts w:ascii="Arial" w:eastAsia="Arial" w:hAnsi="Arial" w:cs="Arial"/>
          <w:sz w:val="24"/>
          <w:szCs w:val="24"/>
          <w:highlight w:val="white"/>
        </w:rPr>
        <w:t>,</w:t>
      </w:r>
      <w:r>
        <w:rPr>
          <w:rFonts w:ascii="Arial" w:eastAsia="Arial" w:hAnsi="Arial" w:cs="Arial"/>
          <w:b/>
          <w:i/>
          <w:sz w:val="24"/>
          <w:szCs w:val="24"/>
          <w:highlight w:val="white"/>
        </w:rPr>
        <w:t xml:space="preserve"> </w:t>
      </w:r>
      <w:r>
        <w:rPr>
          <w:rFonts w:ascii="Arial" w:eastAsia="Arial" w:hAnsi="Arial" w:cs="Arial"/>
          <w:sz w:val="24"/>
          <w:szCs w:val="24"/>
          <w:highlight w:val="white"/>
        </w:rPr>
        <w:t xml:space="preserve">si bien se cumplió con el requisito anterior, </w:t>
      </w:r>
      <w:r>
        <w:rPr>
          <w:rFonts w:ascii="Arial" w:eastAsia="Arial" w:hAnsi="Arial" w:cs="Arial"/>
          <w:b/>
          <w:sz w:val="24"/>
          <w:szCs w:val="24"/>
          <w:highlight w:val="white"/>
        </w:rPr>
        <w:t>tal estudio no se entregó dentro del plazo</w:t>
      </w:r>
      <w:r>
        <w:rPr>
          <w:rFonts w:ascii="Arial" w:eastAsia="Arial" w:hAnsi="Arial" w:cs="Arial"/>
          <w:sz w:val="24"/>
          <w:szCs w:val="24"/>
          <w:highlight w:val="white"/>
        </w:rPr>
        <w:t xml:space="preserve"> de los cinco días posteriores a su publicación y, </w:t>
      </w:r>
      <w:proofErr w:type="spellStart"/>
      <w:r>
        <w:rPr>
          <w:rFonts w:ascii="Arial" w:eastAsia="Arial" w:hAnsi="Arial" w:cs="Arial"/>
          <w:b/>
          <w:i/>
          <w:sz w:val="24"/>
          <w:szCs w:val="24"/>
          <w:highlight w:val="white"/>
        </w:rPr>
        <w:t>iii</w:t>
      </w:r>
      <w:proofErr w:type="spellEnd"/>
      <w:r>
        <w:rPr>
          <w:rFonts w:ascii="Arial" w:eastAsia="Arial" w:hAnsi="Arial" w:cs="Arial"/>
          <w:b/>
          <w:i/>
          <w:sz w:val="24"/>
          <w:szCs w:val="24"/>
          <w:highlight w:val="white"/>
        </w:rPr>
        <w:t>)</w:t>
      </w:r>
      <w:r>
        <w:rPr>
          <w:rFonts w:ascii="Arial" w:eastAsia="Arial" w:hAnsi="Arial" w:cs="Arial"/>
          <w:sz w:val="24"/>
          <w:szCs w:val="24"/>
          <w:highlight w:val="white"/>
        </w:rPr>
        <w:t xml:space="preserve"> en relación a otra serie de encuestas</w:t>
      </w:r>
      <w:r>
        <w:rPr>
          <w:rFonts w:ascii="Arial" w:eastAsia="Arial" w:hAnsi="Arial" w:cs="Arial"/>
          <w:sz w:val="24"/>
          <w:szCs w:val="24"/>
          <w:highlight w:val="white"/>
          <w:vertAlign w:val="superscript"/>
        </w:rPr>
        <w:footnoteReference w:id="20"/>
      </w:r>
      <w:r>
        <w:rPr>
          <w:rFonts w:ascii="Arial" w:eastAsia="Arial" w:hAnsi="Arial" w:cs="Arial"/>
          <w:sz w:val="24"/>
          <w:szCs w:val="24"/>
          <w:highlight w:val="white"/>
        </w:rPr>
        <w:t xml:space="preserve">, con independencia de la temporalidad en que fueron presentados los estudios respectivos ante el Instituto Local, estos </w:t>
      </w:r>
      <w:r>
        <w:rPr>
          <w:rFonts w:ascii="Arial" w:eastAsia="Arial" w:hAnsi="Arial" w:cs="Arial"/>
          <w:b/>
          <w:sz w:val="24"/>
          <w:szCs w:val="24"/>
          <w:highlight w:val="white"/>
        </w:rPr>
        <w:t>no fueron coincidentes con la información publicada y difundida</w:t>
      </w:r>
      <w:r>
        <w:rPr>
          <w:rFonts w:ascii="Arial" w:eastAsia="Arial" w:hAnsi="Arial" w:cs="Arial"/>
          <w:sz w:val="24"/>
          <w:szCs w:val="24"/>
          <w:highlight w:val="white"/>
        </w:rPr>
        <w:t xml:space="preserve"> por la empresa encuestadora</w:t>
      </w:r>
      <w:r w:rsidR="00E70F88">
        <w:rPr>
          <w:rFonts w:ascii="Arial" w:eastAsia="Arial" w:hAnsi="Arial" w:cs="Arial"/>
          <w:sz w:val="24"/>
          <w:szCs w:val="24"/>
          <w:highlight w:val="white"/>
        </w:rPr>
        <w:t xml:space="preserve"> d</w:t>
      </w:r>
      <w:r>
        <w:rPr>
          <w:rFonts w:ascii="Arial" w:eastAsia="Arial" w:hAnsi="Arial" w:cs="Arial"/>
          <w:sz w:val="24"/>
          <w:szCs w:val="24"/>
          <w:highlight w:val="white"/>
        </w:rPr>
        <w:t xml:space="preserve">e ahí que se acreditó </w:t>
      </w:r>
      <w:r>
        <w:rPr>
          <w:rFonts w:ascii="Arial" w:eastAsia="Arial" w:hAnsi="Arial" w:cs="Arial"/>
          <w:sz w:val="24"/>
          <w:szCs w:val="24"/>
        </w:rPr>
        <w:t>una vulneración a la norma en materia de elaboración y difusión de encuestas electorales.</w:t>
      </w:r>
    </w:p>
    <w:p w14:paraId="14C60FC2" w14:textId="77777777" w:rsidR="00B14497" w:rsidRDefault="00B14497" w:rsidP="00101FAC">
      <w:pPr>
        <w:pStyle w:val="Sinespaciado"/>
        <w:rPr>
          <w:rFonts w:eastAsia="Arial"/>
        </w:rPr>
      </w:pPr>
    </w:p>
    <w:p w14:paraId="0D5747F1" w14:textId="77777777" w:rsidR="00B14497" w:rsidRDefault="000142EE">
      <w:pPr>
        <w:spacing w:line="360" w:lineRule="auto"/>
        <w:jc w:val="both"/>
        <w:rPr>
          <w:rFonts w:ascii="Arial" w:eastAsia="Arial" w:hAnsi="Arial" w:cs="Arial"/>
          <w:b/>
          <w:sz w:val="24"/>
          <w:szCs w:val="24"/>
        </w:rPr>
      </w:pPr>
      <w:r>
        <w:rPr>
          <w:rFonts w:ascii="Arial" w:eastAsia="Arial" w:hAnsi="Arial" w:cs="Arial"/>
          <w:b/>
          <w:sz w:val="24"/>
          <w:szCs w:val="24"/>
          <w:u w:val="single"/>
        </w:rPr>
        <w:t>Aparatado II.</w:t>
      </w:r>
      <w:r>
        <w:rPr>
          <w:rFonts w:ascii="Arial" w:eastAsia="Arial" w:hAnsi="Arial" w:cs="Arial"/>
          <w:b/>
          <w:sz w:val="24"/>
          <w:szCs w:val="24"/>
        </w:rPr>
        <w:t xml:space="preserve"> Desarrollo y justificación de la decisión </w:t>
      </w:r>
    </w:p>
    <w:p w14:paraId="686FA072" w14:textId="77777777" w:rsidR="00B14497" w:rsidRDefault="00B14497" w:rsidP="00101FAC">
      <w:pPr>
        <w:pStyle w:val="Sinespaciado"/>
      </w:pPr>
    </w:p>
    <w:p w14:paraId="1D6B2296" w14:textId="77777777" w:rsidR="00B14497" w:rsidRDefault="000142EE">
      <w:pPr>
        <w:numPr>
          <w:ilvl w:val="0"/>
          <w:numId w:val="10"/>
        </w:numPr>
        <w:pBdr>
          <w:top w:val="nil"/>
          <w:left w:val="nil"/>
          <w:bottom w:val="nil"/>
          <w:right w:val="nil"/>
          <w:between w:val="nil"/>
        </w:pBdr>
        <w:spacing w:line="360" w:lineRule="auto"/>
        <w:ind w:left="0" w:firstLine="0"/>
        <w:jc w:val="both"/>
        <w:rPr>
          <w:color w:val="000000"/>
        </w:rPr>
      </w:pPr>
      <w:r>
        <w:rPr>
          <w:rFonts w:ascii="Arial" w:eastAsia="Arial" w:hAnsi="Arial" w:cs="Arial"/>
          <w:b/>
          <w:color w:val="000000"/>
          <w:sz w:val="24"/>
          <w:szCs w:val="24"/>
        </w:rPr>
        <w:t>Marco normativo acerca de la elaboración y difusión de encuestas.</w:t>
      </w:r>
    </w:p>
    <w:p w14:paraId="321AA0EC" w14:textId="77777777" w:rsidR="00B14497" w:rsidRDefault="00B14497">
      <w:pPr>
        <w:pBdr>
          <w:top w:val="nil"/>
          <w:left w:val="nil"/>
          <w:bottom w:val="nil"/>
          <w:right w:val="nil"/>
          <w:between w:val="nil"/>
        </w:pBdr>
        <w:rPr>
          <w:color w:val="000000"/>
        </w:rPr>
      </w:pPr>
    </w:p>
    <w:p w14:paraId="429C3BB3" w14:textId="42DDFC7B" w:rsidR="00B14497" w:rsidRDefault="000142EE">
      <w:pPr>
        <w:spacing w:line="360" w:lineRule="auto"/>
        <w:jc w:val="both"/>
        <w:rPr>
          <w:rFonts w:ascii="Arial" w:eastAsia="Arial" w:hAnsi="Arial" w:cs="Arial"/>
          <w:color w:val="000000"/>
          <w:sz w:val="24"/>
          <w:szCs w:val="24"/>
        </w:rPr>
      </w:pPr>
      <w:r>
        <w:rPr>
          <w:rFonts w:ascii="Arial" w:eastAsia="Arial" w:hAnsi="Arial" w:cs="Arial"/>
          <w:color w:val="000000"/>
          <w:sz w:val="24"/>
          <w:szCs w:val="24"/>
          <w:highlight w:val="white"/>
        </w:rPr>
        <w:t xml:space="preserve">El artículo 166 del Código Electoral establece que, a efecto de que un sujeto se encuentre en aptitud legal para publicar encuestas sobre asuntos electorales en el curso de un proceso comicial, deberá atender lo dispuesto </w:t>
      </w:r>
      <w:r>
        <w:rPr>
          <w:rFonts w:ascii="Arial" w:eastAsia="Arial" w:hAnsi="Arial" w:cs="Arial"/>
          <w:color w:val="000000"/>
          <w:sz w:val="24"/>
          <w:szCs w:val="24"/>
        </w:rPr>
        <w:t xml:space="preserve">por el Reglamento aplicable que expida el INE en términos de lo establecido por el inciso a), del Apartado B, de la Base V, del artículo 41 de la </w:t>
      </w:r>
      <w:r>
        <w:rPr>
          <w:rFonts w:ascii="Arial" w:eastAsia="Arial" w:hAnsi="Arial" w:cs="Arial"/>
          <w:sz w:val="24"/>
          <w:szCs w:val="24"/>
        </w:rPr>
        <w:t>Constitución general</w:t>
      </w:r>
      <w:r>
        <w:rPr>
          <w:rFonts w:ascii="Arial" w:eastAsia="Arial" w:hAnsi="Arial" w:cs="Arial"/>
          <w:color w:val="000000"/>
          <w:sz w:val="24"/>
          <w:szCs w:val="24"/>
        </w:rPr>
        <w:t xml:space="preserve"> y en el Capítulo III, del Título Primero, del Libro Quinto de la LEGIPE.</w:t>
      </w:r>
      <w:r>
        <w:rPr>
          <w:rFonts w:ascii="Arial" w:eastAsia="Arial" w:hAnsi="Arial" w:cs="Arial"/>
          <w:color w:val="000000"/>
          <w:sz w:val="24"/>
          <w:szCs w:val="24"/>
          <w:vertAlign w:val="superscript"/>
        </w:rPr>
        <w:footnoteReference w:id="21"/>
      </w:r>
    </w:p>
    <w:p w14:paraId="592BCAB5" w14:textId="77777777" w:rsidR="00101FAC" w:rsidRDefault="00101FAC" w:rsidP="00101FAC">
      <w:pPr>
        <w:pStyle w:val="Sinespaciado"/>
      </w:pPr>
    </w:p>
    <w:p w14:paraId="7EAB242E" w14:textId="77777777" w:rsidR="00B14497" w:rsidRDefault="000142EE">
      <w:pPr>
        <w:spacing w:line="360" w:lineRule="auto"/>
        <w:jc w:val="both"/>
        <w:rPr>
          <w:rFonts w:ascii="Arial" w:eastAsia="Arial" w:hAnsi="Arial" w:cs="Arial"/>
          <w:color w:val="000000"/>
          <w:sz w:val="24"/>
          <w:szCs w:val="24"/>
        </w:rPr>
      </w:pPr>
      <w:r>
        <w:rPr>
          <w:rFonts w:ascii="Arial" w:eastAsia="Arial" w:hAnsi="Arial" w:cs="Arial"/>
          <w:color w:val="000000"/>
          <w:sz w:val="24"/>
          <w:szCs w:val="24"/>
        </w:rPr>
        <w:t>Al respecto el artículo 213 de la LGIPE, establece que tanto las personas físicas como morales que difundan encuestas o sondeos de opinión</w:t>
      </w:r>
      <w:r>
        <w:rPr>
          <w:rFonts w:ascii="Arial" w:eastAsia="Arial" w:hAnsi="Arial" w:cs="Arial"/>
          <w:b/>
          <w:color w:val="000000"/>
          <w:sz w:val="24"/>
          <w:szCs w:val="24"/>
        </w:rPr>
        <w:t xml:space="preserve"> deberán presentar un informe sobre los recursos aplicados en su realización</w:t>
      </w:r>
      <w:r>
        <w:rPr>
          <w:rFonts w:ascii="Arial" w:eastAsia="Arial" w:hAnsi="Arial" w:cs="Arial"/>
          <w:color w:val="000000"/>
          <w:sz w:val="24"/>
          <w:szCs w:val="24"/>
        </w:rPr>
        <w:t>, en los términos que disponga la autoridad correspondiente.</w:t>
      </w:r>
    </w:p>
    <w:p w14:paraId="0697F6F8" w14:textId="77777777" w:rsidR="00B14497" w:rsidRDefault="00B14497">
      <w:pPr>
        <w:pBdr>
          <w:top w:val="nil"/>
          <w:left w:val="nil"/>
          <w:bottom w:val="nil"/>
          <w:right w:val="nil"/>
          <w:between w:val="nil"/>
        </w:pBdr>
        <w:rPr>
          <w:color w:val="000000"/>
        </w:rPr>
      </w:pPr>
    </w:p>
    <w:p w14:paraId="0EEA3E1F" w14:textId="77777777" w:rsidR="00B14497" w:rsidRDefault="000142EE">
      <w:pPr>
        <w:spacing w:line="360" w:lineRule="auto"/>
        <w:jc w:val="both"/>
        <w:rPr>
          <w:rFonts w:ascii="Arial" w:eastAsia="Arial" w:hAnsi="Arial" w:cs="Arial"/>
          <w:color w:val="000000"/>
          <w:sz w:val="24"/>
          <w:szCs w:val="24"/>
        </w:rPr>
      </w:pPr>
      <w:r>
        <w:rPr>
          <w:rFonts w:ascii="Arial" w:eastAsia="Arial" w:hAnsi="Arial" w:cs="Arial"/>
          <w:color w:val="000000"/>
          <w:sz w:val="24"/>
          <w:szCs w:val="24"/>
        </w:rPr>
        <w:t xml:space="preserve">Esta disposición debe valorarse de forma sistemática con el artículo 151, párrafo 5 y 7 de la ley en comento, que señalan que, quien solicite y ordene la publicación de cualquier encuesta de opinión sobre asuntos electorales, que se realice desde el inicio del proceso electoral hasta el cierre oficial de las casillas, deberá entregar </w:t>
      </w:r>
      <w:r>
        <w:rPr>
          <w:rFonts w:ascii="Arial" w:eastAsia="Arial" w:hAnsi="Arial" w:cs="Arial"/>
          <w:b/>
          <w:color w:val="000000"/>
          <w:sz w:val="24"/>
          <w:szCs w:val="24"/>
        </w:rPr>
        <w:t>copia del estudio completo</w:t>
      </w:r>
      <w:r>
        <w:rPr>
          <w:rFonts w:ascii="Arial" w:eastAsia="Arial" w:hAnsi="Arial" w:cs="Arial"/>
          <w:color w:val="000000"/>
          <w:sz w:val="24"/>
          <w:szCs w:val="24"/>
        </w:rPr>
        <w:t xml:space="preserve"> a la Secretaría Ejecutiva del Instituto </w:t>
      </w:r>
      <w:r>
        <w:rPr>
          <w:rFonts w:ascii="Arial" w:eastAsia="Arial" w:hAnsi="Arial" w:cs="Arial"/>
          <w:sz w:val="24"/>
          <w:szCs w:val="24"/>
        </w:rPr>
        <w:t>L</w:t>
      </w:r>
      <w:r>
        <w:rPr>
          <w:rFonts w:ascii="Arial" w:eastAsia="Arial" w:hAnsi="Arial" w:cs="Arial"/>
          <w:color w:val="000000"/>
          <w:sz w:val="24"/>
          <w:szCs w:val="24"/>
        </w:rPr>
        <w:t xml:space="preserve">ocal, </w:t>
      </w:r>
      <w:r>
        <w:rPr>
          <w:rFonts w:ascii="Arial" w:eastAsia="Arial" w:hAnsi="Arial" w:cs="Arial"/>
          <w:b/>
          <w:color w:val="000000"/>
          <w:sz w:val="24"/>
          <w:szCs w:val="24"/>
          <w:u w:val="single"/>
        </w:rPr>
        <w:t>con independencia del medio por el cual se difunda la encuesta</w:t>
      </w:r>
      <w:r>
        <w:rPr>
          <w:rFonts w:ascii="Arial" w:eastAsia="Arial" w:hAnsi="Arial" w:cs="Arial"/>
          <w:b/>
          <w:color w:val="000000"/>
          <w:sz w:val="24"/>
          <w:szCs w:val="24"/>
        </w:rPr>
        <w:t>.</w:t>
      </w:r>
      <w:r>
        <w:rPr>
          <w:rFonts w:ascii="Arial" w:eastAsia="Arial" w:hAnsi="Arial" w:cs="Arial"/>
          <w:color w:val="000000"/>
          <w:sz w:val="24"/>
          <w:szCs w:val="24"/>
        </w:rPr>
        <w:t xml:space="preserve"> Asimismo, se deben observar los criterios generales de carácter científico que para tal efecto emita el Consejo General del INE.</w:t>
      </w:r>
    </w:p>
    <w:p w14:paraId="4B5DDD50" w14:textId="77777777" w:rsidR="00B14497" w:rsidRDefault="000142EE">
      <w:pPr>
        <w:pBdr>
          <w:top w:val="nil"/>
          <w:left w:val="nil"/>
          <w:bottom w:val="nil"/>
          <w:right w:val="nil"/>
          <w:between w:val="nil"/>
        </w:pBdr>
        <w:rPr>
          <w:color w:val="000000"/>
        </w:rPr>
      </w:pPr>
      <w:r>
        <w:rPr>
          <w:color w:val="000000"/>
        </w:rPr>
        <w:lastRenderedPageBreak/>
        <w:t xml:space="preserve"> </w:t>
      </w:r>
    </w:p>
    <w:p w14:paraId="6B002CC9" w14:textId="77777777" w:rsidR="00B14497" w:rsidRDefault="000142EE">
      <w:pPr>
        <w:spacing w:line="360" w:lineRule="auto"/>
        <w:jc w:val="both"/>
        <w:rPr>
          <w:rFonts w:ascii="Arial" w:eastAsia="Arial" w:hAnsi="Arial" w:cs="Arial"/>
          <w:color w:val="000000"/>
          <w:sz w:val="24"/>
          <w:szCs w:val="24"/>
        </w:rPr>
      </w:pPr>
      <w:r>
        <w:rPr>
          <w:rFonts w:ascii="Arial" w:eastAsia="Arial" w:hAnsi="Arial" w:cs="Arial"/>
          <w:color w:val="000000"/>
          <w:sz w:val="24"/>
          <w:szCs w:val="24"/>
        </w:rPr>
        <w:t>Para ello, el párrafo primero, del artículo 213, de</w:t>
      </w:r>
      <w:r>
        <w:rPr>
          <w:rFonts w:ascii="Arial" w:eastAsia="Arial" w:hAnsi="Arial" w:cs="Arial"/>
          <w:sz w:val="24"/>
          <w:szCs w:val="24"/>
        </w:rPr>
        <w:t xml:space="preserve"> la legislación referida</w:t>
      </w:r>
      <w:r>
        <w:rPr>
          <w:rFonts w:ascii="Arial" w:eastAsia="Arial" w:hAnsi="Arial" w:cs="Arial"/>
          <w:color w:val="000000"/>
          <w:sz w:val="24"/>
          <w:szCs w:val="24"/>
        </w:rPr>
        <w:t xml:space="preserve">, faculta al Consejo General para emitir las reglas, lineamientos y criterios que las personas físicas y morales deben adoptar para realizar encuestas o sondeos de opinión en el marco de los procesos electorales, situación que debe interpretarse de forma sistemática con el artículo 44, párrafo primero, inciso a), de esa misma normativa, que prevé que el </w:t>
      </w:r>
      <w:r>
        <w:rPr>
          <w:rFonts w:ascii="Arial" w:eastAsia="Arial" w:hAnsi="Arial" w:cs="Arial"/>
          <w:b/>
          <w:color w:val="000000"/>
          <w:sz w:val="24"/>
          <w:szCs w:val="24"/>
        </w:rPr>
        <w:t>Consejo General tiene la atribución de aprobar y expedir los reglamentos</w:t>
      </w:r>
      <w:r>
        <w:rPr>
          <w:rFonts w:ascii="Arial" w:eastAsia="Arial" w:hAnsi="Arial" w:cs="Arial"/>
          <w:color w:val="000000"/>
          <w:sz w:val="24"/>
          <w:szCs w:val="24"/>
        </w:rPr>
        <w:t xml:space="preserve"> interiores necesarios para el debido ejercicio de las facultades del I</w:t>
      </w:r>
      <w:r>
        <w:rPr>
          <w:rFonts w:ascii="Arial" w:eastAsia="Arial" w:hAnsi="Arial" w:cs="Arial"/>
          <w:sz w:val="24"/>
          <w:szCs w:val="24"/>
        </w:rPr>
        <w:t>NE</w:t>
      </w:r>
      <w:r>
        <w:rPr>
          <w:rFonts w:ascii="Arial" w:eastAsia="Arial" w:hAnsi="Arial" w:cs="Arial"/>
          <w:color w:val="000000"/>
          <w:sz w:val="24"/>
          <w:szCs w:val="24"/>
        </w:rPr>
        <w:t xml:space="preserve">. </w:t>
      </w:r>
    </w:p>
    <w:p w14:paraId="00C31C5A" w14:textId="77777777" w:rsidR="00B14497" w:rsidRPr="00101FAC" w:rsidRDefault="00B14497" w:rsidP="00101FAC">
      <w:pPr>
        <w:pStyle w:val="Sinespaciado"/>
        <w:rPr>
          <w:rFonts w:eastAsia="Arial"/>
        </w:rPr>
      </w:pPr>
    </w:p>
    <w:p w14:paraId="58234996" w14:textId="77777777" w:rsidR="00B14497" w:rsidRDefault="000142EE">
      <w:pPr>
        <w:spacing w:line="360" w:lineRule="auto"/>
        <w:jc w:val="both"/>
        <w:rPr>
          <w:rFonts w:ascii="Arial" w:eastAsia="Arial" w:hAnsi="Arial" w:cs="Arial"/>
          <w:sz w:val="24"/>
          <w:szCs w:val="24"/>
        </w:rPr>
      </w:pPr>
      <w:r>
        <w:rPr>
          <w:rFonts w:ascii="Arial" w:eastAsia="Arial" w:hAnsi="Arial" w:cs="Arial"/>
          <w:color w:val="000000"/>
          <w:sz w:val="24"/>
          <w:szCs w:val="24"/>
        </w:rPr>
        <w:t>Sobre esa bas</w:t>
      </w:r>
      <w:r>
        <w:rPr>
          <w:rFonts w:ascii="Arial" w:eastAsia="Arial" w:hAnsi="Arial" w:cs="Arial"/>
          <w:sz w:val="24"/>
          <w:szCs w:val="24"/>
        </w:rPr>
        <w:t>e,</w:t>
      </w:r>
      <w:r>
        <w:rPr>
          <w:rFonts w:ascii="Arial" w:eastAsia="Arial" w:hAnsi="Arial" w:cs="Arial"/>
          <w:color w:val="000000"/>
          <w:sz w:val="24"/>
          <w:szCs w:val="24"/>
        </w:rPr>
        <w:t xml:space="preserve"> el artículo 132 del </w:t>
      </w:r>
      <w:r>
        <w:rPr>
          <w:rFonts w:ascii="Arial" w:eastAsia="Arial" w:hAnsi="Arial" w:cs="Arial"/>
          <w:sz w:val="24"/>
          <w:szCs w:val="24"/>
        </w:rPr>
        <w:t>R</w:t>
      </w:r>
      <w:r>
        <w:rPr>
          <w:rFonts w:ascii="Arial" w:eastAsia="Arial" w:hAnsi="Arial" w:cs="Arial"/>
          <w:color w:val="000000"/>
          <w:sz w:val="24"/>
          <w:szCs w:val="24"/>
        </w:rPr>
        <w:t xml:space="preserve">eglamento de </w:t>
      </w:r>
      <w:r>
        <w:rPr>
          <w:rFonts w:ascii="Arial" w:eastAsia="Arial" w:hAnsi="Arial" w:cs="Arial"/>
          <w:sz w:val="24"/>
          <w:szCs w:val="24"/>
        </w:rPr>
        <w:t>E</w:t>
      </w:r>
      <w:r>
        <w:rPr>
          <w:rFonts w:ascii="Arial" w:eastAsia="Arial" w:hAnsi="Arial" w:cs="Arial"/>
          <w:color w:val="000000"/>
          <w:sz w:val="24"/>
          <w:szCs w:val="24"/>
        </w:rPr>
        <w:t xml:space="preserve">lecciones, establece que las disposiciones son aplicables para las personas físicas y morales que </w:t>
      </w:r>
      <w:r>
        <w:rPr>
          <w:rFonts w:ascii="Arial" w:eastAsia="Arial" w:hAnsi="Arial" w:cs="Arial"/>
          <w:b/>
          <w:color w:val="000000"/>
          <w:sz w:val="24"/>
          <w:szCs w:val="24"/>
        </w:rPr>
        <w:t>realicen</w:t>
      </w:r>
      <w:r>
        <w:rPr>
          <w:rFonts w:ascii="Arial" w:eastAsia="Arial" w:hAnsi="Arial" w:cs="Arial"/>
          <w:color w:val="000000"/>
          <w:sz w:val="24"/>
          <w:szCs w:val="24"/>
        </w:rPr>
        <w:t xml:space="preserve"> encuestas o bien, que </w:t>
      </w:r>
      <w:r>
        <w:rPr>
          <w:rFonts w:ascii="Arial" w:eastAsia="Arial" w:hAnsi="Arial" w:cs="Arial"/>
          <w:b/>
          <w:color w:val="000000"/>
          <w:sz w:val="24"/>
          <w:szCs w:val="24"/>
        </w:rPr>
        <w:t>publiquen encuestas</w:t>
      </w:r>
      <w:r>
        <w:rPr>
          <w:rFonts w:ascii="Arial" w:eastAsia="Arial" w:hAnsi="Arial" w:cs="Arial"/>
          <w:color w:val="000000"/>
          <w:sz w:val="24"/>
          <w:szCs w:val="24"/>
        </w:rPr>
        <w:t xml:space="preserve"> por muestreo o sondeo de opinión cuyo objetivo sea dar a conocer preferencias electorales durante los procesos electorales locales</w:t>
      </w:r>
      <w:r>
        <w:rPr>
          <w:rFonts w:ascii="Arial" w:eastAsia="Arial" w:hAnsi="Arial" w:cs="Arial"/>
          <w:sz w:val="24"/>
          <w:szCs w:val="24"/>
        </w:rPr>
        <w:t>.</w:t>
      </w:r>
    </w:p>
    <w:p w14:paraId="5CCAF5BB" w14:textId="77777777" w:rsidR="00B14497" w:rsidRDefault="00B14497" w:rsidP="00101FAC">
      <w:pPr>
        <w:pStyle w:val="Sinespaciado"/>
        <w:rPr>
          <w:rFonts w:eastAsia="Arial"/>
        </w:rPr>
      </w:pPr>
    </w:p>
    <w:p w14:paraId="7141DDFF" w14:textId="77777777" w:rsidR="00B14497" w:rsidRDefault="000142EE">
      <w:pPr>
        <w:spacing w:line="360" w:lineRule="auto"/>
        <w:jc w:val="both"/>
        <w:rPr>
          <w:rFonts w:ascii="Arial" w:eastAsia="Arial" w:hAnsi="Arial" w:cs="Arial"/>
          <w:color w:val="000000"/>
          <w:sz w:val="24"/>
          <w:szCs w:val="24"/>
        </w:rPr>
      </w:pPr>
      <w:r>
        <w:rPr>
          <w:rFonts w:ascii="Arial" w:eastAsia="Arial" w:hAnsi="Arial" w:cs="Arial"/>
          <w:color w:val="000000"/>
          <w:sz w:val="24"/>
          <w:szCs w:val="24"/>
        </w:rPr>
        <w:t xml:space="preserve">Igualmente, el artículo 136, párrafo primero, inciso a), y párrafo </w:t>
      </w:r>
      <w:r>
        <w:rPr>
          <w:rFonts w:ascii="Arial" w:eastAsia="Arial" w:hAnsi="Arial" w:cs="Arial"/>
          <w:sz w:val="24"/>
          <w:szCs w:val="24"/>
        </w:rPr>
        <w:t>segundo</w:t>
      </w:r>
      <w:r>
        <w:rPr>
          <w:rFonts w:ascii="Arial" w:eastAsia="Arial" w:hAnsi="Arial" w:cs="Arial"/>
          <w:color w:val="000000"/>
          <w:sz w:val="24"/>
          <w:szCs w:val="24"/>
        </w:rPr>
        <w:t xml:space="preserve">, del mencionado </w:t>
      </w:r>
      <w:r>
        <w:rPr>
          <w:rFonts w:ascii="Arial" w:eastAsia="Arial" w:hAnsi="Arial" w:cs="Arial"/>
          <w:sz w:val="24"/>
          <w:szCs w:val="24"/>
        </w:rPr>
        <w:t>R</w:t>
      </w:r>
      <w:r>
        <w:rPr>
          <w:rFonts w:ascii="Arial" w:eastAsia="Arial" w:hAnsi="Arial" w:cs="Arial"/>
          <w:color w:val="000000"/>
          <w:sz w:val="24"/>
          <w:szCs w:val="24"/>
        </w:rPr>
        <w:t xml:space="preserve">eglamento, ordena que el estudio completo que presenten ante la Secretaría Ejecutiva del Instituto </w:t>
      </w:r>
      <w:r>
        <w:rPr>
          <w:rFonts w:ascii="Arial" w:eastAsia="Arial" w:hAnsi="Arial" w:cs="Arial"/>
          <w:sz w:val="24"/>
          <w:szCs w:val="24"/>
        </w:rPr>
        <w:t>L</w:t>
      </w:r>
      <w:r>
        <w:rPr>
          <w:rFonts w:ascii="Arial" w:eastAsia="Arial" w:hAnsi="Arial" w:cs="Arial"/>
          <w:color w:val="000000"/>
          <w:sz w:val="24"/>
          <w:szCs w:val="24"/>
        </w:rPr>
        <w:t>ocal correspondiente</w:t>
      </w:r>
      <w:r>
        <w:rPr>
          <w:rFonts w:ascii="Arial" w:eastAsia="Arial" w:hAnsi="Arial" w:cs="Arial"/>
          <w:sz w:val="24"/>
          <w:szCs w:val="24"/>
        </w:rPr>
        <w:t>,</w:t>
      </w:r>
      <w:r>
        <w:rPr>
          <w:rFonts w:ascii="Arial" w:eastAsia="Arial" w:hAnsi="Arial" w:cs="Arial"/>
          <w:color w:val="000000"/>
          <w:sz w:val="24"/>
          <w:szCs w:val="24"/>
        </w:rPr>
        <w:t xml:space="preserve"> deberá </w:t>
      </w:r>
      <w:r>
        <w:rPr>
          <w:rFonts w:ascii="Arial" w:eastAsia="Arial" w:hAnsi="Arial" w:cs="Arial"/>
          <w:sz w:val="24"/>
          <w:szCs w:val="24"/>
        </w:rPr>
        <w:t xml:space="preserve">entregarse, </w:t>
      </w:r>
      <w:r>
        <w:rPr>
          <w:rFonts w:ascii="Arial" w:eastAsia="Arial" w:hAnsi="Arial" w:cs="Arial"/>
          <w:b/>
          <w:color w:val="000000"/>
          <w:sz w:val="24"/>
          <w:szCs w:val="24"/>
        </w:rPr>
        <w:t>en todos los casos</w:t>
      </w:r>
      <w:r>
        <w:rPr>
          <w:rFonts w:ascii="Arial" w:eastAsia="Arial" w:hAnsi="Arial" w:cs="Arial"/>
          <w:color w:val="000000"/>
          <w:sz w:val="24"/>
          <w:szCs w:val="24"/>
        </w:rPr>
        <w:t xml:space="preserve">, a más tardar dentro de los </w:t>
      </w:r>
      <w:r>
        <w:rPr>
          <w:rFonts w:ascii="Arial" w:eastAsia="Arial" w:hAnsi="Arial" w:cs="Arial"/>
          <w:b/>
          <w:color w:val="000000"/>
          <w:sz w:val="24"/>
          <w:szCs w:val="24"/>
        </w:rPr>
        <w:t>cinco días siguientes a la publicación de las encuestas</w:t>
      </w:r>
      <w:r>
        <w:rPr>
          <w:rFonts w:ascii="Arial" w:eastAsia="Arial" w:hAnsi="Arial" w:cs="Arial"/>
          <w:color w:val="000000"/>
          <w:sz w:val="24"/>
          <w:szCs w:val="24"/>
        </w:rPr>
        <w:t xml:space="preserve"> por muestreo o sondeo de opinión respectivo. </w:t>
      </w:r>
    </w:p>
    <w:p w14:paraId="06EE8264" w14:textId="77777777" w:rsidR="00B14497" w:rsidRDefault="00B14497" w:rsidP="00101FAC">
      <w:pPr>
        <w:pStyle w:val="Sinespaciado"/>
        <w:rPr>
          <w:rFonts w:eastAsia="Arial"/>
        </w:rPr>
      </w:pPr>
    </w:p>
    <w:p w14:paraId="070CE875" w14:textId="77777777" w:rsidR="00B14497" w:rsidRDefault="000142EE">
      <w:pPr>
        <w:spacing w:line="360" w:lineRule="auto"/>
        <w:jc w:val="both"/>
        <w:rPr>
          <w:rFonts w:ascii="Arial" w:eastAsia="Arial" w:hAnsi="Arial" w:cs="Arial"/>
          <w:color w:val="000000"/>
          <w:sz w:val="24"/>
          <w:szCs w:val="24"/>
        </w:rPr>
      </w:pPr>
      <w:r>
        <w:rPr>
          <w:rFonts w:ascii="Arial" w:eastAsia="Arial" w:hAnsi="Arial" w:cs="Arial"/>
          <w:color w:val="000000"/>
          <w:sz w:val="24"/>
          <w:szCs w:val="24"/>
        </w:rPr>
        <w:t>El estudio que respalde l</w:t>
      </w:r>
      <w:r>
        <w:rPr>
          <w:rFonts w:ascii="Arial" w:eastAsia="Arial" w:hAnsi="Arial" w:cs="Arial"/>
          <w:sz w:val="24"/>
          <w:szCs w:val="24"/>
        </w:rPr>
        <w:t xml:space="preserve">os estudios, </w:t>
      </w:r>
      <w:r>
        <w:rPr>
          <w:rFonts w:ascii="Arial" w:eastAsia="Arial" w:hAnsi="Arial" w:cs="Arial"/>
          <w:color w:val="000000"/>
          <w:sz w:val="24"/>
          <w:szCs w:val="24"/>
        </w:rPr>
        <w:t xml:space="preserve">deberá contener toda la información que señala el anexo 3, </w:t>
      </w:r>
      <w:r>
        <w:rPr>
          <w:rFonts w:ascii="Arial" w:eastAsia="Arial" w:hAnsi="Arial" w:cs="Arial"/>
          <w:sz w:val="24"/>
          <w:szCs w:val="24"/>
        </w:rPr>
        <w:t>fracción</w:t>
      </w:r>
      <w:r>
        <w:rPr>
          <w:rFonts w:ascii="Arial" w:eastAsia="Arial" w:hAnsi="Arial" w:cs="Arial"/>
          <w:color w:val="000000"/>
          <w:sz w:val="24"/>
          <w:szCs w:val="24"/>
        </w:rPr>
        <w:t xml:space="preserve"> I, del </w:t>
      </w:r>
      <w:r>
        <w:rPr>
          <w:rFonts w:ascii="Arial" w:eastAsia="Arial" w:hAnsi="Arial" w:cs="Arial"/>
          <w:sz w:val="24"/>
          <w:szCs w:val="24"/>
        </w:rPr>
        <w:t>R</w:t>
      </w:r>
      <w:r>
        <w:rPr>
          <w:rFonts w:ascii="Arial" w:eastAsia="Arial" w:hAnsi="Arial" w:cs="Arial"/>
          <w:color w:val="000000"/>
          <w:sz w:val="24"/>
          <w:szCs w:val="24"/>
        </w:rPr>
        <w:t xml:space="preserve">eglamento de </w:t>
      </w:r>
      <w:r>
        <w:rPr>
          <w:rFonts w:ascii="Arial" w:eastAsia="Arial" w:hAnsi="Arial" w:cs="Arial"/>
          <w:sz w:val="24"/>
          <w:szCs w:val="24"/>
        </w:rPr>
        <w:t>E</w:t>
      </w:r>
      <w:r>
        <w:rPr>
          <w:rFonts w:ascii="Arial" w:eastAsia="Arial" w:hAnsi="Arial" w:cs="Arial"/>
          <w:color w:val="000000"/>
          <w:sz w:val="24"/>
          <w:szCs w:val="24"/>
        </w:rPr>
        <w:t xml:space="preserve">lecciones, ya que en este se establecen los criterios generales de carácter científico comentados anteriormente. </w:t>
      </w:r>
      <w:r>
        <w:rPr>
          <w:rFonts w:ascii="Arial" w:eastAsia="Arial" w:hAnsi="Arial" w:cs="Arial"/>
          <w:sz w:val="24"/>
          <w:szCs w:val="24"/>
        </w:rPr>
        <w:t xml:space="preserve">Tales </w:t>
      </w:r>
      <w:r>
        <w:rPr>
          <w:rFonts w:ascii="Arial" w:eastAsia="Arial" w:hAnsi="Arial" w:cs="Arial"/>
          <w:color w:val="000000"/>
          <w:sz w:val="24"/>
          <w:szCs w:val="24"/>
        </w:rPr>
        <w:t xml:space="preserve">requisitos son los siguientes: </w:t>
      </w:r>
    </w:p>
    <w:p w14:paraId="153E97D7" w14:textId="03440A6C" w:rsidR="00B14497" w:rsidRDefault="000142EE">
      <w:pPr>
        <w:numPr>
          <w:ilvl w:val="0"/>
          <w:numId w:val="4"/>
        </w:numPr>
        <w:pBdr>
          <w:top w:val="nil"/>
          <w:left w:val="nil"/>
          <w:bottom w:val="nil"/>
          <w:right w:val="nil"/>
          <w:between w:val="nil"/>
        </w:pBdr>
        <w:shd w:val="clear" w:color="auto" w:fill="FFFFFF"/>
        <w:spacing w:after="160" w:line="360" w:lineRule="auto"/>
        <w:ind w:left="566"/>
        <w:jc w:val="both"/>
        <w:rPr>
          <w:rFonts w:ascii="Arial" w:eastAsia="Arial" w:hAnsi="Arial" w:cs="Arial"/>
          <w:color w:val="000000"/>
          <w:sz w:val="24"/>
          <w:szCs w:val="24"/>
        </w:rPr>
      </w:pPr>
      <w:r>
        <w:rPr>
          <w:rFonts w:ascii="Arial" w:eastAsia="Arial" w:hAnsi="Arial" w:cs="Arial"/>
          <w:color w:val="000000"/>
          <w:sz w:val="24"/>
          <w:szCs w:val="24"/>
        </w:rPr>
        <w:t>Criterios generales de carácter científico que deben adoptar las personas físicas y/o morales que pretendan llevar a cabo encuestas por muestreo para dar a conocer las preferencias electorales o tendencias de la votación</w:t>
      </w:r>
      <w:r w:rsidR="00101FAC">
        <w:rPr>
          <w:rFonts w:ascii="Arial" w:eastAsia="Arial" w:hAnsi="Arial" w:cs="Arial"/>
          <w:color w:val="000000"/>
          <w:sz w:val="24"/>
          <w:szCs w:val="24"/>
        </w:rPr>
        <w:t>.</w:t>
      </w:r>
    </w:p>
    <w:p w14:paraId="1D53C396" w14:textId="47D06A3C" w:rsidR="00B14497" w:rsidRPr="00101FAC" w:rsidRDefault="000142EE" w:rsidP="00101FAC">
      <w:pPr>
        <w:pStyle w:val="Prrafodelista"/>
        <w:numPr>
          <w:ilvl w:val="2"/>
          <w:numId w:val="4"/>
        </w:numPr>
        <w:pBdr>
          <w:top w:val="nil"/>
          <w:left w:val="nil"/>
          <w:bottom w:val="nil"/>
          <w:right w:val="nil"/>
          <w:between w:val="nil"/>
        </w:pBdr>
        <w:shd w:val="clear" w:color="auto" w:fill="FFFFFF"/>
        <w:spacing w:after="160" w:line="360" w:lineRule="auto"/>
        <w:ind w:left="709"/>
        <w:jc w:val="both"/>
        <w:rPr>
          <w:rFonts w:ascii="Arial" w:eastAsia="Arial" w:hAnsi="Arial" w:cs="Arial"/>
          <w:color w:val="000000"/>
          <w:sz w:val="24"/>
          <w:szCs w:val="24"/>
        </w:rPr>
      </w:pPr>
      <w:r w:rsidRPr="00101FAC">
        <w:rPr>
          <w:rFonts w:ascii="Arial" w:eastAsia="Arial" w:hAnsi="Arial" w:cs="Arial"/>
          <w:color w:val="000000"/>
          <w:sz w:val="24"/>
          <w:szCs w:val="24"/>
        </w:rPr>
        <w:t>Objetivos del estudio.</w:t>
      </w:r>
    </w:p>
    <w:p w14:paraId="318318FA" w14:textId="3FE8084F" w:rsidR="00B14497" w:rsidRPr="00101FAC" w:rsidRDefault="000142EE" w:rsidP="00101FAC">
      <w:pPr>
        <w:pStyle w:val="Prrafodelista"/>
        <w:numPr>
          <w:ilvl w:val="2"/>
          <w:numId w:val="4"/>
        </w:numPr>
        <w:pBdr>
          <w:top w:val="nil"/>
          <w:left w:val="nil"/>
          <w:bottom w:val="nil"/>
          <w:right w:val="nil"/>
          <w:between w:val="nil"/>
        </w:pBdr>
        <w:shd w:val="clear" w:color="auto" w:fill="FFFFFF"/>
        <w:spacing w:after="160" w:line="360" w:lineRule="auto"/>
        <w:ind w:left="709"/>
        <w:jc w:val="both"/>
        <w:rPr>
          <w:rFonts w:ascii="Arial" w:eastAsia="Arial" w:hAnsi="Arial" w:cs="Arial"/>
          <w:color w:val="000000"/>
          <w:sz w:val="24"/>
          <w:szCs w:val="24"/>
        </w:rPr>
      </w:pPr>
      <w:r w:rsidRPr="00101FAC">
        <w:rPr>
          <w:rFonts w:ascii="Arial" w:eastAsia="Arial" w:hAnsi="Arial" w:cs="Arial"/>
          <w:color w:val="000000"/>
          <w:sz w:val="24"/>
          <w:szCs w:val="24"/>
        </w:rPr>
        <w:t>Marco muestral.</w:t>
      </w:r>
    </w:p>
    <w:p w14:paraId="0D61ED3D" w14:textId="3D971BE6" w:rsidR="00B14497" w:rsidRPr="00101FAC" w:rsidRDefault="000142EE" w:rsidP="00101FAC">
      <w:pPr>
        <w:pStyle w:val="Prrafodelista"/>
        <w:numPr>
          <w:ilvl w:val="2"/>
          <w:numId w:val="4"/>
        </w:numPr>
        <w:pBdr>
          <w:top w:val="nil"/>
          <w:left w:val="nil"/>
          <w:bottom w:val="nil"/>
          <w:right w:val="nil"/>
          <w:between w:val="nil"/>
        </w:pBdr>
        <w:shd w:val="clear" w:color="auto" w:fill="FFFFFF"/>
        <w:spacing w:after="160" w:line="360" w:lineRule="auto"/>
        <w:ind w:left="709"/>
        <w:jc w:val="both"/>
        <w:rPr>
          <w:rFonts w:ascii="Arial" w:eastAsia="Arial" w:hAnsi="Arial" w:cs="Arial"/>
          <w:color w:val="000000"/>
          <w:sz w:val="24"/>
          <w:szCs w:val="24"/>
        </w:rPr>
      </w:pPr>
      <w:r w:rsidRPr="00101FAC">
        <w:rPr>
          <w:rFonts w:ascii="Arial" w:eastAsia="Arial" w:hAnsi="Arial" w:cs="Arial"/>
          <w:color w:val="000000"/>
          <w:sz w:val="24"/>
          <w:szCs w:val="24"/>
        </w:rPr>
        <w:t>Diseño muestral.</w:t>
      </w:r>
    </w:p>
    <w:p w14:paraId="00D6FC67" w14:textId="0B9A96D0" w:rsidR="00B14497" w:rsidRPr="00101FAC" w:rsidRDefault="000142EE" w:rsidP="00101FAC">
      <w:pPr>
        <w:pStyle w:val="Prrafodelista"/>
        <w:numPr>
          <w:ilvl w:val="3"/>
          <w:numId w:val="14"/>
        </w:numPr>
        <w:pBdr>
          <w:top w:val="nil"/>
          <w:left w:val="nil"/>
          <w:bottom w:val="nil"/>
          <w:right w:val="nil"/>
          <w:between w:val="nil"/>
        </w:pBdr>
        <w:shd w:val="clear" w:color="auto" w:fill="FFFFFF"/>
        <w:spacing w:after="160" w:line="360" w:lineRule="auto"/>
        <w:ind w:left="1134"/>
        <w:jc w:val="both"/>
        <w:rPr>
          <w:rFonts w:ascii="Arial" w:eastAsia="Arial" w:hAnsi="Arial" w:cs="Arial"/>
          <w:color w:val="000000"/>
          <w:sz w:val="24"/>
          <w:szCs w:val="24"/>
        </w:rPr>
      </w:pPr>
      <w:r w:rsidRPr="00101FAC">
        <w:rPr>
          <w:rFonts w:ascii="Arial" w:eastAsia="Arial" w:hAnsi="Arial" w:cs="Arial"/>
          <w:color w:val="000000"/>
          <w:sz w:val="24"/>
          <w:szCs w:val="24"/>
        </w:rPr>
        <w:t>Definición de la población objetivo.</w:t>
      </w:r>
    </w:p>
    <w:p w14:paraId="529DBA95" w14:textId="7128B819" w:rsidR="00B14497" w:rsidRPr="00101FAC" w:rsidRDefault="000142EE" w:rsidP="00101FAC">
      <w:pPr>
        <w:pStyle w:val="Prrafodelista"/>
        <w:numPr>
          <w:ilvl w:val="3"/>
          <w:numId w:val="14"/>
        </w:numPr>
        <w:pBdr>
          <w:top w:val="nil"/>
          <w:left w:val="nil"/>
          <w:bottom w:val="nil"/>
          <w:right w:val="nil"/>
          <w:between w:val="nil"/>
        </w:pBdr>
        <w:shd w:val="clear" w:color="auto" w:fill="FFFFFF"/>
        <w:spacing w:after="160" w:line="360" w:lineRule="auto"/>
        <w:ind w:left="1134"/>
        <w:jc w:val="both"/>
        <w:rPr>
          <w:rFonts w:ascii="Arial" w:eastAsia="Arial" w:hAnsi="Arial" w:cs="Arial"/>
          <w:color w:val="000000"/>
          <w:sz w:val="24"/>
          <w:szCs w:val="24"/>
        </w:rPr>
      </w:pPr>
      <w:r w:rsidRPr="00101FAC">
        <w:rPr>
          <w:rFonts w:ascii="Arial" w:eastAsia="Arial" w:hAnsi="Arial" w:cs="Arial"/>
          <w:color w:val="000000"/>
          <w:sz w:val="24"/>
          <w:szCs w:val="24"/>
        </w:rPr>
        <w:t>Procedimiento de selección de unidades.</w:t>
      </w:r>
    </w:p>
    <w:p w14:paraId="080BC4B1" w14:textId="4F163810" w:rsidR="00B14497" w:rsidRPr="00101FAC" w:rsidRDefault="000142EE" w:rsidP="00101FAC">
      <w:pPr>
        <w:pStyle w:val="Prrafodelista"/>
        <w:numPr>
          <w:ilvl w:val="3"/>
          <w:numId w:val="14"/>
        </w:numPr>
        <w:pBdr>
          <w:top w:val="nil"/>
          <w:left w:val="nil"/>
          <w:bottom w:val="nil"/>
          <w:right w:val="nil"/>
          <w:between w:val="nil"/>
        </w:pBdr>
        <w:shd w:val="clear" w:color="auto" w:fill="FFFFFF"/>
        <w:spacing w:after="160" w:line="360" w:lineRule="auto"/>
        <w:ind w:left="1134"/>
        <w:jc w:val="both"/>
        <w:rPr>
          <w:rFonts w:ascii="Arial" w:eastAsia="Arial" w:hAnsi="Arial" w:cs="Arial"/>
          <w:color w:val="000000"/>
          <w:sz w:val="24"/>
          <w:szCs w:val="24"/>
        </w:rPr>
      </w:pPr>
      <w:r w:rsidRPr="00101FAC">
        <w:rPr>
          <w:rFonts w:ascii="Arial" w:eastAsia="Arial" w:hAnsi="Arial" w:cs="Arial"/>
          <w:color w:val="000000"/>
          <w:sz w:val="24"/>
          <w:szCs w:val="24"/>
        </w:rPr>
        <w:t>Procedimiento de estimación.</w:t>
      </w:r>
    </w:p>
    <w:p w14:paraId="46858215" w14:textId="3B487212" w:rsidR="00B14497" w:rsidRPr="00101FAC" w:rsidRDefault="000142EE" w:rsidP="00101FAC">
      <w:pPr>
        <w:pStyle w:val="Prrafodelista"/>
        <w:numPr>
          <w:ilvl w:val="3"/>
          <w:numId w:val="14"/>
        </w:numPr>
        <w:pBdr>
          <w:top w:val="nil"/>
          <w:left w:val="nil"/>
          <w:bottom w:val="nil"/>
          <w:right w:val="nil"/>
          <w:between w:val="nil"/>
        </w:pBdr>
        <w:shd w:val="clear" w:color="auto" w:fill="FFFFFF"/>
        <w:spacing w:after="160" w:line="360" w:lineRule="auto"/>
        <w:ind w:left="1134"/>
        <w:jc w:val="both"/>
        <w:rPr>
          <w:rFonts w:ascii="Arial" w:eastAsia="Arial" w:hAnsi="Arial" w:cs="Arial"/>
          <w:color w:val="000000"/>
          <w:sz w:val="24"/>
          <w:szCs w:val="24"/>
        </w:rPr>
      </w:pPr>
      <w:r w:rsidRPr="00101FAC">
        <w:rPr>
          <w:rFonts w:ascii="Arial" w:eastAsia="Arial" w:hAnsi="Arial" w:cs="Arial"/>
          <w:color w:val="000000"/>
          <w:sz w:val="24"/>
          <w:szCs w:val="24"/>
        </w:rPr>
        <w:t>Tamaño y forma de obtención de la muestra.</w:t>
      </w:r>
    </w:p>
    <w:p w14:paraId="0ADC39EC" w14:textId="60410E57" w:rsidR="00B14497" w:rsidRPr="00101FAC" w:rsidRDefault="000142EE" w:rsidP="00101FAC">
      <w:pPr>
        <w:pStyle w:val="Prrafodelista"/>
        <w:numPr>
          <w:ilvl w:val="3"/>
          <w:numId w:val="14"/>
        </w:numPr>
        <w:pBdr>
          <w:top w:val="nil"/>
          <w:left w:val="nil"/>
          <w:bottom w:val="nil"/>
          <w:right w:val="nil"/>
          <w:between w:val="nil"/>
        </w:pBdr>
        <w:shd w:val="clear" w:color="auto" w:fill="FFFFFF"/>
        <w:spacing w:after="160" w:line="360" w:lineRule="auto"/>
        <w:ind w:left="1134"/>
        <w:jc w:val="both"/>
        <w:rPr>
          <w:rFonts w:ascii="Arial" w:eastAsia="Arial" w:hAnsi="Arial" w:cs="Arial"/>
          <w:color w:val="000000"/>
          <w:sz w:val="24"/>
          <w:szCs w:val="24"/>
        </w:rPr>
      </w:pPr>
      <w:r w:rsidRPr="00101FAC">
        <w:rPr>
          <w:rFonts w:ascii="Arial" w:eastAsia="Arial" w:hAnsi="Arial" w:cs="Arial"/>
          <w:color w:val="000000"/>
          <w:sz w:val="24"/>
          <w:szCs w:val="24"/>
        </w:rPr>
        <w:t>Calidad de la estimación: confianza y error máximo implícito en la muestra seleccionada para cada distribución de preferencias o tendencias.</w:t>
      </w:r>
    </w:p>
    <w:p w14:paraId="3DA6C17D" w14:textId="78549A60" w:rsidR="00B14497" w:rsidRPr="00101FAC" w:rsidRDefault="000142EE" w:rsidP="00101FAC">
      <w:pPr>
        <w:pStyle w:val="Prrafodelista"/>
        <w:numPr>
          <w:ilvl w:val="3"/>
          <w:numId w:val="14"/>
        </w:numPr>
        <w:pBdr>
          <w:top w:val="nil"/>
          <w:left w:val="nil"/>
          <w:bottom w:val="nil"/>
          <w:right w:val="nil"/>
          <w:between w:val="nil"/>
        </w:pBdr>
        <w:shd w:val="clear" w:color="auto" w:fill="FFFFFF"/>
        <w:spacing w:after="160" w:line="360" w:lineRule="auto"/>
        <w:ind w:left="1134"/>
        <w:jc w:val="both"/>
        <w:rPr>
          <w:rFonts w:ascii="Arial" w:eastAsia="Arial" w:hAnsi="Arial" w:cs="Arial"/>
          <w:color w:val="000000"/>
          <w:sz w:val="24"/>
          <w:szCs w:val="24"/>
        </w:rPr>
      </w:pPr>
      <w:r w:rsidRPr="00101FAC">
        <w:rPr>
          <w:rFonts w:ascii="Arial" w:eastAsia="Arial" w:hAnsi="Arial" w:cs="Arial"/>
          <w:color w:val="000000"/>
          <w:sz w:val="24"/>
          <w:szCs w:val="24"/>
        </w:rPr>
        <w:t>Frecuencia y tratamiento de la no-respuesta, señalando los porcentajes de indecisos, los que responden "no sé" y los que manifiestan que no piensan votar.</w:t>
      </w:r>
    </w:p>
    <w:p w14:paraId="4159BF70" w14:textId="702CD1CB" w:rsidR="00B14497" w:rsidRPr="00101FAC" w:rsidRDefault="000142EE" w:rsidP="00101FAC">
      <w:pPr>
        <w:pStyle w:val="Prrafodelista"/>
        <w:numPr>
          <w:ilvl w:val="3"/>
          <w:numId w:val="14"/>
        </w:numPr>
        <w:pBdr>
          <w:top w:val="nil"/>
          <w:left w:val="nil"/>
          <w:bottom w:val="nil"/>
          <w:right w:val="nil"/>
          <w:between w:val="nil"/>
        </w:pBdr>
        <w:shd w:val="clear" w:color="auto" w:fill="FFFFFF"/>
        <w:spacing w:after="160" w:line="360" w:lineRule="auto"/>
        <w:ind w:left="1134"/>
        <w:jc w:val="both"/>
        <w:rPr>
          <w:rFonts w:ascii="Arial" w:eastAsia="Arial" w:hAnsi="Arial" w:cs="Arial"/>
          <w:color w:val="000000"/>
          <w:sz w:val="24"/>
          <w:szCs w:val="24"/>
        </w:rPr>
      </w:pPr>
      <w:r w:rsidRPr="00101FAC">
        <w:rPr>
          <w:rFonts w:ascii="Arial" w:eastAsia="Arial" w:hAnsi="Arial" w:cs="Arial"/>
          <w:color w:val="000000"/>
          <w:sz w:val="24"/>
          <w:szCs w:val="24"/>
        </w:rPr>
        <w:t xml:space="preserve">Tasa de rechazo general a la entrevista, reportando por un lado el número de negativas a responder o abandono del informante sobre el total de intentos o </w:t>
      </w:r>
      <w:r w:rsidRPr="00101FAC">
        <w:rPr>
          <w:rFonts w:ascii="Arial" w:eastAsia="Arial" w:hAnsi="Arial" w:cs="Arial"/>
          <w:color w:val="000000"/>
          <w:sz w:val="24"/>
          <w:szCs w:val="24"/>
        </w:rPr>
        <w:lastRenderedPageBreak/>
        <w:t xml:space="preserve">personas contactadas, </w:t>
      </w:r>
      <w:proofErr w:type="gramStart"/>
      <w:r w:rsidRPr="00101FAC">
        <w:rPr>
          <w:rFonts w:ascii="Arial" w:eastAsia="Arial" w:hAnsi="Arial" w:cs="Arial"/>
          <w:color w:val="000000"/>
          <w:sz w:val="24"/>
          <w:szCs w:val="24"/>
        </w:rPr>
        <w:t>y</w:t>
      </w:r>
      <w:proofErr w:type="gramEnd"/>
      <w:r w:rsidRPr="00101FAC">
        <w:rPr>
          <w:rFonts w:ascii="Arial" w:eastAsia="Arial" w:hAnsi="Arial" w:cs="Arial"/>
          <w:color w:val="000000"/>
          <w:sz w:val="24"/>
          <w:szCs w:val="24"/>
        </w:rPr>
        <w:t xml:space="preserve"> por otro lado, el número de contactos no exitosos sobre el total de intentos del estudio.</w:t>
      </w:r>
    </w:p>
    <w:p w14:paraId="2B11FC29" w14:textId="348971CD" w:rsidR="00B14497" w:rsidRPr="00101FAC" w:rsidRDefault="000142EE" w:rsidP="00101FAC">
      <w:pPr>
        <w:pStyle w:val="Prrafodelista"/>
        <w:numPr>
          <w:ilvl w:val="2"/>
          <w:numId w:val="4"/>
        </w:numPr>
        <w:pBdr>
          <w:top w:val="nil"/>
          <w:left w:val="nil"/>
          <w:bottom w:val="nil"/>
          <w:right w:val="nil"/>
          <w:between w:val="nil"/>
        </w:pBdr>
        <w:shd w:val="clear" w:color="auto" w:fill="FFFFFF"/>
        <w:spacing w:after="160" w:line="360" w:lineRule="auto"/>
        <w:ind w:left="709"/>
        <w:jc w:val="both"/>
        <w:rPr>
          <w:rFonts w:ascii="Arial" w:eastAsia="Arial" w:hAnsi="Arial" w:cs="Arial"/>
          <w:color w:val="000000"/>
          <w:sz w:val="24"/>
          <w:szCs w:val="24"/>
        </w:rPr>
      </w:pPr>
      <w:r w:rsidRPr="00101FAC">
        <w:rPr>
          <w:rFonts w:ascii="Arial" w:eastAsia="Arial" w:hAnsi="Arial" w:cs="Arial"/>
          <w:color w:val="000000"/>
          <w:sz w:val="24"/>
          <w:szCs w:val="24"/>
        </w:rPr>
        <w:t>Método y fecha de recolección de la información.</w:t>
      </w:r>
    </w:p>
    <w:p w14:paraId="6C038DE1" w14:textId="3F0FED92" w:rsidR="00B14497" w:rsidRPr="00101FAC" w:rsidRDefault="000142EE" w:rsidP="00101FAC">
      <w:pPr>
        <w:pStyle w:val="Prrafodelista"/>
        <w:numPr>
          <w:ilvl w:val="2"/>
          <w:numId w:val="4"/>
        </w:numPr>
        <w:pBdr>
          <w:top w:val="nil"/>
          <w:left w:val="nil"/>
          <w:bottom w:val="nil"/>
          <w:right w:val="nil"/>
          <w:between w:val="nil"/>
        </w:pBdr>
        <w:shd w:val="clear" w:color="auto" w:fill="FFFFFF"/>
        <w:spacing w:after="160" w:line="360" w:lineRule="auto"/>
        <w:ind w:left="709"/>
        <w:jc w:val="both"/>
        <w:rPr>
          <w:rFonts w:ascii="Arial" w:eastAsia="Arial" w:hAnsi="Arial" w:cs="Arial"/>
          <w:color w:val="000000"/>
          <w:sz w:val="24"/>
          <w:szCs w:val="24"/>
        </w:rPr>
      </w:pPr>
      <w:r w:rsidRPr="00101FAC">
        <w:rPr>
          <w:rFonts w:ascii="Arial" w:eastAsia="Arial" w:hAnsi="Arial" w:cs="Arial"/>
          <w:color w:val="000000"/>
          <w:sz w:val="24"/>
          <w:szCs w:val="24"/>
        </w:rPr>
        <w:t>El cuestionario o instrumentos de captación utilizados para generar la información publicada.</w:t>
      </w:r>
    </w:p>
    <w:p w14:paraId="5F66DA89" w14:textId="0BB9A0AE" w:rsidR="00B14497" w:rsidRPr="00101FAC" w:rsidRDefault="000142EE" w:rsidP="00101FAC">
      <w:pPr>
        <w:pStyle w:val="Prrafodelista"/>
        <w:numPr>
          <w:ilvl w:val="2"/>
          <w:numId w:val="4"/>
        </w:numPr>
        <w:pBdr>
          <w:top w:val="nil"/>
          <w:left w:val="nil"/>
          <w:bottom w:val="nil"/>
          <w:right w:val="nil"/>
          <w:between w:val="nil"/>
        </w:pBdr>
        <w:shd w:val="clear" w:color="auto" w:fill="FFFFFF"/>
        <w:spacing w:after="160" w:line="360" w:lineRule="auto"/>
        <w:ind w:left="709"/>
        <w:jc w:val="both"/>
        <w:rPr>
          <w:rFonts w:ascii="Arial" w:eastAsia="Arial" w:hAnsi="Arial" w:cs="Arial"/>
          <w:color w:val="000000"/>
          <w:sz w:val="24"/>
          <w:szCs w:val="24"/>
        </w:rPr>
      </w:pPr>
      <w:r w:rsidRPr="00101FAC">
        <w:rPr>
          <w:rFonts w:ascii="Arial" w:eastAsia="Arial" w:hAnsi="Arial" w:cs="Arial"/>
          <w:color w:val="000000"/>
          <w:sz w:val="24"/>
          <w:szCs w:val="24"/>
        </w:rPr>
        <w:t>Forma de procesamiento, estimadores e intervalos de confianza.</w:t>
      </w:r>
    </w:p>
    <w:p w14:paraId="07DAA5E5" w14:textId="4A4807FB" w:rsidR="00B14497" w:rsidRPr="00101FAC" w:rsidRDefault="000142EE" w:rsidP="00101FAC">
      <w:pPr>
        <w:pStyle w:val="Prrafodelista"/>
        <w:numPr>
          <w:ilvl w:val="2"/>
          <w:numId w:val="4"/>
        </w:numPr>
        <w:pBdr>
          <w:top w:val="nil"/>
          <w:left w:val="nil"/>
          <w:bottom w:val="nil"/>
          <w:right w:val="nil"/>
          <w:between w:val="nil"/>
        </w:pBdr>
        <w:shd w:val="clear" w:color="auto" w:fill="FFFFFF"/>
        <w:spacing w:after="160" w:line="360" w:lineRule="auto"/>
        <w:ind w:left="709"/>
        <w:jc w:val="both"/>
        <w:rPr>
          <w:rFonts w:ascii="Arial" w:eastAsia="Arial" w:hAnsi="Arial" w:cs="Arial"/>
          <w:color w:val="000000"/>
          <w:sz w:val="24"/>
          <w:szCs w:val="24"/>
        </w:rPr>
      </w:pPr>
      <w:r w:rsidRPr="00101FAC">
        <w:rPr>
          <w:rFonts w:ascii="Arial" w:eastAsia="Arial" w:hAnsi="Arial" w:cs="Arial"/>
          <w:color w:val="000000"/>
          <w:sz w:val="24"/>
          <w:szCs w:val="24"/>
        </w:rPr>
        <w:t>Denominación del software utilizado para el procesamiento.</w:t>
      </w:r>
    </w:p>
    <w:p w14:paraId="6A1AF9C9" w14:textId="3AC7C2EA" w:rsidR="00B14497" w:rsidRPr="00101FAC" w:rsidRDefault="000142EE" w:rsidP="00101FAC">
      <w:pPr>
        <w:pStyle w:val="Prrafodelista"/>
        <w:numPr>
          <w:ilvl w:val="2"/>
          <w:numId w:val="4"/>
        </w:numPr>
        <w:pBdr>
          <w:top w:val="nil"/>
          <w:left w:val="nil"/>
          <w:bottom w:val="nil"/>
          <w:right w:val="nil"/>
          <w:between w:val="nil"/>
        </w:pBdr>
        <w:shd w:val="clear" w:color="auto" w:fill="FFFFFF"/>
        <w:spacing w:after="160" w:line="360" w:lineRule="auto"/>
        <w:ind w:left="709"/>
        <w:jc w:val="both"/>
        <w:rPr>
          <w:rFonts w:ascii="Arial" w:eastAsia="Arial" w:hAnsi="Arial" w:cs="Arial"/>
          <w:color w:val="000000"/>
          <w:sz w:val="24"/>
          <w:szCs w:val="24"/>
        </w:rPr>
      </w:pPr>
      <w:r w:rsidRPr="00101FAC">
        <w:rPr>
          <w:rFonts w:ascii="Arial" w:eastAsia="Arial" w:hAnsi="Arial" w:cs="Arial"/>
          <w:color w:val="000000"/>
          <w:sz w:val="24"/>
          <w:szCs w:val="24"/>
        </w:rPr>
        <w:t>La base de datos, en formato electrónico, sin contraseñas ni candados, en el archivo de origen (no PDF o imagen), que permita el manejo de sus datos.</w:t>
      </w:r>
    </w:p>
    <w:p w14:paraId="27ED8BAF" w14:textId="38734C84" w:rsidR="00B14497" w:rsidRPr="00101FAC" w:rsidRDefault="000142EE" w:rsidP="00101FAC">
      <w:pPr>
        <w:pStyle w:val="Prrafodelista"/>
        <w:numPr>
          <w:ilvl w:val="2"/>
          <w:numId w:val="4"/>
        </w:numPr>
        <w:pBdr>
          <w:top w:val="nil"/>
          <w:left w:val="nil"/>
          <w:bottom w:val="nil"/>
          <w:right w:val="nil"/>
          <w:between w:val="nil"/>
        </w:pBdr>
        <w:shd w:val="clear" w:color="auto" w:fill="FFFFFF"/>
        <w:spacing w:after="160" w:line="360" w:lineRule="auto"/>
        <w:ind w:left="709"/>
        <w:jc w:val="both"/>
        <w:rPr>
          <w:rFonts w:ascii="Arial" w:eastAsia="Arial" w:hAnsi="Arial" w:cs="Arial"/>
          <w:color w:val="000000"/>
          <w:sz w:val="24"/>
          <w:szCs w:val="24"/>
        </w:rPr>
      </w:pPr>
      <w:r w:rsidRPr="00101FAC">
        <w:rPr>
          <w:rFonts w:ascii="Arial" w:eastAsia="Arial" w:hAnsi="Arial" w:cs="Arial"/>
          <w:color w:val="000000"/>
          <w:sz w:val="24"/>
          <w:szCs w:val="24"/>
        </w:rPr>
        <w:t>Principales resultados, pudiendo especificar la preferencia de votación bruta y la efectiva. En todo caso, el reporte de resultados debe señalar si contiene estimaciones, modelo de votantes probables o cualquier otro parámetro que no consista en el mero cálculo de frecuencias relativas de las respuestas de la muestra estudiada para la encuesta.</w:t>
      </w:r>
    </w:p>
    <w:p w14:paraId="12F77CDC" w14:textId="77777777" w:rsidR="00101FAC" w:rsidRDefault="00101FAC" w:rsidP="00101FAC">
      <w:pPr>
        <w:pStyle w:val="Prrafodelista"/>
        <w:numPr>
          <w:ilvl w:val="2"/>
          <w:numId w:val="4"/>
        </w:numPr>
        <w:pBdr>
          <w:top w:val="nil"/>
          <w:left w:val="nil"/>
          <w:bottom w:val="nil"/>
          <w:right w:val="nil"/>
          <w:between w:val="nil"/>
        </w:pBdr>
        <w:shd w:val="clear" w:color="auto" w:fill="FFFFFF"/>
        <w:spacing w:after="160" w:line="360" w:lineRule="auto"/>
        <w:ind w:left="709"/>
        <w:jc w:val="both"/>
        <w:rPr>
          <w:rFonts w:ascii="Arial" w:eastAsia="Arial" w:hAnsi="Arial" w:cs="Arial"/>
          <w:color w:val="000000"/>
          <w:sz w:val="24"/>
          <w:szCs w:val="24"/>
        </w:rPr>
      </w:pPr>
      <w:r>
        <w:rPr>
          <w:rFonts w:ascii="Arial" w:eastAsia="Arial" w:hAnsi="Arial" w:cs="Arial"/>
          <w:color w:val="000000"/>
          <w:sz w:val="24"/>
          <w:szCs w:val="24"/>
        </w:rPr>
        <w:t xml:space="preserve"> </w:t>
      </w:r>
      <w:r w:rsidRPr="00101FAC">
        <w:rPr>
          <w:rFonts w:ascii="Arial" w:eastAsia="Arial" w:hAnsi="Arial" w:cs="Arial"/>
          <w:color w:val="000000"/>
          <w:sz w:val="24"/>
          <w:szCs w:val="24"/>
        </w:rPr>
        <w:t>Autoría y financiamiento. Los datos que permitan identificar fehacientemente la persona física o moral que ordenó, realizó, publicó y/o difundió los estudios, incluyendo nombre o denominación social, logotipo, domicilio, teléfono y correos electrónicos donde puedan responder requerimientos sobre los estudios mismos.</w:t>
      </w:r>
    </w:p>
    <w:p w14:paraId="2DF7DB18" w14:textId="539EED03" w:rsidR="00B14497" w:rsidRPr="00101FAC" w:rsidRDefault="000142EE" w:rsidP="00101FAC">
      <w:pPr>
        <w:pStyle w:val="Prrafodelista"/>
        <w:pBdr>
          <w:top w:val="nil"/>
          <w:left w:val="nil"/>
          <w:bottom w:val="nil"/>
          <w:right w:val="nil"/>
          <w:between w:val="nil"/>
        </w:pBdr>
        <w:shd w:val="clear" w:color="auto" w:fill="FFFFFF"/>
        <w:spacing w:after="160" w:line="360" w:lineRule="auto"/>
        <w:ind w:left="709"/>
        <w:jc w:val="both"/>
        <w:rPr>
          <w:rFonts w:ascii="Arial" w:eastAsia="Arial" w:hAnsi="Arial" w:cs="Arial"/>
          <w:color w:val="000000"/>
          <w:sz w:val="24"/>
          <w:szCs w:val="24"/>
        </w:rPr>
      </w:pPr>
      <w:r w:rsidRPr="00101FAC">
        <w:rPr>
          <w:rFonts w:ascii="Arial" w:eastAsia="Arial" w:hAnsi="Arial" w:cs="Arial"/>
          <w:color w:val="000000"/>
          <w:sz w:val="24"/>
          <w:szCs w:val="24"/>
        </w:rPr>
        <w:t>En específico deberá informar:</w:t>
      </w:r>
    </w:p>
    <w:p w14:paraId="189CF19A" w14:textId="055A625F" w:rsidR="00B14497" w:rsidRPr="00101FAC" w:rsidRDefault="000142EE" w:rsidP="00101FAC">
      <w:pPr>
        <w:pStyle w:val="Prrafodelista"/>
        <w:numPr>
          <w:ilvl w:val="3"/>
          <w:numId w:val="16"/>
        </w:numPr>
        <w:pBdr>
          <w:top w:val="nil"/>
          <w:left w:val="nil"/>
          <w:bottom w:val="nil"/>
          <w:right w:val="nil"/>
          <w:between w:val="nil"/>
        </w:pBdr>
        <w:shd w:val="clear" w:color="auto" w:fill="FFFFFF"/>
        <w:spacing w:after="160" w:line="360" w:lineRule="auto"/>
        <w:ind w:left="1134"/>
        <w:jc w:val="both"/>
        <w:rPr>
          <w:rFonts w:ascii="Arial" w:eastAsia="Arial" w:hAnsi="Arial" w:cs="Arial"/>
          <w:color w:val="000000"/>
          <w:sz w:val="24"/>
          <w:szCs w:val="24"/>
        </w:rPr>
      </w:pPr>
      <w:r w:rsidRPr="00101FAC">
        <w:rPr>
          <w:rFonts w:ascii="Arial" w:eastAsia="Arial" w:hAnsi="Arial" w:cs="Arial"/>
          <w:color w:val="000000"/>
          <w:sz w:val="24"/>
          <w:szCs w:val="24"/>
        </w:rPr>
        <w:t>La o las personas físicas o morales que patrocinaron o pagaron la encuesta o sondeo,</w:t>
      </w:r>
    </w:p>
    <w:p w14:paraId="57ED582B" w14:textId="11B3DC60" w:rsidR="00B14497" w:rsidRPr="00101FAC" w:rsidRDefault="000142EE" w:rsidP="00101FAC">
      <w:pPr>
        <w:pStyle w:val="Prrafodelista"/>
        <w:numPr>
          <w:ilvl w:val="3"/>
          <w:numId w:val="16"/>
        </w:numPr>
        <w:pBdr>
          <w:top w:val="nil"/>
          <w:left w:val="nil"/>
          <w:bottom w:val="nil"/>
          <w:right w:val="nil"/>
          <w:between w:val="nil"/>
        </w:pBdr>
        <w:shd w:val="clear" w:color="auto" w:fill="FFFFFF"/>
        <w:spacing w:after="160" w:line="360" w:lineRule="auto"/>
        <w:ind w:left="1134"/>
        <w:jc w:val="both"/>
        <w:rPr>
          <w:rFonts w:ascii="Arial" w:eastAsia="Arial" w:hAnsi="Arial" w:cs="Arial"/>
          <w:color w:val="000000"/>
          <w:sz w:val="24"/>
          <w:szCs w:val="24"/>
        </w:rPr>
      </w:pPr>
      <w:r w:rsidRPr="00101FAC">
        <w:rPr>
          <w:rFonts w:ascii="Arial" w:eastAsia="Arial" w:hAnsi="Arial" w:cs="Arial"/>
          <w:color w:val="000000"/>
          <w:sz w:val="24"/>
          <w:szCs w:val="24"/>
        </w:rPr>
        <w:t>La o las personas físicas o morales que diseñaron y llevaron a cabo la encuesta o sondeo, y</w:t>
      </w:r>
    </w:p>
    <w:p w14:paraId="475C3E71" w14:textId="2A021795" w:rsidR="00B14497" w:rsidRPr="00101FAC" w:rsidRDefault="000142EE" w:rsidP="00101FAC">
      <w:pPr>
        <w:pStyle w:val="Prrafodelista"/>
        <w:numPr>
          <w:ilvl w:val="3"/>
          <w:numId w:val="16"/>
        </w:numPr>
        <w:pBdr>
          <w:top w:val="nil"/>
          <w:left w:val="nil"/>
          <w:bottom w:val="nil"/>
          <w:right w:val="nil"/>
          <w:between w:val="nil"/>
        </w:pBdr>
        <w:shd w:val="clear" w:color="auto" w:fill="FFFFFF"/>
        <w:spacing w:after="160" w:line="360" w:lineRule="auto"/>
        <w:ind w:left="1134"/>
        <w:jc w:val="both"/>
        <w:rPr>
          <w:rFonts w:ascii="Arial" w:eastAsia="Arial" w:hAnsi="Arial" w:cs="Arial"/>
          <w:color w:val="000000"/>
          <w:sz w:val="24"/>
          <w:szCs w:val="24"/>
        </w:rPr>
      </w:pPr>
      <w:r w:rsidRPr="00101FAC">
        <w:rPr>
          <w:rFonts w:ascii="Arial" w:eastAsia="Arial" w:hAnsi="Arial" w:cs="Arial"/>
          <w:color w:val="000000"/>
          <w:sz w:val="24"/>
          <w:szCs w:val="24"/>
        </w:rPr>
        <w:t>La o las personas físicas o morales que solicitaron, ordenaron y/ pagaron su publicación o difusión.</w:t>
      </w:r>
    </w:p>
    <w:p w14:paraId="38D44034" w14:textId="0B038E16" w:rsidR="00B14497" w:rsidRPr="00101FAC" w:rsidRDefault="000142EE" w:rsidP="00101FAC">
      <w:pPr>
        <w:pStyle w:val="Prrafodelista"/>
        <w:numPr>
          <w:ilvl w:val="2"/>
          <w:numId w:val="4"/>
        </w:numPr>
        <w:pBdr>
          <w:top w:val="nil"/>
          <w:left w:val="nil"/>
          <w:bottom w:val="nil"/>
          <w:right w:val="nil"/>
          <w:between w:val="nil"/>
        </w:pBdr>
        <w:shd w:val="clear" w:color="auto" w:fill="FFFFFF"/>
        <w:spacing w:after="160" w:line="360" w:lineRule="auto"/>
        <w:ind w:left="709"/>
        <w:jc w:val="both"/>
        <w:rPr>
          <w:rFonts w:ascii="Arial" w:eastAsia="Arial" w:hAnsi="Arial" w:cs="Arial"/>
          <w:color w:val="000000"/>
          <w:sz w:val="24"/>
          <w:szCs w:val="24"/>
        </w:rPr>
      </w:pPr>
      <w:r w:rsidRPr="00101FAC">
        <w:rPr>
          <w:rFonts w:ascii="Arial" w:eastAsia="Arial" w:hAnsi="Arial" w:cs="Arial"/>
          <w:color w:val="000000"/>
          <w:sz w:val="24"/>
          <w:szCs w:val="24"/>
        </w:rPr>
        <w:t>Recursos económicos/financieros aplicados. Un informe sobre los recursos aplicados en la realización de la encuesta o sondeo de opinión, acompañado de la factura que respalda la contratación de la realización de dicha encuesta o sondeo de opinión (incluyendo el nombre de la persona física o moral que contrató el estudio), y explicitando el monto y proporción que hubiese sido efectivamente cubierto al momento de la publicación. En los casos en que sea la misma persona física o moral quien realice y publique la encuesta, ésta deberá presentar un informe del costo total del estudio realizado.</w:t>
      </w:r>
    </w:p>
    <w:p w14:paraId="41AFEBD9" w14:textId="3891EEE5" w:rsidR="00B14497" w:rsidRPr="00101FAC" w:rsidRDefault="000142EE" w:rsidP="00101FAC">
      <w:pPr>
        <w:pStyle w:val="Prrafodelista"/>
        <w:numPr>
          <w:ilvl w:val="2"/>
          <w:numId w:val="4"/>
        </w:numPr>
        <w:pBdr>
          <w:top w:val="nil"/>
          <w:left w:val="nil"/>
          <w:bottom w:val="nil"/>
          <w:right w:val="nil"/>
          <w:between w:val="nil"/>
        </w:pBdr>
        <w:shd w:val="clear" w:color="auto" w:fill="FFFFFF"/>
        <w:spacing w:after="160" w:line="360" w:lineRule="auto"/>
        <w:ind w:left="709"/>
        <w:jc w:val="both"/>
        <w:rPr>
          <w:rFonts w:ascii="Arial" w:eastAsia="Arial" w:hAnsi="Arial" w:cs="Arial"/>
          <w:color w:val="000000"/>
          <w:sz w:val="24"/>
          <w:szCs w:val="24"/>
        </w:rPr>
      </w:pPr>
      <w:r w:rsidRPr="00101FAC">
        <w:rPr>
          <w:rFonts w:ascii="Arial" w:eastAsia="Arial" w:hAnsi="Arial" w:cs="Arial"/>
          <w:color w:val="000000"/>
          <w:sz w:val="24"/>
          <w:szCs w:val="24"/>
        </w:rPr>
        <w:t>Experiencia profesional y formación académica. La documentación que pruebe, en su caso, la pertenencia a asociaciones nacionales o internacionales del gremio de la opinión pública de la persona que realizó la encuesta. Además, se deberá incluir documentación que muestre la formación académica y experiencia profesional del director de la organización que lleve a cabo la encuesta o del responsable de la misma.</w:t>
      </w:r>
    </w:p>
    <w:p w14:paraId="14F7BF53" w14:textId="77777777" w:rsidR="00B14497" w:rsidRDefault="000142EE">
      <w:pPr>
        <w:spacing w:line="360" w:lineRule="auto"/>
        <w:jc w:val="both"/>
        <w:rPr>
          <w:rFonts w:ascii="Arial" w:eastAsia="Arial" w:hAnsi="Arial" w:cs="Arial"/>
          <w:color w:val="000000"/>
          <w:sz w:val="24"/>
          <w:szCs w:val="24"/>
        </w:rPr>
      </w:pPr>
      <w:r>
        <w:rPr>
          <w:rFonts w:ascii="Arial" w:eastAsia="Arial" w:hAnsi="Arial" w:cs="Arial"/>
          <w:sz w:val="24"/>
          <w:szCs w:val="24"/>
        </w:rPr>
        <w:lastRenderedPageBreak/>
        <w:t>Ahora bien</w:t>
      </w:r>
      <w:r>
        <w:rPr>
          <w:rFonts w:ascii="Arial" w:eastAsia="Arial" w:hAnsi="Arial" w:cs="Arial"/>
          <w:color w:val="000000"/>
          <w:sz w:val="24"/>
          <w:szCs w:val="24"/>
        </w:rPr>
        <w:t xml:space="preserve">, el artículo 136, párrafo sexto, del </w:t>
      </w:r>
      <w:r>
        <w:rPr>
          <w:rFonts w:ascii="Arial" w:eastAsia="Arial" w:hAnsi="Arial" w:cs="Arial"/>
          <w:sz w:val="24"/>
          <w:szCs w:val="24"/>
        </w:rPr>
        <w:t>R</w:t>
      </w:r>
      <w:r>
        <w:rPr>
          <w:rFonts w:ascii="Arial" w:eastAsia="Arial" w:hAnsi="Arial" w:cs="Arial"/>
          <w:color w:val="000000"/>
          <w:sz w:val="24"/>
          <w:szCs w:val="24"/>
        </w:rPr>
        <w:t xml:space="preserve">eglamento de </w:t>
      </w:r>
      <w:r>
        <w:rPr>
          <w:rFonts w:ascii="Arial" w:eastAsia="Arial" w:hAnsi="Arial" w:cs="Arial"/>
          <w:sz w:val="24"/>
          <w:szCs w:val="24"/>
        </w:rPr>
        <w:t>E</w:t>
      </w:r>
      <w:r>
        <w:rPr>
          <w:rFonts w:ascii="Arial" w:eastAsia="Arial" w:hAnsi="Arial" w:cs="Arial"/>
          <w:color w:val="000000"/>
          <w:sz w:val="24"/>
          <w:szCs w:val="24"/>
        </w:rPr>
        <w:t>lecciones prevé que</w:t>
      </w:r>
      <w:r>
        <w:rPr>
          <w:rFonts w:ascii="Arial" w:eastAsia="Arial" w:hAnsi="Arial" w:cs="Arial"/>
          <w:b/>
          <w:color w:val="000000"/>
          <w:sz w:val="24"/>
          <w:szCs w:val="24"/>
        </w:rPr>
        <w:t xml:space="preserve"> toda la publicación en donde se </w:t>
      </w:r>
      <w:r>
        <w:rPr>
          <w:rFonts w:ascii="Arial" w:eastAsia="Arial" w:hAnsi="Arial" w:cs="Arial"/>
          <w:b/>
          <w:sz w:val="24"/>
          <w:szCs w:val="24"/>
        </w:rPr>
        <w:t>dé a</w:t>
      </w:r>
      <w:r>
        <w:rPr>
          <w:rFonts w:ascii="Arial" w:eastAsia="Arial" w:hAnsi="Arial" w:cs="Arial"/>
          <w:b/>
          <w:color w:val="000000"/>
          <w:sz w:val="24"/>
          <w:szCs w:val="24"/>
        </w:rPr>
        <w:t xml:space="preserve"> conocer </w:t>
      </w:r>
      <w:r>
        <w:rPr>
          <w:rFonts w:ascii="Arial" w:eastAsia="Arial" w:hAnsi="Arial" w:cs="Arial"/>
          <w:b/>
          <w:color w:val="000000"/>
          <w:sz w:val="24"/>
          <w:szCs w:val="24"/>
          <w:u w:val="single"/>
        </w:rPr>
        <w:t>de forma original</w:t>
      </w:r>
      <w:r>
        <w:rPr>
          <w:rFonts w:ascii="Arial" w:eastAsia="Arial" w:hAnsi="Arial" w:cs="Arial"/>
          <w:b/>
          <w:color w:val="000000"/>
          <w:sz w:val="24"/>
          <w:szCs w:val="24"/>
        </w:rPr>
        <w:t xml:space="preserve"> los resultados de encuestas </w:t>
      </w:r>
      <w:r>
        <w:rPr>
          <w:rFonts w:ascii="Arial" w:eastAsia="Arial" w:hAnsi="Arial" w:cs="Arial"/>
          <w:color w:val="000000"/>
          <w:sz w:val="24"/>
          <w:szCs w:val="24"/>
        </w:rPr>
        <w:t xml:space="preserve">por muestreo o sondeos de opinión con el objetivo de dar a conocer preferencias electorales o tendencias de la votación, deberá identificar y diferenciar en la publicación misma, a los actores siguientes: </w:t>
      </w:r>
    </w:p>
    <w:p w14:paraId="7F737E4F" w14:textId="098D0CFF" w:rsidR="00B14497" w:rsidRPr="00101FAC" w:rsidRDefault="000142EE" w:rsidP="00101FAC">
      <w:pPr>
        <w:pStyle w:val="Prrafodelista"/>
        <w:numPr>
          <w:ilvl w:val="3"/>
          <w:numId w:val="17"/>
        </w:numPr>
        <w:pBdr>
          <w:top w:val="nil"/>
          <w:left w:val="nil"/>
          <w:bottom w:val="nil"/>
          <w:right w:val="nil"/>
          <w:between w:val="nil"/>
        </w:pBdr>
        <w:shd w:val="clear" w:color="auto" w:fill="FFFFFF"/>
        <w:spacing w:line="360" w:lineRule="auto"/>
        <w:ind w:left="426"/>
        <w:jc w:val="both"/>
        <w:rPr>
          <w:rFonts w:ascii="Arial" w:eastAsia="Arial" w:hAnsi="Arial" w:cs="Arial"/>
          <w:color w:val="000000"/>
          <w:sz w:val="24"/>
          <w:szCs w:val="24"/>
        </w:rPr>
      </w:pPr>
      <w:r w:rsidRPr="00101FAC">
        <w:rPr>
          <w:rFonts w:ascii="Arial" w:eastAsia="Arial" w:hAnsi="Arial" w:cs="Arial"/>
          <w:color w:val="000000"/>
          <w:sz w:val="24"/>
          <w:szCs w:val="24"/>
        </w:rPr>
        <w:t>Nombre completo, denominación social y logotipo de la persona física o moral que:</w:t>
      </w:r>
    </w:p>
    <w:p w14:paraId="0CC18E85" w14:textId="70B42743" w:rsidR="00B14497" w:rsidRPr="00101FAC" w:rsidRDefault="000142EE" w:rsidP="00101FAC">
      <w:pPr>
        <w:pStyle w:val="Prrafodelista"/>
        <w:numPr>
          <w:ilvl w:val="1"/>
          <w:numId w:val="21"/>
        </w:numPr>
        <w:pBdr>
          <w:top w:val="nil"/>
          <w:left w:val="nil"/>
          <w:bottom w:val="nil"/>
          <w:right w:val="nil"/>
          <w:between w:val="nil"/>
        </w:pBdr>
        <w:shd w:val="clear" w:color="auto" w:fill="FFFFFF"/>
        <w:spacing w:line="360" w:lineRule="auto"/>
        <w:ind w:left="851"/>
        <w:jc w:val="both"/>
        <w:rPr>
          <w:rFonts w:ascii="Arial" w:eastAsia="Arial" w:hAnsi="Arial" w:cs="Arial"/>
          <w:color w:val="000000"/>
          <w:sz w:val="24"/>
          <w:szCs w:val="24"/>
        </w:rPr>
      </w:pPr>
      <w:r w:rsidRPr="00101FAC">
        <w:rPr>
          <w:rFonts w:ascii="Arial" w:eastAsia="Arial" w:hAnsi="Arial" w:cs="Arial"/>
          <w:color w:val="000000"/>
          <w:sz w:val="24"/>
          <w:szCs w:val="24"/>
        </w:rPr>
        <w:t>Patrocinó o pagó la encuesta o sondeo;</w:t>
      </w:r>
    </w:p>
    <w:p w14:paraId="7885347E" w14:textId="6EF102D1" w:rsidR="00B14497" w:rsidRPr="00101FAC" w:rsidRDefault="000142EE" w:rsidP="00101FAC">
      <w:pPr>
        <w:pStyle w:val="Prrafodelista"/>
        <w:numPr>
          <w:ilvl w:val="1"/>
          <w:numId w:val="21"/>
        </w:numPr>
        <w:pBdr>
          <w:top w:val="nil"/>
          <w:left w:val="nil"/>
          <w:bottom w:val="nil"/>
          <w:right w:val="nil"/>
          <w:between w:val="nil"/>
        </w:pBdr>
        <w:shd w:val="clear" w:color="auto" w:fill="FFFFFF"/>
        <w:spacing w:line="360" w:lineRule="auto"/>
        <w:ind w:left="851"/>
        <w:jc w:val="both"/>
        <w:rPr>
          <w:rFonts w:ascii="Arial" w:eastAsia="Arial" w:hAnsi="Arial" w:cs="Arial"/>
          <w:color w:val="000000"/>
          <w:sz w:val="24"/>
          <w:szCs w:val="24"/>
        </w:rPr>
      </w:pPr>
      <w:r w:rsidRPr="00101FAC">
        <w:rPr>
          <w:rFonts w:ascii="Arial" w:eastAsia="Arial" w:hAnsi="Arial" w:cs="Arial"/>
          <w:color w:val="000000"/>
          <w:sz w:val="24"/>
          <w:szCs w:val="24"/>
        </w:rPr>
        <w:t>Llevó a cabo la encuesta o sondeo, y</w:t>
      </w:r>
    </w:p>
    <w:p w14:paraId="293BBE1C" w14:textId="2111B256" w:rsidR="00B14497" w:rsidRPr="00101FAC" w:rsidRDefault="000142EE" w:rsidP="00101FAC">
      <w:pPr>
        <w:pStyle w:val="Prrafodelista"/>
        <w:numPr>
          <w:ilvl w:val="1"/>
          <w:numId w:val="21"/>
        </w:numPr>
        <w:pBdr>
          <w:top w:val="nil"/>
          <w:left w:val="nil"/>
          <w:bottom w:val="nil"/>
          <w:right w:val="nil"/>
          <w:between w:val="nil"/>
        </w:pBdr>
        <w:shd w:val="clear" w:color="auto" w:fill="FFFFFF"/>
        <w:spacing w:line="360" w:lineRule="auto"/>
        <w:ind w:left="851"/>
        <w:jc w:val="both"/>
        <w:rPr>
          <w:rFonts w:ascii="Arial" w:eastAsia="Arial" w:hAnsi="Arial" w:cs="Arial"/>
          <w:color w:val="000000"/>
          <w:sz w:val="24"/>
          <w:szCs w:val="24"/>
        </w:rPr>
      </w:pPr>
      <w:r w:rsidRPr="00101FAC">
        <w:rPr>
          <w:rFonts w:ascii="Arial" w:eastAsia="Arial" w:hAnsi="Arial" w:cs="Arial"/>
          <w:color w:val="000000"/>
          <w:sz w:val="24"/>
          <w:szCs w:val="24"/>
        </w:rPr>
        <w:t>Solicitó, ordenó o pagó su publicación o difusión</w:t>
      </w:r>
    </w:p>
    <w:p w14:paraId="73F90738" w14:textId="77777777" w:rsidR="00B14497" w:rsidRDefault="00B14497" w:rsidP="00101FAC">
      <w:pPr>
        <w:pStyle w:val="Sinespaciado"/>
        <w:rPr>
          <w:rFonts w:eastAsia="Arial"/>
        </w:rPr>
      </w:pPr>
    </w:p>
    <w:p w14:paraId="3396E163" w14:textId="77777777" w:rsidR="00B14497" w:rsidRDefault="000142EE">
      <w:pPr>
        <w:spacing w:line="360" w:lineRule="auto"/>
        <w:jc w:val="both"/>
        <w:rPr>
          <w:rFonts w:ascii="Arial" w:eastAsia="Arial" w:hAnsi="Arial" w:cs="Arial"/>
          <w:color w:val="000000"/>
          <w:sz w:val="24"/>
          <w:szCs w:val="24"/>
        </w:rPr>
      </w:pPr>
      <w:r>
        <w:rPr>
          <w:rFonts w:ascii="Arial" w:eastAsia="Arial" w:hAnsi="Arial" w:cs="Arial"/>
          <w:color w:val="000000"/>
          <w:sz w:val="24"/>
          <w:szCs w:val="24"/>
        </w:rPr>
        <w:t>Además, en el párrafo 7</w:t>
      </w:r>
      <w:r>
        <w:rPr>
          <w:rFonts w:ascii="Arial" w:eastAsia="Arial" w:hAnsi="Arial" w:cs="Arial"/>
          <w:sz w:val="24"/>
          <w:szCs w:val="24"/>
        </w:rPr>
        <w:t xml:space="preserve">, </w:t>
      </w:r>
      <w:r>
        <w:rPr>
          <w:rFonts w:ascii="Arial" w:eastAsia="Arial" w:hAnsi="Arial" w:cs="Arial"/>
          <w:color w:val="000000"/>
          <w:sz w:val="24"/>
          <w:szCs w:val="24"/>
        </w:rPr>
        <w:t xml:space="preserve">señala que los resultados de encuestas por muestreo </w:t>
      </w:r>
      <w:r>
        <w:rPr>
          <w:rFonts w:ascii="Arial" w:eastAsia="Arial" w:hAnsi="Arial" w:cs="Arial"/>
          <w:sz w:val="24"/>
          <w:szCs w:val="24"/>
        </w:rPr>
        <w:t xml:space="preserve">o sondeo de </w:t>
      </w:r>
      <w:r>
        <w:rPr>
          <w:rFonts w:ascii="Arial" w:eastAsia="Arial" w:hAnsi="Arial" w:cs="Arial"/>
          <w:color w:val="000000"/>
          <w:sz w:val="24"/>
          <w:szCs w:val="24"/>
        </w:rPr>
        <w:t xml:space="preserve">opinión que se publiquen por cualquier medio deberán especificar en la publicación misma información siguiente: </w:t>
      </w:r>
    </w:p>
    <w:p w14:paraId="3E515820" w14:textId="02BE045D" w:rsidR="00B14497" w:rsidRPr="00101FAC" w:rsidRDefault="000142EE" w:rsidP="00101FAC">
      <w:pPr>
        <w:pStyle w:val="Prrafodelista"/>
        <w:numPr>
          <w:ilvl w:val="3"/>
          <w:numId w:val="23"/>
        </w:numPr>
        <w:pBdr>
          <w:top w:val="nil"/>
          <w:left w:val="nil"/>
          <w:bottom w:val="nil"/>
          <w:right w:val="nil"/>
          <w:between w:val="nil"/>
        </w:pBdr>
        <w:shd w:val="clear" w:color="auto" w:fill="FFFFFF"/>
        <w:spacing w:line="360" w:lineRule="auto"/>
        <w:ind w:left="426"/>
        <w:jc w:val="both"/>
        <w:rPr>
          <w:rFonts w:ascii="Arial" w:eastAsia="Arial" w:hAnsi="Arial" w:cs="Arial"/>
          <w:color w:val="000000"/>
          <w:sz w:val="24"/>
          <w:szCs w:val="24"/>
        </w:rPr>
      </w:pPr>
      <w:r w:rsidRPr="00101FAC">
        <w:rPr>
          <w:rFonts w:ascii="Arial" w:eastAsia="Arial" w:hAnsi="Arial" w:cs="Arial"/>
          <w:color w:val="000000"/>
          <w:sz w:val="24"/>
          <w:szCs w:val="24"/>
        </w:rPr>
        <w:t>Las fechas en que se llevó a cabo el levantamiento de la información;</w:t>
      </w:r>
    </w:p>
    <w:p w14:paraId="51AE9033" w14:textId="1FE29AFF" w:rsidR="00B14497" w:rsidRPr="00101FAC" w:rsidRDefault="000142EE" w:rsidP="00101FAC">
      <w:pPr>
        <w:pStyle w:val="Prrafodelista"/>
        <w:numPr>
          <w:ilvl w:val="3"/>
          <w:numId w:val="23"/>
        </w:numPr>
        <w:pBdr>
          <w:top w:val="nil"/>
          <w:left w:val="nil"/>
          <w:bottom w:val="nil"/>
          <w:right w:val="nil"/>
          <w:between w:val="nil"/>
        </w:pBdr>
        <w:shd w:val="clear" w:color="auto" w:fill="FFFFFF"/>
        <w:spacing w:line="360" w:lineRule="auto"/>
        <w:ind w:left="426"/>
        <w:jc w:val="both"/>
        <w:rPr>
          <w:rFonts w:ascii="Arial" w:eastAsia="Arial" w:hAnsi="Arial" w:cs="Arial"/>
          <w:color w:val="000000"/>
          <w:sz w:val="24"/>
          <w:szCs w:val="24"/>
        </w:rPr>
      </w:pPr>
      <w:r w:rsidRPr="00101FAC">
        <w:rPr>
          <w:rFonts w:ascii="Arial" w:eastAsia="Arial" w:hAnsi="Arial" w:cs="Arial"/>
          <w:color w:val="000000"/>
          <w:sz w:val="24"/>
          <w:szCs w:val="24"/>
        </w:rPr>
        <w:t>La población objetivo y el tamaño de la muestra;</w:t>
      </w:r>
    </w:p>
    <w:p w14:paraId="30DEE6CB" w14:textId="335AE3E3" w:rsidR="00B14497" w:rsidRPr="00101FAC" w:rsidRDefault="000142EE" w:rsidP="00101FAC">
      <w:pPr>
        <w:pStyle w:val="Prrafodelista"/>
        <w:numPr>
          <w:ilvl w:val="3"/>
          <w:numId w:val="23"/>
        </w:numPr>
        <w:pBdr>
          <w:top w:val="nil"/>
          <w:left w:val="nil"/>
          <w:bottom w:val="nil"/>
          <w:right w:val="nil"/>
          <w:between w:val="nil"/>
        </w:pBdr>
        <w:shd w:val="clear" w:color="auto" w:fill="FFFFFF"/>
        <w:spacing w:line="360" w:lineRule="auto"/>
        <w:ind w:left="426"/>
        <w:jc w:val="both"/>
        <w:rPr>
          <w:rFonts w:ascii="Arial" w:eastAsia="Arial" w:hAnsi="Arial" w:cs="Arial"/>
          <w:color w:val="000000"/>
          <w:sz w:val="24"/>
          <w:szCs w:val="24"/>
        </w:rPr>
      </w:pPr>
      <w:r w:rsidRPr="00101FAC">
        <w:rPr>
          <w:rFonts w:ascii="Arial" w:eastAsia="Arial" w:hAnsi="Arial" w:cs="Arial"/>
          <w:color w:val="000000"/>
          <w:sz w:val="24"/>
          <w:szCs w:val="24"/>
        </w:rPr>
        <w:t>El fraseo exacto que se utilizó para obtener los resultados publicados, es decir, las preguntas de la encuesta;</w:t>
      </w:r>
    </w:p>
    <w:p w14:paraId="7248D3A8" w14:textId="06BCAE7E" w:rsidR="00B14497" w:rsidRPr="00101FAC" w:rsidRDefault="000142EE" w:rsidP="00101FAC">
      <w:pPr>
        <w:pStyle w:val="Prrafodelista"/>
        <w:numPr>
          <w:ilvl w:val="3"/>
          <w:numId w:val="23"/>
        </w:numPr>
        <w:pBdr>
          <w:top w:val="nil"/>
          <w:left w:val="nil"/>
          <w:bottom w:val="nil"/>
          <w:right w:val="nil"/>
          <w:between w:val="nil"/>
        </w:pBdr>
        <w:shd w:val="clear" w:color="auto" w:fill="FFFFFF"/>
        <w:spacing w:line="360" w:lineRule="auto"/>
        <w:ind w:left="426"/>
        <w:jc w:val="both"/>
        <w:rPr>
          <w:rFonts w:ascii="Arial" w:eastAsia="Arial" w:hAnsi="Arial" w:cs="Arial"/>
          <w:color w:val="000000"/>
          <w:sz w:val="24"/>
          <w:szCs w:val="24"/>
        </w:rPr>
      </w:pPr>
      <w:r w:rsidRPr="00101FAC">
        <w:rPr>
          <w:rFonts w:ascii="Arial" w:eastAsia="Arial" w:hAnsi="Arial" w:cs="Arial"/>
          <w:color w:val="000000"/>
          <w:sz w:val="24"/>
          <w:szCs w:val="24"/>
        </w:rPr>
        <w:t>La frecuencia de no respuesta y la tasa de rechazo general a la entrevista;</w:t>
      </w:r>
    </w:p>
    <w:p w14:paraId="6EECD308" w14:textId="3293F0E3" w:rsidR="00B14497" w:rsidRPr="00101FAC" w:rsidRDefault="000142EE" w:rsidP="00101FAC">
      <w:pPr>
        <w:pStyle w:val="Prrafodelista"/>
        <w:numPr>
          <w:ilvl w:val="3"/>
          <w:numId w:val="23"/>
        </w:numPr>
        <w:pBdr>
          <w:top w:val="nil"/>
          <w:left w:val="nil"/>
          <w:bottom w:val="nil"/>
          <w:right w:val="nil"/>
          <w:between w:val="nil"/>
        </w:pBdr>
        <w:shd w:val="clear" w:color="auto" w:fill="FFFFFF"/>
        <w:spacing w:line="360" w:lineRule="auto"/>
        <w:ind w:left="426"/>
        <w:jc w:val="both"/>
        <w:rPr>
          <w:rFonts w:ascii="Arial" w:eastAsia="Arial" w:hAnsi="Arial" w:cs="Arial"/>
          <w:color w:val="000000"/>
          <w:sz w:val="24"/>
          <w:szCs w:val="24"/>
        </w:rPr>
      </w:pPr>
      <w:r w:rsidRPr="00101FAC">
        <w:rPr>
          <w:rFonts w:ascii="Arial" w:eastAsia="Arial" w:hAnsi="Arial" w:cs="Arial"/>
          <w:color w:val="000000"/>
          <w:sz w:val="24"/>
          <w:szCs w:val="24"/>
        </w:rPr>
        <w:t>Señalar si el reporte de resultados contiene estimaciones de resultados, modelo de probables votantes o cualquier otro parámetro que no consista en el mero cálculo de frecuencias relativas de las respuestas de la muestra estudiada para la encuesta;</w:t>
      </w:r>
    </w:p>
    <w:p w14:paraId="0E68D59E" w14:textId="14166356" w:rsidR="00B14497" w:rsidRPr="00101FAC" w:rsidRDefault="000142EE" w:rsidP="00101FAC">
      <w:pPr>
        <w:pStyle w:val="Prrafodelista"/>
        <w:numPr>
          <w:ilvl w:val="3"/>
          <w:numId w:val="23"/>
        </w:numPr>
        <w:pBdr>
          <w:top w:val="nil"/>
          <w:left w:val="nil"/>
          <w:bottom w:val="nil"/>
          <w:right w:val="nil"/>
          <w:between w:val="nil"/>
        </w:pBdr>
        <w:shd w:val="clear" w:color="auto" w:fill="FFFFFF"/>
        <w:spacing w:line="360" w:lineRule="auto"/>
        <w:ind w:left="426"/>
        <w:jc w:val="both"/>
        <w:rPr>
          <w:rFonts w:ascii="Arial" w:eastAsia="Arial" w:hAnsi="Arial" w:cs="Arial"/>
          <w:color w:val="000000"/>
          <w:sz w:val="24"/>
          <w:szCs w:val="24"/>
        </w:rPr>
      </w:pPr>
      <w:r w:rsidRPr="00101FAC">
        <w:rPr>
          <w:rFonts w:ascii="Arial" w:eastAsia="Arial" w:hAnsi="Arial" w:cs="Arial"/>
          <w:color w:val="000000"/>
          <w:sz w:val="24"/>
          <w:szCs w:val="24"/>
        </w:rPr>
        <w:t>Indicar clara y explícitamente el método de recolección de la información, esto es, si se realizó mediante entrevistas directas en vivienda o a través de otro mecanismo, o bien, si se utilizó un esquema mixto, y</w:t>
      </w:r>
    </w:p>
    <w:p w14:paraId="66D7BDAD" w14:textId="0F057598" w:rsidR="00B14497" w:rsidRPr="00101FAC" w:rsidRDefault="000142EE" w:rsidP="00101FAC">
      <w:pPr>
        <w:pStyle w:val="Prrafodelista"/>
        <w:numPr>
          <w:ilvl w:val="3"/>
          <w:numId w:val="23"/>
        </w:numPr>
        <w:pBdr>
          <w:top w:val="nil"/>
          <w:left w:val="nil"/>
          <w:bottom w:val="nil"/>
          <w:right w:val="nil"/>
          <w:between w:val="nil"/>
        </w:pBdr>
        <w:shd w:val="clear" w:color="auto" w:fill="FFFFFF"/>
        <w:spacing w:line="360" w:lineRule="auto"/>
        <w:ind w:left="426"/>
        <w:jc w:val="both"/>
        <w:rPr>
          <w:rFonts w:ascii="Arial" w:eastAsia="Arial" w:hAnsi="Arial" w:cs="Arial"/>
          <w:color w:val="000000"/>
          <w:sz w:val="24"/>
          <w:szCs w:val="24"/>
        </w:rPr>
      </w:pPr>
      <w:r w:rsidRPr="00101FAC">
        <w:rPr>
          <w:rFonts w:ascii="Arial" w:eastAsia="Arial" w:hAnsi="Arial" w:cs="Arial"/>
          <w:color w:val="000000"/>
          <w:sz w:val="24"/>
          <w:szCs w:val="24"/>
        </w:rPr>
        <w:t>La calidad de la estimación: confianza y error máximo implícito en la muestra</w:t>
      </w:r>
    </w:p>
    <w:p w14:paraId="7D948749" w14:textId="77777777" w:rsidR="00B14497" w:rsidRDefault="00B14497" w:rsidP="00101FAC">
      <w:pPr>
        <w:pStyle w:val="Sinespaciado"/>
        <w:rPr>
          <w:rFonts w:eastAsia="Arial"/>
        </w:rPr>
      </w:pPr>
    </w:p>
    <w:p w14:paraId="4616FBDF" w14:textId="77777777" w:rsidR="00B14497" w:rsidRDefault="000142EE">
      <w:pPr>
        <w:spacing w:line="360" w:lineRule="auto"/>
        <w:jc w:val="both"/>
        <w:rPr>
          <w:rFonts w:ascii="Arial" w:eastAsia="Arial" w:hAnsi="Arial" w:cs="Arial"/>
          <w:color w:val="000000"/>
          <w:sz w:val="24"/>
          <w:szCs w:val="24"/>
        </w:rPr>
      </w:pPr>
      <w:r>
        <w:rPr>
          <w:rFonts w:ascii="Arial" w:eastAsia="Arial" w:hAnsi="Arial" w:cs="Arial"/>
          <w:color w:val="000000"/>
          <w:sz w:val="24"/>
          <w:szCs w:val="24"/>
        </w:rPr>
        <w:t xml:space="preserve">Debe tenerse presente que la Sala Superior ha sostenido que las obligaciones comentadas, en modo alguno constituyen una restricción o limitación injustificada a la libertad expresión, ya que al tratarse de encuestas electorales, </w:t>
      </w:r>
      <w:r>
        <w:rPr>
          <w:rFonts w:ascii="Arial" w:eastAsia="Arial" w:hAnsi="Arial" w:cs="Arial"/>
          <w:b/>
          <w:color w:val="000000"/>
          <w:sz w:val="24"/>
          <w:szCs w:val="24"/>
        </w:rPr>
        <w:t xml:space="preserve">se debe privilegiar que el derecho a la información y de libertad de imprenta no </w:t>
      </w:r>
      <w:r>
        <w:rPr>
          <w:rFonts w:ascii="Arial" w:eastAsia="Arial" w:hAnsi="Arial" w:cs="Arial"/>
          <w:b/>
          <w:sz w:val="24"/>
          <w:szCs w:val="24"/>
        </w:rPr>
        <w:t>vulneren</w:t>
      </w:r>
      <w:r>
        <w:rPr>
          <w:rFonts w:ascii="Arial" w:eastAsia="Arial" w:hAnsi="Arial" w:cs="Arial"/>
          <w:b/>
          <w:color w:val="000000"/>
          <w:sz w:val="24"/>
          <w:szCs w:val="24"/>
        </w:rPr>
        <w:t xml:space="preserve"> la equidad en la contienda, </w:t>
      </w:r>
      <w:r>
        <w:rPr>
          <w:rFonts w:ascii="Arial" w:eastAsia="Arial" w:hAnsi="Arial" w:cs="Arial"/>
          <w:color w:val="000000"/>
          <w:sz w:val="24"/>
          <w:szCs w:val="24"/>
        </w:rPr>
        <w:t xml:space="preserve">cuestión que es congruente con lo previsto en el artículo 19, párrafo tercero, del </w:t>
      </w:r>
      <w:r>
        <w:rPr>
          <w:rFonts w:ascii="Arial" w:eastAsia="Arial" w:hAnsi="Arial" w:cs="Arial"/>
          <w:sz w:val="24"/>
          <w:szCs w:val="24"/>
        </w:rPr>
        <w:t>P</w:t>
      </w:r>
      <w:r>
        <w:rPr>
          <w:rFonts w:ascii="Arial" w:eastAsia="Arial" w:hAnsi="Arial" w:cs="Arial"/>
          <w:color w:val="000000"/>
          <w:sz w:val="24"/>
          <w:szCs w:val="24"/>
        </w:rPr>
        <w:t xml:space="preserve">acto </w:t>
      </w:r>
      <w:r>
        <w:rPr>
          <w:rFonts w:ascii="Arial" w:eastAsia="Arial" w:hAnsi="Arial" w:cs="Arial"/>
          <w:sz w:val="24"/>
          <w:szCs w:val="24"/>
        </w:rPr>
        <w:t>I</w:t>
      </w:r>
      <w:r>
        <w:rPr>
          <w:rFonts w:ascii="Arial" w:eastAsia="Arial" w:hAnsi="Arial" w:cs="Arial"/>
          <w:color w:val="000000"/>
          <w:sz w:val="24"/>
          <w:szCs w:val="24"/>
        </w:rPr>
        <w:t xml:space="preserve">nternacional de </w:t>
      </w:r>
      <w:r>
        <w:rPr>
          <w:rFonts w:ascii="Arial" w:eastAsia="Arial" w:hAnsi="Arial" w:cs="Arial"/>
          <w:sz w:val="24"/>
          <w:szCs w:val="24"/>
        </w:rPr>
        <w:t>D</w:t>
      </w:r>
      <w:r>
        <w:rPr>
          <w:rFonts w:ascii="Arial" w:eastAsia="Arial" w:hAnsi="Arial" w:cs="Arial"/>
          <w:color w:val="000000"/>
          <w:sz w:val="24"/>
          <w:szCs w:val="24"/>
        </w:rPr>
        <w:t xml:space="preserve">erechos </w:t>
      </w:r>
      <w:r>
        <w:rPr>
          <w:rFonts w:ascii="Arial" w:eastAsia="Arial" w:hAnsi="Arial" w:cs="Arial"/>
          <w:sz w:val="24"/>
          <w:szCs w:val="24"/>
        </w:rPr>
        <w:t>C</w:t>
      </w:r>
      <w:r>
        <w:rPr>
          <w:rFonts w:ascii="Arial" w:eastAsia="Arial" w:hAnsi="Arial" w:cs="Arial"/>
          <w:color w:val="000000"/>
          <w:sz w:val="24"/>
          <w:szCs w:val="24"/>
        </w:rPr>
        <w:t xml:space="preserve">iviles y </w:t>
      </w:r>
      <w:r>
        <w:rPr>
          <w:rFonts w:ascii="Arial" w:eastAsia="Arial" w:hAnsi="Arial" w:cs="Arial"/>
          <w:sz w:val="24"/>
          <w:szCs w:val="24"/>
        </w:rPr>
        <w:t>P</w:t>
      </w:r>
      <w:r>
        <w:rPr>
          <w:rFonts w:ascii="Arial" w:eastAsia="Arial" w:hAnsi="Arial" w:cs="Arial"/>
          <w:color w:val="000000"/>
          <w:sz w:val="24"/>
          <w:szCs w:val="24"/>
        </w:rPr>
        <w:t>olíticos, que establece</w:t>
      </w:r>
      <w:r>
        <w:rPr>
          <w:rFonts w:ascii="Arial" w:eastAsia="Arial" w:hAnsi="Arial" w:cs="Arial"/>
          <w:sz w:val="24"/>
          <w:szCs w:val="24"/>
        </w:rPr>
        <w:t xml:space="preserve"> que</w:t>
      </w:r>
      <w:r>
        <w:rPr>
          <w:rFonts w:ascii="Arial" w:eastAsia="Arial" w:hAnsi="Arial" w:cs="Arial"/>
          <w:color w:val="000000"/>
          <w:sz w:val="24"/>
          <w:szCs w:val="24"/>
        </w:rPr>
        <w:t xml:space="preserve"> </w:t>
      </w:r>
      <w:r>
        <w:rPr>
          <w:rFonts w:ascii="Arial" w:eastAsia="Arial" w:hAnsi="Arial" w:cs="Arial"/>
          <w:color w:val="000000"/>
          <w:sz w:val="24"/>
          <w:szCs w:val="24"/>
          <w:u w:val="single"/>
        </w:rPr>
        <w:t>la libertad de expresión no debe interpretarse de forma absoluta</w:t>
      </w:r>
      <w:r>
        <w:rPr>
          <w:rFonts w:ascii="Arial" w:eastAsia="Arial" w:hAnsi="Arial" w:cs="Arial"/>
          <w:color w:val="000000"/>
          <w:sz w:val="24"/>
          <w:szCs w:val="24"/>
        </w:rPr>
        <w:t xml:space="preserve">, sino que está sujeta a restricciones previstas en la ley y siempre que sean necesarios. </w:t>
      </w:r>
    </w:p>
    <w:p w14:paraId="7AC979B1" w14:textId="77777777" w:rsidR="00B14497" w:rsidRDefault="00B14497" w:rsidP="00101FAC">
      <w:pPr>
        <w:pStyle w:val="Sinespaciado"/>
        <w:rPr>
          <w:rFonts w:eastAsia="Arial"/>
        </w:rPr>
      </w:pPr>
    </w:p>
    <w:p w14:paraId="1E4E79C8" w14:textId="77777777" w:rsidR="00B14497" w:rsidRDefault="000142EE">
      <w:pPr>
        <w:spacing w:line="360" w:lineRule="auto"/>
        <w:jc w:val="both"/>
        <w:rPr>
          <w:rFonts w:ascii="Arial" w:eastAsia="Arial" w:hAnsi="Arial" w:cs="Arial"/>
          <w:color w:val="000000"/>
          <w:sz w:val="24"/>
          <w:szCs w:val="24"/>
        </w:rPr>
      </w:pPr>
      <w:r>
        <w:rPr>
          <w:rFonts w:ascii="Arial" w:eastAsia="Arial" w:hAnsi="Arial" w:cs="Arial"/>
          <w:color w:val="000000"/>
          <w:sz w:val="24"/>
          <w:szCs w:val="24"/>
        </w:rPr>
        <w:t>Así que, a pesar de qu</w:t>
      </w:r>
      <w:r>
        <w:rPr>
          <w:rFonts w:ascii="Arial" w:eastAsia="Arial" w:hAnsi="Arial" w:cs="Arial"/>
          <w:sz w:val="24"/>
          <w:szCs w:val="24"/>
        </w:rPr>
        <w:t xml:space="preserve">e </w:t>
      </w:r>
      <w:r>
        <w:rPr>
          <w:rFonts w:ascii="Arial" w:eastAsia="Arial" w:hAnsi="Arial" w:cs="Arial"/>
          <w:color w:val="000000"/>
          <w:sz w:val="24"/>
          <w:szCs w:val="24"/>
        </w:rPr>
        <w:t>se reconoce la importancia de la libertad de pensamiento y de expresión de una sociedad democrática de sus dos dimensiones</w:t>
      </w:r>
      <w:r>
        <w:rPr>
          <w:rFonts w:ascii="Arial" w:eastAsia="Arial" w:hAnsi="Arial" w:cs="Arial"/>
          <w:sz w:val="24"/>
          <w:szCs w:val="24"/>
        </w:rPr>
        <w:t>:</w:t>
      </w:r>
      <w:r>
        <w:rPr>
          <w:rFonts w:ascii="Arial" w:eastAsia="Arial" w:hAnsi="Arial" w:cs="Arial"/>
          <w:b/>
          <w:i/>
          <w:color w:val="000000"/>
          <w:sz w:val="24"/>
          <w:szCs w:val="24"/>
        </w:rPr>
        <w:t xml:space="preserve"> i)</w:t>
      </w:r>
      <w:r>
        <w:rPr>
          <w:rFonts w:ascii="Arial" w:eastAsia="Arial" w:hAnsi="Arial" w:cs="Arial"/>
          <w:color w:val="000000"/>
          <w:sz w:val="24"/>
          <w:szCs w:val="24"/>
        </w:rPr>
        <w:t xml:space="preserve"> la individual</w:t>
      </w:r>
      <w:r>
        <w:rPr>
          <w:rFonts w:ascii="Arial" w:eastAsia="Arial" w:hAnsi="Arial" w:cs="Arial"/>
          <w:sz w:val="24"/>
          <w:szCs w:val="24"/>
        </w:rPr>
        <w:t xml:space="preserve">, </w:t>
      </w:r>
      <w:r>
        <w:rPr>
          <w:rFonts w:ascii="Arial" w:eastAsia="Arial" w:hAnsi="Arial" w:cs="Arial"/>
          <w:color w:val="000000"/>
          <w:sz w:val="24"/>
          <w:szCs w:val="24"/>
        </w:rPr>
        <w:t>que se realiza a través del derecho de expresar pensamientos e ideas así como el derecho a recibirlos</w:t>
      </w:r>
      <w:r>
        <w:rPr>
          <w:rFonts w:ascii="Arial" w:eastAsia="Arial" w:hAnsi="Arial" w:cs="Arial"/>
          <w:sz w:val="24"/>
          <w:szCs w:val="24"/>
        </w:rPr>
        <w:t xml:space="preserve"> </w:t>
      </w:r>
      <w:r>
        <w:rPr>
          <w:rFonts w:ascii="Arial" w:eastAsia="Arial" w:hAnsi="Arial" w:cs="Arial"/>
          <w:color w:val="000000"/>
          <w:sz w:val="24"/>
          <w:szCs w:val="24"/>
        </w:rPr>
        <w:t xml:space="preserve">y, </w:t>
      </w:r>
      <w:proofErr w:type="spellStart"/>
      <w:r>
        <w:rPr>
          <w:rFonts w:ascii="Arial" w:eastAsia="Arial" w:hAnsi="Arial" w:cs="Arial"/>
          <w:b/>
          <w:i/>
          <w:color w:val="000000"/>
          <w:sz w:val="24"/>
          <w:szCs w:val="24"/>
        </w:rPr>
        <w:t>ii</w:t>
      </w:r>
      <w:proofErr w:type="spellEnd"/>
      <w:r>
        <w:rPr>
          <w:rFonts w:ascii="Arial" w:eastAsia="Arial" w:hAnsi="Arial" w:cs="Arial"/>
          <w:b/>
          <w:i/>
          <w:color w:val="000000"/>
          <w:sz w:val="24"/>
          <w:szCs w:val="24"/>
        </w:rPr>
        <w:t>)</w:t>
      </w:r>
      <w:r>
        <w:rPr>
          <w:rFonts w:ascii="Arial" w:eastAsia="Arial" w:hAnsi="Arial" w:cs="Arial"/>
          <w:color w:val="000000"/>
          <w:sz w:val="24"/>
          <w:szCs w:val="24"/>
        </w:rPr>
        <w:t xml:space="preserve"> la social, como medio de intercambio de ideas e información para la comunicación masiva entre los seres humanos</w:t>
      </w:r>
      <w:r>
        <w:rPr>
          <w:rFonts w:ascii="Arial" w:eastAsia="Arial" w:hAnsi="Arial" w:cs="Arial"/>
          <w:sz w:val="24"/>
          <w:szCs w:val="24"/>
        </w:rPr>
        <w:t>;</w:t>
      </w:r>
      <w:r>
        <w:rPr>
          <w:rFonts w:ascii="Arial" w:eastAsia="Arial" w:hAnsi="Arial" w:cs="Arial"/>
          <w:color w:val="000000"/>
          <w:sz w:val="24"/>
          <w:szCs w:val="24"/>
        </w:rPr>
        <w:t xml:space="preserve"> lo cierto es que </w:t>
      </w:r>
      <w:r>
        <w:rPr>
          <w:rFonts w:ascii="Arial" w:eastAsia="Arial" w:hAnsi="Arial" w:cs="Arial"/>
          <w:b/>
          <w:color w:val="000000"/>
          <w:sz w:val="24"/>
          <w:szCs w:val="24"/>
        </w:rPr>
        <w:t xml:space="preserve">la ley puede establecer </w:t>
      </w:r>
      <w:r>
        <w:rPr>
          <w:rFonts w:ascii="Arial" w:eastAsia="Arial" w:hAnsi="Arial" w:cs="Arial"/>
          <w:b/>
          <w:color w:val="000000"/>
          <w:sz w:val="24"/>
          <w:szCs w:val="24"/>
        </w:rPr>
        <w:lastRenderedPageBreak/>
        <w:t>límites o condiciones para su ejercicio</w:t>
      </w:r>
      <w:r>
        <w:rPr>
          <w:rFonts w:ascii="Arial" w:eastAsia="Arial" w:hAnsi="Arial" w:cs="Arial"/>
          <w:color w:val="000000"/>
          <w:sz w:val="24"/>
          <w:szCs w:val="24"/>
        </w:rPr>
        <w:t xml:space="preserve">, a fin de no vulnerar principios fundamentales de las contiendas electorales. </w:t>
      </w:r>
    </w:p>
    <w:p w14:paraId="43A2B882" w14:textId="77777777" w:rsidR="00B14497" w:rsidRDefault="00B14497" w:rsidP="00101FAC">
      <w:pPr>
        <w:pStyle w:val="Sinespaciado"/>
        <w:rPr>
          <w:rFonts w:eastAsia="Arial"/>
        </w:rPr>
      </w:pPr>
    </w:p>
    <w:p w14:paraId="548D3EAC" w14:textId="77777777" w:rsidR="00B14497" w:rsidRDefault="000142EE">
      <w:pPr>
        <w:spacing w:line="360" w:lineRule="auto"/>
        <w:jc w:val="both"/>
        <w:rPr>
          <w:rFonts w:ascii="Arial" w:eastAsia="Arial" w:hAnsi="Arial" w:cs="Arial"/>
          <w:color w:val="000000"/>
          <w:sz w:val="24"/>
          <w:szCs w:val="24"/>
        </w:rPr>
      </w:pPr>
      <w:r>
        <w:rPr>
          <w:rFonts w:ascii="Arial" w:eastAsia="Arial" w:hAnsi="Arial" w:cs="Arial"/>
          <w:color w:val="000000"/>
          <w:sz w:val="24"/>
          <w:szCs w:val="24"/>
        </w:rPr>
        <w:t>De lo expuesto, podemos concluir que las encuestas son permitidas para su publicación y difusión durante los procesos electorales locales</w:t>
      </w:r>
      <w:r>
        <w:rPr>
          <w:rFonts w:ascii="Arial" w:eastAsia="Arial" w:hAnsi="Arial" w:cs="Arial"/>
          <w:sz w:val="24"/>
          <w:szCs w:val="24"/>
        </w:rPr>
        <w:t xml:space="preserve">, </w:t>
      </w:r>
      <w:r>
        <w:rPr>
          <w:rFonts w:ascii="Arial" w:eastAsia="Arial" w:hAnsi="Arial" w:cs="Arial"/>
          <w:color w:val="000000"/>
          <w:sz w:val="24"/>
          <w:szCs w:val="24"/>
          <w:u w:val="single"/>
        </w:rPr>
        <w:t>con excepción de las restricciones, condiciones y obligaciones</w:t>
      </w:r>
      <w:r>
        <w:rPr>
          <w:rFonts w:ascii="Arial" w:eastAsia="Arial" w:hAnsi="Arial" w:cs="Arial"/>
          <w:color w:val="000000"/>
          <w:sz w:val="24"/>
          <w:szCs w:val="24"/>
        </w:rPr>
        <w:t xml:space="preserve"> ya señaladas. </w:t>
      </w:r>
    </w:p>
    <w:p w14:paraId="49AA3875" w14:textId="77777777" w:rsidR="00B14497" w:rsidRDefault="00B14497" w:rsidP="00101FAC">
      <w:pPr>
        <w:pStyle w:val="Sinespaciado"/>
        <w:rPr>
          <w:rFonts w:eastAsia="Arial"/>
        </w:rPr>
      </w:pPr>
    </w:p>
    <w:p w14:paraId="2244B088" w14:textId="0E044E8A" w:rsidR="00B14497" w:rsidRDefault="000142EE">
      <w:pPr>
        <w:spacing w:line="360" w:lineRule="auto"/>
        <w:jc w:val="both"/>
        <w:rPr>
          <w:rFonts w:ascii="Arial" w:eastAsia="Arial" w:hAnsi="Arial" w:cs="Arial"/>
          <w:color w:val="000000"/>
          <w:sz w:val="24"/>
          <w:szCs w:val="24"/>
        </w:rPr>
      </w:pPr>
      <w:r>
        <w:rPr>
          <w:rFonts w:ascii="Arial" w:eastAsia="Arial" w:hAnsi="Arial" w:cs="Arial"/>
          <w:color w:val="000000"/>
          <w:sz w:val="24"/>
          <w:szCs w:val="24"/>
        </w:rPr>
        <w:t xml:space="preserve">En el caso de las condiciones que ordena la ley para las personas físicas y morales que pretenda dar conocer preferencias electorales a través del ejercicio de encuestas, </w:t>
      </w:r>
      <w:r>
        <w:rPr>
          <w:rFonts w:ascii="Arial" w:eastAsia="Arial" w:hAnsi="Arial" w:cs="Arial"/>
          <w:b/>
          <w:color w:val="000000"/>
          <w:sz w:val="24"/>
          <w:szCs w:val="24"/>
        </w:rPr>
        <w:t>a fin de que no se</w:t>
      </w:r>
      <w:r>
        <w:rPr>
          <w:rFonts w:ascii="Arial" w:eastAsia="Arial" w:hAnsi="Arial" w:cs="Arial"/>
          <w:b/>
          <w:sz w:val="24"/>
          <w:szCs w:val="24"/>
        </w:rPr>
        <w:t xml:space="preserve"> des</w:t>
      </w:r>
      <w:r>
        <w:rPr>
          <w:rFonts w:ascii="Arial" w:eastAsia="Arial" w:hAnsi="Arial" w:cs="Arial"/>
          <w:b/>
          <w:color w:val="000000"/>
          <w:sz w:val="24"/>
          <w:szCs w:val="24"/>
        </w:rPr>
        <w:t>informe a la ciudadanía</w:t>
      </w:r>
      <w:r>
        <w:rPr>
          <w:rFonts w:ascii="Arial" w:eastAsia="Arial" w:hAnsi="Arial" w:cs="Arial"/>
          <w:color w:val="000000"/>
          <w:sz w:val="24"/>
          <w:szCs w:val="24"/>
        </w:rPr>
        <w:t xml:space="preserve">, resulta razonable que se les exija la </w:t>
      </w:r>
      <w:r>
        <w:rPr>
          <w:rFonts w:ascii="Arial" w:eastAsia="Arial" w:hAnsi="Arial" w:cs="Arial"/>
          <w:b/>
          <w:color w:val="000000"/>
          <w:sz w:val="24"/>
          <w:szCs w:val="24"/>
        </w:rPr>
        <w:t>entrega de un estudio objetivo</w:t>
      </w:r>
      <w:r>
        <w:rPr>
          <w:rFonts w:ascii="Arial" w:eastAsia="Arial" w:hAnsi="Arial" w:cs="Arial"/>
          <w:color w:val="000000"/>
          <w:sz w:val="24"/>
          <w:szCs w:val="24"/>
        </w:rPr>
        <w:t xml:space="preserve"> que cuente con una metodología científica con base en una técnica ser</w:t>
      </w:r>
      <w:r>
        <w:rPr>
          <w:rFonts w:ascii="Arial" w:eastAsia="Arial" w:hAnsi="Arial" w:cs="Arial"/>
          <w:sz w:val="24"/>
          <w:szCs w:val="24"/>
        </w:rPr>
        <w:t>i</w:t>
      </w:r>
      <w:r>
        <w:rPr>
          <w:rFonts w:ascii="Arial" w:eastAsia="Arial" w:hAnsi="Arial" w:cs="Arial"/>
          <w:color w:val="000000"/>
          <w:sz w:val="24"/>
          <w:szCs w:val="24"/>
        </w:rPr>
        <w:t>a y veraz</w:t>
      </w:r>
      <w:r>
        <w:rPr>
          <w:rFonts w:ascii="Arial" w:eastAsia="Arial" w:hAnsi="Arial" w:cs="Arial"/>
          <w:sz w:val="24"/>
          <w:szCs w:val="24"/>
        </w:rPr>
        <w:t>, mismo que</w:t>
      </w:r>
      <w:r>
        <w:rPr>
          <w:rFonts w:ascii="Arial" w:eastAsia="Arial" w:hAnsi="Arial" w:cs="Arial"/>
          <w:color w:val="000000"/>
          <w:sz w:val="24"/>
          <w:szCs w:val="24"/>
        </w:rPr>
        <w:t xml:space="preserve"> deberá ser entregado </w:t>
      </w:r>
      <w:r>
        <w:rPr>
          <w:rFonts w:ascii="Arial" w:eastAsia="Arial" w:hAnsi="Arial" w:cs="Arial"/>
          <w:b/>
          <w:color w:val="000000"/>
          <w:sz w:val="24"/>
          <w:szCs w:val="24"/>
        </w:rPr>
        <w:t xml:space="preserve">dentro de los cinco días siguientes a la publicación de la encuesta </w:t>
      </w:r>
      <w:r>
        <w:rPr>
          <w:rFonts w:ascii="Arial" w:eastAsia="Arial" w:hAnsi="Arial" w:cs="Arial"/>
          <w:color w:val="000000"/>
          <w:sz w:val="24"/>
          <w:szCs w:val="24"/>
        </w:rPr>
        <w:t xml:space="preserve">a la autoridad correspondiente a fin de que </w:t>
      </w:r>
      <w:r>
        <w:rPr>
          <w:rFonts w:ascii="Arial" w:eastAsia="Arial" w:hAnsi="Arial" w:cs="Arial"/>
          <w:sz w:val="24"/>
          <w:szCs w:val="24"/>
        </w:rPr>
        <w:t>e</w:t>
      </w:r>
      <w:r>
        <w:rPr>
          <w:rFonts w:ascii="Arial" w:eastAsia="Arial" w:hAnsi="Arial" w:cs="Arial"/>
          <w:color w:val="000000"/>
          <w:sz w:val="24"/>
          <w:szCs w:val="24"/>
        </w:rPr>
        <w:t xml:space="preserve">sta sea considerada regular. </w:t>
      </w:r>
    </w:p>
    <w:p w14:paraId="5645B25D" w14:textId="77777777" w:rsidR="00101FAC" w:rsidRDefault="00101FAC" w:rsidP="00A76CC2">
      <w:pPr>
        <w:pStyle w:val="Sinespaciado"/>
      </w:pPr>
    </w:p>
    <w:p w14:paraId="40350495" w14:textId="77777777" w:rsidR="00B14497" w:rsidRDefault="000142EE">
      <w:pPr>
        <w:numPr>
          <w:ilvl w:val="0"/>
          <w:numId w:val="10"/>
        </w:numPr>
        <w:pBdr>
          <w:top w:val="nil"/>
          <w:left w:val="nil"/>
          <w:bottom w:val="nil"/>
          <w:right w:val="nil"/>
          <w:between w:val="nil"/>
        </w:pBdr>
        <w:tabs>
          <w:tab w:val="left" w:pos="5461"/>
        </w:tabs>
        <w:spacing w:line="360" w:lineRule="auto"/>
        <w:ind w:left="425"/>
        <w:jc w:val="both"/>
        <w:rPr>
          <w:rFonts w:ascii="Arial" w:eastAsia="Arial" w:hAnsi="Arial" w:cs="Arial"/>
          <w:b/>
          <w:color w:val="000000"/>
          <w:sz w:val="24"/>
          <w:szCs w:val="24"/>
        </w:rPr>
      </w:pPr>
      <w:r>
        <w:rPr>
          <w:rFonts w:ascii="Arial" w:eastAsia="Arial" w:hAnsi="Arial" w:cs="Arial"/>
          <w:b/>
          <w:color w:val="000000"/>
          <w:sz w:val="24"/>
          <w:szCs w:val="24"/>
        </w:rPr>
        <w:t xml:space="preserve">Caso concreto </w:t>
      </w:r>
    </w:p>
    <w:p w14:paraId="4CFDA44A" w14:textId="77777777" w:rsidR="00B14497" w:rsidRPr="00A76CC2" w:rsidRDefault="00B14497" w:rsidP="00A76CC2">
      <w:pPr>
        <w:pStyle w:val="Sinespaciado"/>
      </w:pPr>
    </w:p>
    <w:p w14:paraId="399494C2" w14:textId="77777777" w:rsidR="00B14497" w:rsidRDefault="000142EE">
      <w:pPr>
        <w:pBdr>
          <w:top w:val="nil"/>
          <w:left w:val="nil"/>
          <w:bottom w:val="nil"/>
          <w:right w:val="nil"/>
          <w:between w:val="nil"/>
        </w:pBdr>
        <w:spacing w:line="360" w:lineRule="auto"/>
        <w:jc w:val="both"/>
        <w:rPr>
          <w:rFonts w:ascii="Arial" w:eastAsia="Arial" w:hAnsi="Arial" w:cs="Arial"/>
          <w:sz w:val="24"/>
          <w:szCs w:val="24"/>
        </w:rPr>
      </w:pPr>
      <w:r>
        <w:rPr>
          <w:rFonts w:ascii="Arial" w:eastAsia="Arial" w:hAnsi="Arial" w:cs="Arial"/>
          <w:sz w:val="24"/>
          <w:szCs w:val="24"/>
        </w:rPr>
        <w:t>Morena</w:t>
      </w:r>
      <w:r>
        <w:rPr>
          <w:rFonts w:ascii="Arial" w:eastAsia="Arial" w:hAnsi="Arial" w:cs="Arial"/>
          <w:color w:val="000000"/>
          <w:sz w:val="24"/>
          <w:szCs w:val="24"/>
        </w:rPr>
        <w:t xml:space="preserve">, en el contexto del proceso electoral 2021-2022 en el que se renovó la gubernatura de Aguascalientes, presentó una queja ante el Instituto Local en contra </w:t>
      </w:r>
      <w:r>
        <w:rPr>
          <w:rFonts w:ascii="Arial" w:eastAsia="Arial" w:hAnsi="Arial" w:cs="Arial"/>
          <w:sz w:val="24"/>
          <w:szCs w:val="24"/>
        </w:rPr>
        <w:t xml:space="preserve">de </w:t>
      </w:r>
      <w:r>
        <w:rPr>
          <w:rFonts w:ascii="Arial" w:eastAsia="Arial" w:hAnsi="Arial" w:cs="Arial"/>
          <w:b/>
          <w:i/>
          <w:sz w:val="24"/>
          <w:szCs w:val="24"/>
        </w:rPr>
        <w:t>i)</w:t>
      </w:r>
      <w:r>
        <w:rPr>
          <w:rFonts w:ascii="Arial" w:eastAsia="Arial" w:hAnsi="Arial" w:cs="Arial"/>
          <w:sz w:val="24"/>
          <w:szCs w:val="24"/>
        </w:rPr>
        <w:t xml:space="preserve"> la entonces candidata de la coalición “Va por Aguascalientes” a la gubernatura del estado, María Teresa Jiménez Esquivel, </w:t>
      </w:r>
      <w:proofErr w:type="spellStart"/>
      <w:r>
        <w:rPr>
          <w:rFonts w:ascii="Arial" w:eastAsia="Arial" w:hAnsi="Arial" w:cs="Arial"/>
          <w:b/>
          <w:i/>
          <w:sz w:val="24"/>
          <w:szCs w:val="24"/>
        </w:rPr>
        <w:t>ii</w:t>
      </w:r>
      <w:proofErr w:type="spellEnd"/>
      <w:r>
        <w:rPr>
          <w:rFonts w:ascii="Arial" w:eastAsia="Arial" w:hAnsi="Arial" w:cs="Arial"/>
          <w:b/>
          <w:i/>
          <w:sz w:val="24"/>
          <w:szCs w:val="24"/>
        </w:rPr>
        <w:t>)</w:t>
      </w:r>
      <w:r>
        <w:rPr>
          <w:rFonts w:ascii="Arial" w:eastAsia="Arial" w:hAnsi="Arial" w:cs="Arial"/>
          <w:sz w:val="24"/>
          <w:szCs w:val="24"/>
        </w:rPr>
        <w:t xml:space="preserve"> los institutos políticos coaligados PAN, PRI y PRD, </w:t>
      </w:r>
      <w:proofErr w:type="spellStart"/>
      <w:r>
        <w:rPr>
          <w:rFonts w:ascii="Arial" w:eastAsia="Arial" w:hAnsi="Arial" w:cs="Arial"/>
          <w:b/>
          <w:i/>
          <w:sz w:val="24"/>
          <w:szCs w:val="24"/>
        </w:rPr>
        <w:t>iii</w:t>
      </w:r>
      <w:proofErr w:type="spellEnd"/>
      <w:r>
        <w:rPr>
          <w:rFonts w:ascii="Arial" w:eastAsia="Arial" w:hAnsi="Arial" w:cs="Arial"/>
          <w:b/>
          <w:i/>
          <w:sz w:val="24"/>
          <w:szCs w:val="24"/>
        </w:rPr>
        <w:t>)</w:t>
      </w:r>
      <w:r>
        <w:rPr>
          <w:rFonts w:ascii="Arial" w:eastAsia="Arial" w:hAnsi="Arial" w:cs="Arial"/>
          <w:sz w:val="24"/>
          <w:szCs w:val="24"/>
        </w:rPr>
        <w:t xml:space="preserve"> diversos medios de comunicación</w:t>
      </w:r>
      <w:r>
        <w:rPr>
          <w:rFonts w:ascii="Arial" w:eastAsia="Arial" w:hAnsi="Arial" w:cs="Arial"/>
          <w:sz w:val="24"/>
          <w:szCs w:val="24"/>
          <w:vertAlign w:val="superscript"/>
        </w:rPr>
        <w:footnoteReference w:id="22"/>
      </w:r>
      <w:r>
        <w:rPr>
          <w:rFonts w:ascii="Arial" w:eastAsia="Arial" w:hAnsi="Arial" w:cs="Arial"/>
          <w:sz w:val="24"/>
          <w:szCs w:val="24"/>
        </w:rPr>
        <w:t xml:space="preserve"> y, </w:t>
      </w:r>
      <w:r>
        <w:rPr>
          <w:rFonts w:ascii="Arial" w:eastAsia="Arial" w:hAnsi="Arial" w:cs="Arial"/>
          <w:b/>
          <w:i/>
          <w:sz w:val="24"/>
          <w:szCs w:val="24"/>
        </w:rPr>
        <w:t>iv)</w:t>
      </w:r>
      <w:r>
        <w:rPr>
          <w:rFonts w:ascii="Arial" w:eastAsia="Arial" w:hAnsi="Arial" w:cs="Arial"/>
          <w:sz w:val="24"/>
          <w:szCs w:val="24"/>
        </w:rPr>
        <w:t xml:space="preserve"> la empresa encuestadora </w:t>
      </w:r>
      <w:r>
        <w:rPr>
          <w:rFonts w:ascii="Arial" w:eastAsia="Arial" w:hAnsi="Arial" w:cs="Arial"/>
          <w:i/>
          <w:sz w:val="24"/>
          <w:szCs w:val="24"/>
        </w:rPr>
        <w:t xml:space="preserve">Grupo </w:t>
      </w:r>
      <w:proofErr w:type="spellStart"/>
      <w:r>
        <w:rPr>
          <w:rFonts w:ascii="Arial" w:eastAsia="Arial" w:hAnsi="Arial" w:cs="Arial"/>
          <w:i/>
          <w:sz w:val="24"/>
          <w:szCs w:val="24"/>
        </w:rPr>
        <w:t>Rapcen</w:t>
      </w:r>
      <w:proofErr w:type="spellEnd"/>
      <w:r>
        <w:rPr>
          <w:rFonts w:ascii="Arial" w:eastAsia="Arial" w:hAnsi="Arial" w:cs="Arial"/>
          <w:i/>
          <w:sz w:val="24"/>
          <w:szCs w:val="24"/>
        </w:rPr>
        <w:t xml:space="preserve"> S.A. de C.V. (</w:t>
      </w:r>
      <w:proofErr w:type="spellStart"/>
      <w:r>
        <w:rPr>
          <w:rFonts w:ascii="Arial" w:eastAsia="Arial" w:hAnsi="Arial" w:cs="Arial"/>
          <w:i/>
          <w:sz w:val="24"/>
          <w:szCs w:val="24"/>
        </w:rPr>
        <w:t>TResearch</w:t>
      </w:r>
      <w:proofErr w:type="spellEnd"/>
      <w:r>
        <w:rPr>
          <w:rFonts w:ascii="Arial" w:eastAsia="Arial" w:hAnsi="Arial" w:cs="Arial"/>
          <w:i/>
          <w:sz w:val="24"/>
          <w:szCs w:val="24"/>
        </w:rPr>
        <w:t xml:space="preserve">), </w:t>
      </w:r>
      <w:r>
        <w:rPr>
          <w:rFonts w:ascii="Arial" w:eastAsia="Arial" w:hAnsi="Arial" w:cs="Arial"/>
          <w:sz w:val="24"/>
          <w:szCs w:val="24"/>
        </w:rPr>
        <w:t>porque a su dicho, tales sujetos incumplieron con la normatividad relativa a la elaboración y difusión de encuestas, ya que no presentaron los estudios metodológicos en la temporalidad prevista, lo cual vulneró la certeza de las encuestas cuestionadas en perjuicio del derecho a la información de la ciudadanía.</w:t>
      </w:r>
    </w:p>
    <w:p w14:paraId="141BA335" w14:textId="77777777" w:rsidR="00B14497" w:rsidRDefault="00B14497" w:rsidP="00101FAC">
      <w:pPr>
        <w:pStyle w:val="Sinespaciado"/>
        <w:rPr>
          <w:rFonts w:eastAsia="Arial"/>
        </w:rPr>
      </w:pPr>
    </w:p>
    <w:p w14:paraId="0350DBBC" w14:textId="77777777" w:rsidR="00B14497" w:rsidRDefault="000142EE">
      <w:pPr>
        <w:pBdr>
          <w:top w:val="nil"/>
          <w:left w:val="nil"/>
          <w:bottom w:val="nil"/>
          <w:right w:val="nil"/>
          <w:between w:val="nil"/>
        </w:pBdr>
        <w:spacing w:line="360" w:lineRule="auto"/>
        <w:jc w:val="both"/>
        <w:rPr>
          <w:rFonts w:ascii="Arial" w:eastAsia="Arial" w:hAnsi="Arial" w:cs="Arial"/>
          <w:sz w:val="24"/>
          <w:szCs w:val="24"/>
        </w:rPr>
      </w:pPr>
      <w:r>
        <w:rPr>
          <w:rFonts w:ascii="Arial" w:eastAsia="Arial" w:hAnsi="Arial" w:cs="Arial"/>
          <w:sz w:val="24"/>
          <w:szCs w:val="24"/>
        </w:rPr>
        <w:t xml:space="preserve">Por su parte, la empresa encuestadora denunciada, en su escrito de contestación, se limita a referir -de manera general- que la metodología de sus estudios de opinión estuvo apegada a los requisitos establecidos, entre otras normatividades, en el Reglamento de Elecciones del Consejo General del INE. Lo anterior, sin que se precisaran mayores elementos respecto de la documentación que estaba obligada a presentar ante la autoridad administrativa para la publicación y difusión de las encuestas electorales que le fueron cuestionadas.  </w:t>
      </w:r>
    </w:p>
    <w:p w14:paraId="500A669B" w14:textId="77777777" w:rsidR="00B14497" w:rsidRDefault="00B14497" w:rsidP="00101FAC">
      <w:pPr>
        <w:pStyle w:val="Sinespaciado"/>
        <w:rPr>
          <w:rFonts w:eastAsia="Arial"/>
        </w:rPr>
      </w:pPr>
    </w:p>
    <w:p w14:paraId="3A0F21B3" w14:textId="77777777" w:rsidR="00B14497" w:rsidRDefault="000142EE">
      <w:pPr>
        <w:pBdr>
          <w:top w:val="nil"/>
          <w:left w:val="nil"/>
          <w:bottom w:val="nil"/>
          <w:right w:val="nil"/>
          <w:between w:val="nil"/>
        </w:pBdr>
        <w:spacing w:line="360" w:lineRule="auto"/>
        <w:jc w:val="both"/>
        <w:rPr>
          <w:rFonts w:ascii="Arial" w:eastAsia="Arial" w:hAnsi="Arial" w:cs="Arial"/>
          <w:sz w:val="24"/>
          <w:szCs w:val="24"/>
        </w:rPr>
      </w:pPr>
      <w:r>
        <w:rPr>
          <w:rFonts w:ascii="Arial" w:eastAsia="Arial" w:hAnsi="Arial" w:cs="Arial"/>
          <w:sz w:val="24"/>
          <w:szCs w:val="24"/>
        </w:rPr>
        <w:t xml:space="preserve">Ante ello, y con las constancias que fueron remitidas ante esta autoridad jurisdiccional, se determinó realizar una diligencia para mejor proveer al Instituto Local, para que proporcionara la información respecto a las encuestas cuestionadas, a fin de contar con los datos necesarios para resolver la presente controversia. </w:t>
      </w:r>
    </w:p>
    <w:p w14:paraId="718CB541" w14:textId="68DC5B57" w:rsidR="00360362" w:rsidRDefault="00360362">
      <w:pPr>
        <w:rPr>
          <w:color w:val="000000"/>
        </w:rPr>
      </w:pPr>
      <w:r>
        <w:rPr>
          <w:color w:val="000000"/>
        </w:rPr>
        <w:br w:type="page"/>
      </w:r>
    </w:p>
    <w:p w14:paraId="68A90925" w14:textId="77777777" w:rsidR="00B14497" w:rsidRDefault="00B14497">
      <w:pPr>
        <w:pBdr>
          <w:top w:val="nil"/>
          <w:left w:val="nil"/>
          <w:bottom w:val="nil"/>
          <w:right w:val="nil"/>
          <w:between w:val="nil"/>
        </w:pBdr>
        <w:rPr>
          <w:color w:val="000000"/>
        </w:rPr>
      </w:pPr>
    </w:p>
    <w:p w14:paraId="3E1267AA" w14:textId="77777777" w:rsidR="00B14497" w:rsidRDefault="000142EE">
      <w:pPr>
        <w:numPr>
          <w:ilvl w:val="0"/>
          <w:numId w:val="10"/>
        </w:numPr>
        <w:pBdr>
          <w:top w:val="nil"/>
          <w:left w:val="nil"/>
          <w:bottom w:val="nil"/>
          <w:right w:val="nil"/>
          <w:between w:val="nil"/>
        </w:pBdr>
        <w:tabs>
          <w:tab w:val="left" w:pos="284"/>
        </w:tabs>
        <w:spacing w:line="360" w:lineRule="auto"/>
        <w:ind w:left="0" w:right="36" w:firstLine="0"/>
        <w:jc w:val="both"/>
        <w:rPr>
          <w:rFonts w:ascii="Arial" w:eastAsia="Arial" w:hAnsi="Arial" w:cs="Arial"/>
          <w:b/>
          <w:color w:val="000000"/>
          <w:sz w:val="24"/>
          <w:szCs w:val="24"/>
        </w:rPr>
      </w:pPr>
      <w:r>
        <w:rPr>
          <w:rFonts w:ascii="Arial" w:eastAsia="Arial" w:hAnsi="Arial" w:cs="Arial"/>
          <w:b/>
          <w:color w:val="000000"/>
          <w:sz w:val="24"/>
          <w:szCs w:val="24"/>
        </w:rPr>
        <w:t xml:space="preserve">Valoración </w:t>
      </w:r>
    </w:p>
    <w:p w14:paraId="631FB1B5" w14:textId="77777777" w:rsidR="00B14497" w:rsidRDefault="000142EE">
      <w:pPr>
        <w:spacing w:before="240" w:after="240" w:line="360" w:lineRule="auto"/>
        <w:jc w:val="both"/>
        <w:rPr>
          <w:rFonts w:ascii="Arial" w:eastAsia="Arial" w:hAnsi="Arial" w:cs="Arial"/>
          <w:b/>
          <w:sz w:val="24"/>
          <w:szCs w:val="24"/>
          <w:highlight w:val="white"/>
        </w:rPr>
      </w:pPr>
      <w:r>
        <w:rPr>
          <w:rFonts w:ascii="Arial" w:eastAsia="Arial" w:hAnsi="Arial" w:cs="Arial"/>
          <w:b/>
          <w:sz w:val="24"/>
          <w:szCs w:val="24"/>
          <w:highlight w:val="white"/>
        </w:rPr>
        <w:t>3.1. De la responsabilidad de la empresa encuestadora.</w:t>
      </w:r>
      <w:r>
        <w:rPr>
          <w:rFonts w:ascii="Arial" w:eastAsia="Arial" w:hAnsi="Arial" w:cs="Arial"/>
          <w:sz w:val="24"/>
          <w:szCs w:val="24"/>
          <w:highlight w:val="white"/>
        </w:rPr>
        <w:t xml:space="preserve"> Este Tribunal Electoral considera que, a partir del análisis realizado a las encuestas electorales controvertidas, es posible sostener que, si bien se logró demostrar que la parte denunciada cumplió con la exigencias previstas para tal efecto -entregar la documentación que respaldara la difusión de las encuestas cuestionadas en tiempo</w:t>
      </w:r>
      <w:r>
        <w:rPr>
          <w:rFonts w:ascii="Arial" w:eastAsia="Arial" w:hAnsi="Arial" w:cs="Arial"/>
          <w:sz w:val="24"/>
          <w:szCs w:val="24"/>
          <w:highlight w:val="white"/>
          <w:vertAlign w:val="superscript"/>
        </w:rPr>
        <w:footnoteReference w:id="23"/>
      </w:r>
      <w:r>
        <w:rPr>
          <w:rFonts w:ascii="Arial" w:eastAsia="Arial" w:hAnsi="Arial" w:cs="Arial"/>
          <w:sz w:val="24"/>
          <w:szCs w:val="24"/>
          <w:highlight w:val="white"/>
        </w:rPr>
        <w:t xml:space="preserve"> y forma</w:t>
      </w:r>
      <w:r>
        <w:rPr>
          <w:rFonts w:ascii="Arial" w:eastAsia="Arial" w:hAnsi="Arial" w:cs="Arial"/>
          <w:sz w:val="24"/>
          <w:szCs w:val="24"/>
          <w:highlight w:val="white"/>
          <w:vertAlign w:val="superscript"/>
        </w:rPr>
        <w:footnoteReference w:id="24"/>
      </w:r>
      <w:r>
        <w:rPr>
          <w:rFonts w:ascii="Arial" w:eastAsia="Arial" w:hAnsi="Arial" w:cs="Arial"/>
          <w:sz w:val="24"/>
          <w:szCs w:val="24"/>
          <w:highlight w:val="white"/>
        </w:rPr>
        <w:t>- para las publicaciones identificadas con los numerales 2 y 9</w:t>
      </w:r>
      <w:r>
        <w:rPr>
          <w:rFonts w:ascii="Arial" w:eastAsia="Arial" w:hAnsi="Arial" w:cs="Arial"/>
          <w:sz w:val="24"/>
          <w:szCs w:val="24"/>
          <w:highlight w:val="white"/>
          <w:vertAlign w:val="superscript"/>
        </w:rPr>
        <w:footnoteReference w:id="25"/>
      </w:r>
      <w:r>
        <w:rPr>
          <w:rFonts w:ascii="Arial" w:eastAsia="Arial" w:hAnsi="Arial" w:cs="Arial"/>
          <w:sz w:val="24"/>
          <w:szCs w:val="24"/>
          <w:highlight w:val="white"/>
        </w:rPr>
        <w:t xml:space="preserve">, y por tanto, se asume que estas fueron regulares y se apegaron al marco normativo, lo cierto es que en relación a las encuestas restantes, fue posible advertir que: </w:t>
      </w:r>
      <w:r>
        <w:rPr>
          <w:rFonts w:ascii="Arial" w:eastAsia="Arial" w:hAnsi="Arial" w:cs="Arial"/>
          <w:b/>
          <w:i/>
          <w:sz w:val="24"/>
          <w:szCs w:val="24"/>
          <w:highlight w:val="white"/>
        </w:rPr>
        <w:t>i)</w:t>
      </w:r>
      <w:r>
        <w:rPr>
          <w:rFonts w:ascii="Arial" w:eastAsia="Arial" w:hAnsi="Arial" w:cs="Arial"/>
          <w:sz w:val="24"/>
          <w:szCs w:val="24"/>
          <w:highlight w:val="white"/>
        </w:rPr>
        <w:t xml:space="preserve"> en lo que respecta a algunas de ellas</w:t>
      </w:r>
      <w:r>
        <w:rPr>
          <w:rFonts w:ascii="Arial" w:eastAsia="Arial" w:hAnsi="Arial" w:cs="Arial"/>
          <w:sz w:val="24"/>
          <w:szCs w:val="24"/>
          <w:highlight w:val="white"/>
          <w:vertAlign w:val="superscript"/>
        </w:rPr>
        <w:footnoteReference w:id="26"/>
      </w:r>
      <w:r>
        <w:rPr>
          <w:rFonts w:ascii="Arial" w:eastAsia="Arial" w:hAnsi="Arial" w:cs="Arial"/>
          <w:sz w:val="24"/>
          <w:szCs w:val="24"/>
          <w:highlight w:val="white"/>
        </w:rPr>
        <w:t xml:space="preserve">, </w:t>
      </w:r>
      <w:r>
        <w:rPr>
          <w:rFonts w:ascii="Arial" w:eastAsia="Arial" w:hAnsi="Arial" w:cs="Arial"/>
          <w:b/>
          <w:sz w:val="24"/>
          <w:szCs w:val="24"/>
          <w:highlight w:val="white"/>
        </w:rPr>
        <w:t>no se presentó su estudio metodológico de respaldo</w:t>
      </w:r>
      <w:r>
        <w:rPr>
          <w:rFonts w:ascii="Arial" w:eastAsia="Arial" w:hAnsi="Arial" w:cs="Arial"/>
          <w:sz w:val="24"/>
          <w:szCs w:val="24"/>
          <w:highlight w:val="white"/>
        </w:rPr>
        <w:t xml:space="preserve"> ante la autoridad administrativa, </w:t>
      </w:r>
      <w:proofErr w:type="spellStart"/>
      <w:r>
        <w:rPr>
          <w:rFonts w:ascii="Arial" w:eastAsia="Arial" w:hAnsi="Arial" w:cs="Arial"/>
          <w:b/>
          <w:i/>
          <w:sz w:val="24"/>
          <w:szCs w:val="24"/>
          <w:highlight w:val="white"/>
        </w:rPr>
        <w:t>ii</w:t>
      </w:r>
      <w:proofErr w:type="spellEnd"/>
      <w:r>
        <w:rPr>
          <w:rFonts w:ascii="Arial" w:eastAsia="Arial" w:hAnsi="Arial" w:cs="Arial"/>
          <w:b/>
          <w:i/>
          <w:sz w:val="24"/>
          <w:szCs w:val="24"/>
          <w:highlight w:val="white"/>
        </w:rPr>
        <w:t xml:space="preserve">) </w:t>
      </w:r>
      <w:r>
        <w:rPr>
          <w:rFonts w:ascii="Arial" w:eastAsia="Arial" w:hAnsi="Arial" w:cs="Arial"/>
          <w:sz w:val="24"/>
          <w:szCs w:val="24"/>
          <w:highlight w:val="white"/>
        </w:rPr>
        <w:t>respecto a otras,</w:t>
      </w:r>
      <w:r>
        <w:rPr>
          <w:rFonts w:ascii="Arial" w:eastAsia="Arial" w:hAnsi="Arial" w:cs="Arial"/>
          <w:b/>
          <w:i/>
          <w:sz w:val="24"/>
          <w:szCs w:val="24"/>
          <w:highlight w:val="white"/>
        </w:rPr>
        <w:t xml:space="preserve"> </w:t>
      </w:r>
      <w:r>
        <w:rPr>
          <w:rFonts w:ascii="Arial" w:eastAsia="Arial" w:hAnsi="Arial" w:cs="Arial"/>
          <w:sz w:val="24"/>
          <w:szCs w:val="24"/>
          <w:highlight w:val="white"/>
        </w:rPr>
        <w:t xml:space="preserve">si bien se cumplió con el requisito anterior, este </w:t>
      </w:r>
      <w:r>
        <w:rPr>
          <w:rFonts w:ascii="Arial" w:eastAsia="Arial" w:hAnsi="Arial" w:cs="Arial"/>
          <w:b/>
          <w:sz w:val="24"/>
          <w:szCs w:val="24"/>
          <w:highlight w:val="white"/>
        </w:rPr>
        <w:t>no fue entregado en el plazo de los cinco días</w:t>
      </w:r>
      <w:r>
        <w:rPr>
          <w:rFonts w:ascii="Arial" w:eastAsia="Arial" w:hAnsi="Arial" w:cs="Arial"/>
          <w:sz w:val="24"/>
          <w:szCs w:val="24"/>
          <w:highlight w:val="white"/>
        </w:rPr>
        <w:t xml:space="preserve"> posteriores a su publicación</w:t>
      </w:r>
      <w:r>
        <w:rPr>
          <w:rFonts w:ascii="Arial" w:eastAsia="Arial" w:hAnsi="Arial" w:cs="Arial"/>
          <w:sz w:val="24"/>
          <w:szCs w:val="24"/>
          <w:highlight w:val="white"/>
          <w:vertAlign w:val="superscript"/>
        </w:rPr>
        <w:footnoteReference w:id="27"/>
      </w:r>
      <w:r>
        <w:rPr>
          <w:rFonts w:ascii="Arial" w:eastAsia="Arial" w:hAnsi="Arial" w:cs="Arial"/>
          <w:sz w:val="24"/>
          <w:szCs w:val="24"/>
          <w:highlight w:val="white"/>
        </w:rPr>
        <w:t xml:space="preserve"> y finalmente, </w:t>
      </w:r>
      <w:proofErr w:type="spellStart"/>
      <w:r>
        <w:rPr>
          <w:rFonts w:ascii="Arial" w:eastAsia="Arial" w:hAnsi="Arial" w:cs="Arial"/>
          <w:b/>
          <w:i/>
          <w:sz w:val="24"/>
          <w:szCs w:val="24"/>
          <w:highlight w:val="white"/>
        </w:rPr>
        <w:t>iii</w:t>
      </w:r>
      <w:proofErr w:type="spellEnd"/>
      <w:r>
        <w:rPr>
          <w:rFonts w:ascii="Arial" w:eastAsia="Arial" w:hAnsi="Arial" w:cs="Arial"/>
          <w:b/>
          <w:i/>
          <w:sz w:val="24"/>
          <w:szCs w:val="24"/>
          <w:highlight w:val="white"/>
        </w:rPr>
        <w:t>)</w:t>
      </w:r>
      <w:r>
        <w:rPr>
          <w:rFonts w:ascii="Arial" w:eastAsia="Arial" w:hAnsi="Arial" w:cs="Arial"/>
          <w:sz w:val="24"/>
          <w:szCs w:val="24"/>
          <w:highlight w:val="white"/>
        </w:rPr>
        <w:t xml:space="preserve"> en relación a otra serie de encuestas, con independencia de la temporalidad en que fueron presentados los estudios respectivos ante el Instituto Local, estos no fueron coincidentes con la información publicada y difundida por la empresa encuestadora;</w:t>
      </w:r>
      <w:r>
        <w:rPr>
          <w:rFonts w:ascii="Arial" w:eastAsia="Arial" w:hAnsi="Arial" w:cs="Arial"/>
          <w:sz w:val="24"/>
          <w:szCs w:val="24"/>
          <w:highlight w:val="white"/>
          <w:vertAlign w:val="superscript"/>
        </w:rPr>
        <w:footnoteReference w:id="28"/>
      </w:r>
      <w:r>
        <w:rPr>
          <w:rFonts w:ascii="Arial" w:eastAsia="Arial" w:hAnsi="Arial" w:cs="Arial"/>
          <w:sz w:val="24"/>
          <w:szCs w:val="24"/>
          <w:highlight w:val="white"/>
        </w:rPr>
        <w:t xml:space="preserve"> En consecuencia, por lo que atañe a las referidas publicaciones, </w:t>
      </w:r>
      <w:r>
        <w:rPr>
          <w:rFonts w:ascii="Arial" w:eastAsia="Arial" w:hAnsi="Arial" w:cs="Arial"/>
          <w:b/>
          <w:sz w:val="24"/>
          <w:szCs w:val="24"/>
          <w:highlight w:val="white"/>
        </w:rPr>
        <w:t xml:space="preserve">se estima que la infracción denunciada atribuida a Grupo </w:t>
      </w:r>
      <w:proofErr w:type="spellStart"/>
      <w:r>
        <w:rPr>
          <w:rFonts w:ascii="Arial" w:eastAsia="Arial" w:hAnsi="Arial" w:cs="Arial"/>
          <w:b/>
          <w:sz w:val="24"/>
          <w:szCs w:val="24"/>
          <w:highlight w:val="white"/>
        </w:rPr>
        <w:t>Rapcen</w:t>
      </w:r>
      <w:proofErr w:type="spellEnd"/>
      <w:r>
        <w:rPr>
          <w:rFonts w:ascii="Arial" w:eastAsia="Arial" w:hAnsi="Arial" w:cs="Arial"/>
          <w:b/>
          <w:sz w:val="24"/>
          <w:szCs w:val="24"/>
          <w:highlight w:val="white"/>
        </w:rPr>
        <w:t xml:space="preserve"> S.A. de C.V. (</w:t>
      </w:r>
      <w:proofErr w:type="spellStart"/>
      <w:r>
        <w:rPr>
          <w:rFonts w:ascii="Arial" w:eastAsia="Arial" w:hAnsi="Arial" w:cs="Arial"/>
          <w:b/>
          <w:sz w:val="24"/>
          <w:szCs w:val="24"/>
          <w:highlight w:val="white"/>
        </w:rPr>
        <w:t>TResearch</w:t>
      </w:r>
      <w:proofErr w:type="spellEnd"/>
      <w:r>
        <w:rPr>
          <w:rFonts w:ascii="Arial" w:eastAsia="Arial" w:hAnsi="Arial" w:cs="Arial"/>
          <w:b/>
          <w:sz w:val="24"/>
          <w:szCs w:val="24"/>
          <w:highlight w:val="white"/>
        </w:rPr>
        <w:t xml:space="preserve">), es existente. </w:t>
      </w:r>
    </w:p>
    <w:p w14:paraId="51F15B7F" w14:textId="77777777" w:rsidR="00B14497" w:rsidRDefault="000142EE">
      <w:pPr>
        <w:spacing w:line="360" w:lineRule="auto"/>
        <w:jc w:val="both"/>
        <w:rPr>
          <w:rFonts w:ascii="Arial" w:eastAsia="Arial" w:hAnsi="Arial" w:cs="Arial"/>
          <w:sz w:val="24"/>
          <w:szCs w:val="24"/>
          <w:highlight w:val="white"/>
        </w:rPr>
      </w:pPr>
      <w:r>
        <w:rPr>
          <w:rFonts w:ascii="Arial" w:eastAsia="Arial" w:hAnsi="Arial" w:cs="Arial"/>
          <w:sz w:val="24"/>
          <w:szCs w:val="24"/>
          <w:highlight w:val="white"/>
        </w:rPr>
        <w:t>Previo a sustentar tal decisión, es preciso señalar que, la parte denunciada -a través de su escrito de contestación-, esencialmente, afirmó que las encuestas controvertidas fueron regulares y conforme a Derecho, sin embargo, este Tribunal Electoral consideró que ello no era motivo suficiente para valorar la presente controversia a partir de su contestación, ya que tal sujeto denunciado omitió presentar la documentación atinente que tuviera como efecto corroborar su dicho -que las encuestas fueron regulares-.</w:t>
      </w:r>
    </w:p>
    <w:p w14:paraId="335002CF" w14:textId="77777777" w:rsidR="00B14497" w:rsidRDefault="00B14497">
      <w:pPr>
        <w:jc w:val="both"/>
        <w:rPr>
          <w:rFonts w:ascii="Arial" w:eastAsia="Arial" w:hAnsi="Arial" w:cs="Arial"/>
          <w:sz w:val="24"/>
          <w:szCs w:val="24"/>
          <w:highlight w:val="white"/>
        </w:rPr>
      </w:pPr>
    </w:p>
    <w:p w14:paraId="1F8899B7" w14:textId="77777777" w:rsidR="00B14497" w:rsidRDefault="000142EE">
      <w:pPr>
        <w:spacing w:after="240" w:line="360" w:lineRule="auto"/>
        <w:jc w:val="both"/>
        <w:rPr>
          <w:rFonts w:ascii="Arial" w:eastAsia="Arial" w:hAnsi="Arial" w:cs="Arial"/>
          <w:sz w:val="24"/>
          <w:szCs w:val="24"/>
          <w:highlight w:val="white"/>
        </w:rPr>
      </w:pPr>
      <w:r>
        <w:rPr>
          <w:rFonts w:ascii="Arial" w:eastAsia="Arial" w:hAnsi="Arial" w:cs="Arial"/>
          <w:sz w:val="24"/>
          <w:szCs w:val="24"/>
          <w:highlight w:val="white"/>
        </w:rPr>
        <w:t xml:space="preserve">De ahí que, fue necesario que esta autoridad jurisdiccional realizara las diligencias necesarias para allegarse de la documentación que permitiera esclarecer la materia de la presente controversia, que es precisamente: </w:t>
      </w:r>
      <w:r>
        <w:rPr>
          <w:rFonts w:ascii="Arial" w:eastAsia="Arial" w:hAnsi="Arial" w:cs="Arial"/>
          <w:b/>
          <w:i/>
          <w:sz w:val="24"/>
          <w:szCs w:val="24"/>
          <w:highlight w:val="white"/>
        </w:rPr>
        <w:t>i)</w:t>
      </w:r>
      <w:r>
        <w:rPr>
          <w:rFonts w:ascii="Arial" w:eastAsia="Arial" w:hAnsi="Arial" w:cs="Arial"/>
          <w:sz w:val="24"/>
          <w:szCs w:val="24"/>
          <w:highlight w:val="white"/>
        </w:rPr>
        <w:t xml:space="preserve"> si la parte denunciada entregó la documentación que respalda la difusión de las encuestas electorales controvertidas,</w:t>
      </w:r>
      <w:r>
        <w:rPr>
          <w:rFonts w:ascii="Arial" w:eastAsia="Arial" w:hAnsi="Arial" w:cs="Arial"/>
          <w:b/>
          <w:i/>
          <w:sz w:val="24"/>
          <w:szCs w:val="24"/>
          <w:highlight w:val="white"/>
        </w:rPr>
        <w:t xml:space="preserve"> </w:t>
      </w:r>
      <w:proofErr w:type="spellStart"/>
      <w:r>
        <w:rPr>
          <w:rFonts w:ascii="Arial" w:eastAsia="Arial" w:hAnsi="Arial" w:cs="Arial"/>
          <w:b/>
          <w:i/>
          <w:sz w:val="24"/>
          <w:szCs w:val="24"/>
          <w:highlight w:val="white"/>
        </w:rPr>
        <w:t>ii</w:t>
      </w:r>
      <w:proofErr w:type="spellEnd"/>
      <w:r>
        <w:rPr>
          <w:rFonts w:ascii="Arial" w:eastAsia="Arial" w:hAnsi="Arial" w:cs="Arial"/>
          <w:b/>
          <w:i/>
          <w:sz w:val="24"/>
          <w:szCs w:val="24"/>
          <w:highlight w:val="white"/>
        </w:rPr>
        <w:t>)</w:t>
      </w:r>
      <w:r>
        <w:rPr>
          <w:rFonts w:ascii="Arial" w:eastAsia="Arial" w:hAnsi="Arial" w:cs="Arial"/>
          <w:sz w:val="24"/>
          <w:szCs w:val="24"/>
          <w:highlight w:val="white"/>
        </w:rPr>
        <w:t xml:space="preserve"> si tal documentación se presentó dentro de la temporalidad prevista por la norma y, </w:t>
      </w:r>
      <w:proofErr w:type="spellStart"/>
      <w:r>
        <w:rPr>
          <w:rFonts w:ascii="Arial" w:eastAsia="Arial" w:hAnsi="Arial" w:cs="Arial"/>
          <w:b/>
          <w:i/>
          <w:sz w:val="24"/>
          <w:szCs w:val="24"/>
          <w:highlight w:val="white"/>
        </w:rPr>
        <w:t>iii</w:t>
      </w:r>
      <w:proofErr w:type="spellEnd"/>
      <w:r>
        <w:rPr>
          <w:rFonts w:ascii="Arial" w:eastAsia="Arial" w:hAnsi="Arial" w:cs="Arial"/>
          <w:b/>
          <w:i/>
          <w:sz w:val="24"/>
          <w:szCs w:val="24"/>
          <w:highlight w:val="white"/>
        </w:rPr>
        <w:t>)</w:t>
      </w:r>
      <w:r>
        <w:rPr>
          <w:rFonts w:ascii="Arial" w:eastAsia="Arial" w:hAnsi="Arial" w:cs="Arial"/>
          <w:sz w:val="24"/>
          <w:szCs w:val="24"/>
          <w:highlight w:val="white"/>
        </w:rPr>
        <w:t xml:space="preserve"> si las encuestas controvertidas son coincidentes con las encuestas que en su caso se hayan registrado ante la autoridad administrativa.</w:t>
      </w:r>
    </w:p>
    <w:p w14:paraId="567DC524" w14:textId="77777777" w:rsidR="00B14497" w:rsidRDefault="000142EE">
      <w:pPr>
        <w:spacing w:line="360" w:lineRule="auto"/>
        <w:jc w:val="both"/>
        <w:rPr>
          <w:rFonts w:ascii="Arial" w:eastAsia="Arial" w:hAnsi="Arial" w:cs="Arial"/>
          <w:sz w:val="24"/>
          <w:szCs w:val="24"/>
          <w:highlight w:val="white"/>
        </w:rPr>
      </w:pPr>
      <w:r>
        <w:rPr>
          <w:rFonts w:ascii="Arial" w:eastAsia="Arial" w:hAnsi="Arial" w:cs="Arial"/>
          <w:sz w:val="24"/>
          <w:szCs w:val="24"/>
          <w:highlight w:val="white"/>
        </w:rPr>
        <w:lastRenderedPageBreak/>
        <w:t xml:space="preserve">Es por ello que, a través del requerimiento dirigido a la Secretaría Ejecutiva del Instituto Local, se remitió diversa documentación que demostró que </w:t>
      </w:r>
      <w:r>
        <w:rPr>
          <w:rFonts w:ascii="Arial" w:eastAsia="Arial" w:hAnsi="Arial" w:cs="Arial"/>
          <w:b/>
          <w:sz w:val="24"/>
          <w:szCs w:val="24"/>
          <w:highlight w:val="white"/>
        </w:rPr>
        <w:t>las publicaciones efectivamente se trataron de encuestas electorales difundidas por una persona moral</w:t>
      </w:r>
      <w:r>
        <w:rPr>
          <w:rFonts w:ascii="Arial" w:eastAsia="Arial" w:hAnsi="Arial" w:cs="Arial"/>
          <w:sz w:val="24"/>
          <w:szCs w:val="24"/>
          <w:highlight w:val="white"/>
        </w:rPr>
        <w:t xml:space="preserve">, por lo que la parte denunciada como sujeto obligado por el Reglamento de Elecciones, sí presentó ante la autoridad administrativa, la documentación que respalda la difusión de una serie de encuestas en las fechas precisadas en la tabla realizada en el apartado de “Hechos acreditados” de la presente resolución. </w:t>
      </w:r>
    </w:p>
    <w:p w14:paraId="3200D0BE" w14:textId="77777777" w:rsidR="00B14497" w:rsidRDefault="00B14497">
      <w:pPr>
        <w:jc w:val="both"/>
        <w:rPr>
          <w:rFonts w:ascii="Arial" w:eastAsia="Arial" w:hAnsi="Arial" w:cs="Arial"/>
          <w:sz w:val="24"/>
          <w:szCs w:val="24"/>
          <w:highlight w:val="white"/>
        </w:rPr>
      </w:pPr>
    </w:p>
    <w:p w14:paraId="6454DA9E" w14:textId="77777777" w:rsidR="00B14497" w:rsidRDefault="000142EE">
      <w:pPr>
        <w:spacing w:after="240" w:line="360" w:lineRule="auto"/>
        <w:jc w:val="both"/>
        <w:rPr>
          <w:rFonts w:ascii="Arial" w:eastAsia="Arial" w:hAnsi="Arial" w:cs="Arial"/>
          <w:sz w:val="24"/>
          <w:szCs w:val="24"/>
          <w:highlight w:val="white"/>
        </w:rPr>
      </w:pPr>
      <w:r>
        <w:rPr>
          <w:rFonts w:ascii="Arial" w:eastAsia="Arial" w:hAnsi="Arial" w:cs="Arial"/>
          <w:sz w:val="24"/>
          <w:szCs w:val="24"/>
          <w:highlight w:val="white"/>
        </w:rPr>
        <w:t xml:space="preserve">Al respecto, de las diligencias comentadas, la autoridad administrativa proporcionó la información necesaria para tal efecto, en la cual fue posible concluir que </w:t>
      </w:r>
      <w:r>
        <w:rPr>
          <w:rFonts w:ascii="Arial" w:eastAsia="Arial" w:hAnsi="Arial" w:cs="Arial"/>
          <w:b/>
          <w:sz w:val="24"/>
          <w:szCs w:val="24"/>
          <w:highlight w:val="white"/>
        </w:rPr>
        <w:t>las encuestas identificadas con los numerales 2 y 9, fueron publicadas y difundidas conforme a los parámetros previstos</w:t>
      </w:r>
      <w:r>
        <w:rPr>
          <w:rFonts w:ascii="Arial" w:eastAsia="Arial" w:hAnsi="Arial" w:cs="Arial"/>
          <w:sz w:val="24"/>
          <w:szCs w:val="24"/>
          <w:highlight w:val="white"/>
        </w:rPr>
        <w:t>, ya que en primer lugar, sí se entregó la documentación y ello fue dentro del plazo de los cinco días, y en segundo término, las encuestas cuestionadas sí fueron coincidentes con las que se presentaron ante la Secretaría Ejecutiva del Instituto Local, situación que demostró regularidad en cuanto al primer grupo de encuestas electorales.</w:t>
      </w:r>
    </w:p>
    <w:p w14:paraId="2653D82F" w14:textId="77777777" w:rsidR="00B14497" w:rsidRDefault="000142EE">
      <w:pPr>
        <w:spacing w:before="240" w:after="240" w:line="360" w:lineRule="auto"/>
        <w:jc w:val="both"/>
        <w:rPr>
          <w:rFonts w:ascii="Arial" w:eastAsia="Arial" w:hAnsi="Arial" w:cs="Arial"/>
          <w:sz w:val="24"/>
          <w:szCs w:val="24"/>
          <w:highlight w:val="white"/>
        </w:rPr>
      </w:pPr>
      <w:r>
        <w:rPr>
          <w:rFonts w:ascii="Arial" w:eastAsia="Arial" w:hAnsi="Arial" w:cs="Arial"/>
          <w:sz w:val="24"/>
          <w:szCs w:val="24"/>
          <w:highlight w:val="white"/>
        </w:rPr>
        <w:t xml:space="preserve">Ahora bien, como resultado del referido requerimiento, también fue posible identificar que las encuestas 3, 4, 5, 6, 8 y 10, sí se encuentran respaldadas con la documentación a la que hace referencia el anexo 3 del Reglamento de Elecciones, no obstante, la presentación de estas </w:t>
      </w:r>
      <w:r>
        <w:rPr>
          <w:rFonts w:ascii="Arial" w:eastAsia="Arial" w:hAnsi="Arial" w:cs="Arial"/>
          <w:b/>
          <w:sz w:val="24"/>
          <w:szCs w:val="24"/>
          <w:highlight w:val="white"/>
        </w:rPr>
        <w:t>dejó de cumplir con la temporalidad de los cinco días posteriores a su difusión</w:t>
      </w:r>
      <w:r>
        <w:rPr>
          <w:rFonts w:ascii="Arial" w:eastAsia="Arial" w:hAnsi="Arial" w:cs="Arial"/>
          <w:sz w:val="24"/>
          <w:szCs w:val="24"/>
          <w:highlight w:val="white"/>
        </w:rPr>
        <w:t>, ya que estas fueron entregadas con posterioridad, tal y como se muestra en la tabla mencionada y abordada en la presente resolución.</w:t>
      </w:r>
    </w:p>
    <w:p w14:paraId="7999556B" w14:textId="77777777" w:rsidR="00B14497" w:rsidRDefault="000142EE">
      <w:pPr>
        <w:spacing w:before="240" w:after="240" w:line="360" w:lineRule="auto"/>
        <w:jc w:val="both"/>
        <w:rPr>
          <w:rFonts w:ascii="Arial" w:eastAsia="Arial" w:hAnsi="Arial" w:cs="Arial"/>
          <w:sz w:val="24"/>
          <w:szCs w:val="24"/>
          <w:highlight w:val="white"/>
        </w:rPr>
      </w:pPr>
      <w:r>
        <w:rPr>
          <w:rFonts w:ascii="Arial" w:eastAsia="Arial" w:hAnsi="Arial" w:cs="Arial"/>
          <w:sz w:val="24"/>
          <w:szCs w:val="24"/>
          <w:highlight w:val="white"/>
        </w:rPr>
        <w:t xml:space="preserve">Por tanto, en cuanto a la referida serie de publicaciones, este órgano jurisdiccional estima que </w:t>
      </w:r>
      <w:r>
        <w:rPr>
          <w:rFonts w:ascii="Arial" w:eastAsia="Arial" w:hAnsi="Arial" w:cs="Arial"/>
          <w:b/>
          <w:sz w:val="24"/>
          <w:szCs w:val="24"/>
          <w:highlight w:val="white"/>
        </w:rPr>
        <w:t>la infracción denunciada es existente</w:t>
      </w:r>
      <w:r>
        <w:rPr>
          <w:rFonts w:ascii="Arial" w:eastAsia="Arial" w:hAnsi="Arial" w:cs="Arial"/>
          <w:sz w:val="24"/>
          <w:szCs w:val="24"/>
          <w:highlight w:val="white"/>
        </w:rPr>
        <w:t xml:space="preserve"> al no haber cumplido, como se explicó, con la temporalidad de los cinco días posteriores a la difusión de las encuestas, por lo cual, la parte denunciada dejó de observar uno de los requisitos básicos que exige el marco normativo en materia de encuestas electorales.</w:t>
      </w:r>
    </w:p>
    <w:p w14:paraId="0A6EDB9E" w14:textId="77777777" w:rsidR="00B14497" w:rsidRDefault="000142EE">
      <w:pPr>
        <w:spacing w:before="240" w:after="240" w:line="360" w:lineRule="auto"/>
        <w:jc w:val="both"/>
        <w:rPr>
          <w:rFonts w:ascii="Arial" w:eastAsia="Arial" w:hAnsi="Arial" w:cs="Arial"/>
          <w:b/>
          <w:sz w:val="24"/>
          <w:szCs w:val="24"/>
          <w:highlight w:val="white"/>
        </w:rPr>
      </w:pPr>
      <w:r>
        <w:rPr>
          <w:rFonts w:ascii="Arial" w:eastAsia="Arial" w:hAnsi="Arial" w:cs="Arial"/>
          <w:sz w:val="24"/>
          <w:szCs w:val="24"/>
          <w:highlight w:val="white"/>
        </w:rPr>
        <w:t xml:space="preserve">Igualmente, a partir del requerimiento comentado, fue posible advertir que dos de las encuestas electorales controvertidas -las identificadas con los numerales 1 y 7-, </w:t>
      </w:r>
      <w:r>
        <w:rPr>
          <w:rFonts w:ascii="Arial" w:eastAsia="Arial" w:hAnsi="Arial" w:cs="Arial"/>
          <w:b/>
          <w:sz w:val="24"/>
          <w:szCs w:val="24"/>
          <w:highlight w:val="white"/>
        </w:rPr>
        <w:t>dejaron de cumplir con ambos requisitos legales</w:t>
      </w:r>
      <w:r>
        <w:rPr>
          <w:rFonts w:ascii="Arial" w:eastAsia="Arial" w:hAnsi="Arial" w:cs="Arial"/>
          <w:sz w:val="24"/>
          <w:szCs w:val="24"/>
          <w:highlight w:val="white"/>
        </w:rPr>
        <w:t xml:space="preserve">, respecto a la entrega de la documentación que respalde la difusión de las encuestas electorales controvertidas y, por tanto, en la temporalidad que exige la Ley. Por lo cual, en lo que respecta a la situación de ambas encuestas, este órgano jurisdiccional estima que debe seguir la misma suerte del anterior grupo de publicaciones, esto es, </w:t>
      </w:r>
      <w:r>
        <w:rPr>
          <w:rFonts w:ascii="Arial" w:eastAsia="Arial" w:hAnsi="Arial" w:cs="Arial"/>
          <w:b/>
          <w:sz w:val="24"/>
          <w:szCs w:val="24"/>
          <w:highlight w:val="white"/>
        </w:rPr>
        <w:t>la existencia de la infracción relacionada con la indebida difusión de encuestas electorales.</w:t>
      </w:r>
    </w:p>
    <w:p w14:paraId="59EBE5AF" w14:textId="77777777" w:rsidR="00B14497" w:rsidRDefault="000142EE">
      <w:pPr>
        <w:spacing w:before="240" w:after="240" w:line="360" w:lineRule="auto"/>
        <w:jc w:val="both"/>
        <w:rPr>
          <w:rFonts w:ascii="Arial" w:eastAsia="Arial" w:hAnsi="Arial" w:cs="Arial"/>
          <w:sz w:val="24"/>
          <w:szCs w:val="24"/>
          <w:highlight w:val="white"/>
        </w:rPr>
      </w:pPr>
      <w:r>
        <w:rPr>
          <w:rFonts w:ascii="Arial" w:eastAsia="Arial" w:hAnsi="Arial" w:cs="Arial"/>
          <w:sz w:val="24"/>
          <w:szCs w:val="24"/>
          <w:highlight w:val="white"/>
        </w:rPr>
        <w:t xml:space="preserve">Esta postura </w:t>
      </w:r>
      <w:r>
        <w:rPr>
          <w:rFonts w:ascii="Arial" w:eastAsia="Arial" w:hAnsi="Arial" w:cs="Arial"/>
          <w:b/>
          <w:sz w:val="24"/>
          <w:szCs w:val="24"/>
          <w:highlight w:val="white"/>
        </w:rPr>
        <w:t>no es contraria a la libertad de expresión</w:t>
      </w:r>
      <w:r>
        <w:rPr>
          <w:rFonts w:ascii="Arial" w:eastAsia="Arial" w:hAnsi="Arial" w:cs="Arial"/>
          <w:sz w:val="24"/>
          <w:szCs w:val="24"/>
          <w:highlight w:val="white"/>
        </w:rPr>
        <w:t xml:space="preserve">, ya que tal y como se expuso en el marco normativo, el ejercicio de publicar y difundir encuestas y sondeos de carácter </w:t>
      </w:r>
      <w:r>
        <w:rPr>
          <w:rFonts w:ascii="Arial" w:eastAsia="Arial" w:hAnsi="Arial" w:cs="Arial"/>
          <w:sz w:val="24"/>
          <w:szCs w:val="24"/>
          <w:highlight w:val="white"/>
        </w:rPr>
        <w:lastRenderedPageBreak/>
        <w:t>electoral, son parte de los derechos de libertad de expresión en su doble vertiente -individual y colectiva-, ya que tienen como finalidad garantizar a las personas espacios para desenvolverse en el ejercicio democrático.</w:t>
      </w:r>
    </w:p>
    <w:p w14:paraId="49D747A3" w14:textId="77777777" w:rsidR="00B14497" w:rsidRDefault="000142EE">
      <w:pPr>
        <w:spacing w:before="240" w:after="240" w:line="360" w:lineRule="auto"/>
        <w:jc w:val="both"/>
        <w:rPr>
          <w:rFonts w:ascii="Arial" w:eastAsia="Arial" w:hAnsi="Arial" w:cs="Arial"/>
          <w:sz w:val="24"/>
          <w:szCs w:val="24"/>
          <w:highlight w:val="white"/>
        </w:rPr>
      </w:pPr>
      <w:r>
        <w:rPr>
          <w:rFonts w:ascii="Arial" w:eastAsia="Arial" w:hAnsi="Arial" w:cs="Arial"/>
          <w:sz w:val="24"/>
          <w:szCs w:val="24"/>
          <w:highlight w:val="white"/>
        </w:rPr>
        <w:t>Por tanto, al tratarse de libertades con dimensiones sociales e individuales, el Estado, a través de sus órganos jurisdiccionales, debe asegurar que las personas tengan la posibilidad de manifestarse libremente y, a su vez, respetar el derecho a recibir información y a conocer la expresión del pensamiento ajeno, es decir, que existe una plena libertad para expresar, recolectar, difundir y publicar informaciones, opiniones e ideas, lo cual, forma las condiciones imprescindibles para ejercer plenamente otras prerrogativas de carácter electoral.</w:t>
      </w:r>
    </w:p>
    <w:p w14:paraId="62E4029E" w14:textId="77777777" w:rsidR="00B14497" w:rsidRDefault="000142EE">
      <w:pPr>
        <w:spacing w:before="240" w:after="240" w:line="360" w:lineRule="auto"/>
        <w:jc w:val="both"/>
        <w:rPr>
          <w:rFonts w:ascii="Arial" w:eastAsia="Arial" w:hAnsi="Arial" w:cs="Arial"/>
          <w:sz w:val="24"/>
          <w:szCs w:val="24"/>
          <w:highlight w:val="white"/>
        </w:rPr>
      </w:pPr>
      <w:r>
        <w:rPr>
          <w:rFonts w:ascii="Arial" w:eastAsia="Arial" w:hAnsi="Arial" w:cs="Arial"/>
          <w:sz w:val="24"/>
          <w:szCs w:val="24"/>
          <w:highlight w:val="white"/>
        </w:rPr>
        <w:t xml:space="preserve">Así, la publicación y difusión de encuestas sobre preferencias electorales  en el marco del proceso comicial constituye también un ejercicio de los derechos de libre expresión e información, por eso </w:t>
      </w:r>
      <w:r>
        <w:rPr>
          <w:rFonts w:ascii="Arial" w:eastAsia="Arial" w:hAnsi="Arial" w:cs="Arial"/>
          <w:b/>
          <w:sz w:val="24"/>
          <w:szCs w:val="24"/>
          <w:highlight w:val="white"/>
        </w:rPr>
        <w:t>la publicación de encuestas abona a fortalecer la información de la ciudadanía en la emisión del voto</w:t>
      </w:r>
      <w:r>
        <w:rPr>
          <w:rFonts w:ascii="Arial" w:eastAsia="Arial" w:hAnsi="Arial" w:cs="Arial"/>
          <w:sz w:val="24"/>
          <w:szCs w:val="24"/>
          <w:highlight w:val="white"/>
        </w:rPr>
        <w:t xml:space="preserve">, por ello, tales actividades debe realizarse en un ámbito de libertad metodológica y científica, con la condición de que ello se realice </w:t>
      </w:r>
      <w:r>
        <w:rPr>
          <w:rFonts w:ascii="Arial" w:eastAsia="Arial" w:hAnsi="Arial" w:cs="Arial"/>
          <w:b/>
          <w:sz w:val="24"/>
          <w:szCs w:val="24"/>
          <w:highlight w:val="white"/>
        </w:rPr>
        <w:t>conforme a los parámetros constitucionales y legales</w:t>
      </w:r>
      <w:r>
        <w:rPr>
          <w:rFonts w:ascii="Arial" w:eastAsia="Arial" w:hAnsi="Arial" w:cs="Arial"/>
          <w:sz w:val="24"/>
          <w:szCs w:val="24"/>
          <w:highlight w:val="white"/>
        </w:rPr>
        <w:t>; en el caso, como se adelantó, para difundir encuestas electorales, deben entregar una copia del estudio completo que respalde los resultados ante la autoridad administrativa.</w:t>
      </w:r>
    </w:p>
    <w:p w14:paraId="60454F66" w14:textId="77777777" w:rsidR="00B14497" w:rsidRDefault="000142EE">
      <w:pPr>
        <w:spacing w:before="240" w:after="240" w:line="360" w:lineRule="auto"/>
        <w:jc w:val="both"/>
        <w:rPr>
          <w:rFonts w:ascii="Arial" w:eastAsia="Arial" w:hAnsi="Arial" w:cs="Arial"/>
          <w:sz w:val="24"/>
          <w:szCs w:val="24"/>
          <w:highlight w:val="white"/>
        </w:rPr>
      </w:pPr>
      <w:r>
        <w:rPr>
          <w:rFonts w:ascii="Arial" w:eastAsia="Arial" w:hAnsi="Arial" w:cs="Arial"/>
          <w:sz w:val="24"/>
          <w:szCs w:val="24"/>
          <w:highlight w:val="white"/>
        </w:rPr>
        <w:t xml:space="preserve">Sobre esa base, del análisis objetivo y estricto de las constancias proporcionadas por el Instituto Local, fue posible sostener que las publicaciones identificadas con los numerales 11, 12, 13, 14, 15, 16, 17 y 18, tuvieron una irregularidad, ya que a pesar de que algunas de estas sí cumplieron con ambos requisitos -entrega del estudio metodológico en la temporalidad prevista-, y otras sólo con el primero de los indicados, </w:t>
      </w:r>
      <w:r>
        <w:rPr>
          <w:rFonts w:ascii="Arial" w:eastAsia="Arial" w:hAnsi="Arial" w:cs="Arial"/>
          <w:b/>
          <w:sz w:val="24"/>
          <w:szCs w:val="24"/>
          <w:highlight w:val="white"/>
        </w:rPr>
        <w:t>se demostró una falta de coincidencia entre las publicaciones cuestionadas y las que fueron registradas</w:t>
      </w:r>
      <w:r>
        <w:rPr>
          <w:rFonts w:ascii="Arial" w:eastAsia="Arial" w:hAnsi="Arial" w:cs="Arial"/>
          <w:sz w:val="24"/>
          <w:szCs w:val="24"/>
          <w:highlight w:val="white"/>
        </w:rPr>
        <w:t xml:space="preserve"> ante el Instituto Local, en particular, esto se debió a que no aparece el nombre de una de las candidatas en la documentación corroborada ante al Instituto, frente a las que forman parte de la presente controversia, y además se observa una variación de puntos porcentuales en el rubro de “NO SABE AÚN”.</w:t>
      </w:r>
    </w:p>
    <w:p w14:paraId="5E03DA63" w14:textId="77777777" w:rsidR="00B14497" w:rsidRDefault="000142EE">
      <w:pPr>
        <w:spacing w:before="240" w:after="240" w:line="360" w:lineRule="auto"/>
        <w:jc w:val="both"/>
        <w:rPr>
          <w:rFonts w:ascii="Arial" w:eastAsia="Arial" w:hAnsi="Arial" w:cs="Arial"/>
          <w:sz w:val="24"/>
          <w:szCs w:val="24"/>
          <w:highlight w:val="white"/>
        </w:rPr>
      </w:pPr>
      <w:r>
        <w:rPr>
          <w:rFonts w:ascii="Arial" w:eastAsia="Arial" w:hAnsi="Arial" w:cs="Arial"/>
          <w:sz w:val="24"/>
          <w:szCs w:val="24"/>
          <w:highlight w:val="white"/>
        </w:rPr>
        <w:t>Así, a criterio de este órgano jurisdiccional, es posible asumir que la verificación de esta información, en su caso, le correspondía a la autoridad administrativa con el objetivo de que hubiere una coincidencia exacta, por lo cual tenía el deber de realizar los requerimientos necesarios para efecto de que se convalidara tal aspecto por parte del sujeto obligado, pues de no ser así, tales encuestas se difundirían de forma irregular.</w:t>
      </w:r>
    </w:p>
    <w:p w14:paraId="54DDFC1A" w14:textId="77777777" w:rsidR="00B14497" w:rsidRDefault="000142EE">
      <w:pPr>
        <w:spacing w:before="240" w:after="240" w:line="360" w:lineRule="auto"/>
        <w:jc w:val="both"/>
        <w:rPr>
          <w:rFonts w:ascii="Arial" w:eastAsia="Arial" w:hAnsi="Arial" w:cs="Arial"/>
          <w:sz w:val="24"/>
          <w:szCs w:val="24"/>
          <w:highlight w:val="white"/>
        </w:rPr>
      </w:pPr>
      <w:r>
        <w:rPr>
          <w:rFonts w:ascii="Arial" w:eastAsia="Arial" w:hAnsi="Arial" w:cs="Arial"/>
          <w:sz w:val="24"/>
          <w:szCs w:val="24"/>
          <w:highlight w:val="white"/>
        </w:rPr>
        <w:t xml:space="preserve">En consecuencia, este Tribunal Electoral considera que el hecho de que no exista coincidencia exacta entre las encuestas comentadas, en teoría, no actualiza un requisito previsto en el marco normativo abordado en la presente sentencia, sin embargo, a partir del </w:t>
      </w:r>
      <w:r>
        <w:rPr>
          <w:rFonts w:ascii="Arial" w:eastAsia="Arial" w:hAnsi="Arial" w:cs="Arial"/>
          <w:sz w:val="24"/>
          <w:szCs w:val="24"/>
          <w:highlight w:val="white"/>
        </w:rPr>
        <w:lastRenderedPageBreak/>
        <w:t xml:space="preserve">análisis sistemático del conjunto de requisitos, se establece que el procedimiento que prevé el Reglamento de Elecciones, tiene como propósito esencial </w:t>
      </w:r>
      <w:r>
        <w:rPr>
          <w:rFonts w:ascii="Arial" w:eastAsia="Arial" w:hAnsi="Arial" w:cs="Arial"/>
          <w:b/>
          <w:sz w:val="24"/>
          <w:szCs w:val="24"/>
          <w:highlight w:val="white"/>
        </w:rPr>
        <w:t>procurar que las encuestas electorales sean exactas y veraces</w:t>
      </w:r>
      <w:r>
        <w:rPr>
          <w:rFonts w:ascii="Arial" w:eastAsia="Arial" w:hAnsi="Arial" w:cs="Arial"/>
          <w:sz w:val="24"/>
          <w:szCs w:val="24"/>
          <w:highlight w:val="white"/>
        </w:rPr>
        <w:t>, por lo cual, este propósito solamente podría lograrse a partir de la verificación que realice la autoridad administrativa correspondiente, a fin de garantizar tal aspecto.</w:t>
      </w:r>
    </w:p>
    <w:p w14:paraId="631D601D" w14:textId="77777777" w:rsidR="00B14497" w:rsidRDefault="000142EE">
      <w:pPr>
        <w:spacing w:before="240" w:after="240" w:line="360" w:lineRule="auto"/>
        <w:jc w:val="both"/>
        <w:rPr>
          <w:rFonts w:ascii="Arial" w:eastAsia="Arial" w:hAnsi="Arial" w:cs="Arial"/>
          <w:b/>
          <w:sz w:val="24"/>
          <w:szCs w:val="24"/>
          <w:highlight w:val="white"/>
        </w:rPr>
      </w:pPr>
      <w:r>
        <w:rPr>
          <w:rFonts w:ascii="Arial" w:eastAsia="Arial" w:hAnsi="Arial" w:cs="Arial"/>
          <w:sz w:val="24"/>
          <w:szCs w:val="24"/>
          <w:highlight w:val="white"/>
        </w:rPr>
        <w:t xml:space="preserve">Por lo cual, se exhorta al Instituto Local a </w:t>
      </w:r>
      <w:proofErr w:type="gramStart"/>
      <w:r>
        <w:rPr>
          <w:rFonts w:ascii="Arial" w:eastAsia="Arial" w:hAnsi="Arial" w:cs="Arial"/>
          <w:sz w:val="24"/>
          <w:szCs w:val="24"/>
          <w:highlight w:val="white"/>
        </w:rPr>
        <w:t>que</w:t>
      </w:r>
      <w:proofErr w:type="gramEnd"/>
      <w:r>
        <w:rPr>
          <w:rFonts w:ascii="Arial" w:eastAsia="Arial" w:hAnsi="Arial" w:cs="Arial"/>
          <w:sz w:val="24"/>
          <w:szCs w:val="24"/>
          <w:highlight w:val="white"/>
        </w:rPr>
        <w:t xml:space="preserve"> en posteriores ocasiones, verifique de manera puntual la información presentada por las y los sujetos obligados en materia de encuestas electorales, </w:t>
      </w:r>
      <w:r>
        <w:rPr>
          <w:rFonts w:ascii="Arial" w:eastAsia="Arial" w:hAnsi="Arial" w:cs="Arial"/>
          <w:b/>
          <w:sz w:val="24"/>
          <w:szCs w:val="24"/>
          <w:highlight w:val="white"/>
        </w:rPr>
        <w:t>con independencia del medio por el cual se difundan estas.</w:t>
      </w:r>
    </w:p>
    <w:p w14:paraId="78FD1D3C" w14:textId="77777777" w:rsidR="00B14497" w:rsidRDefault="000142EE">
      <w:pPr>
        <w:spacing w:before="240" w:after="240" w:line="360" w:lineRule="auto"/>
        <w:jc w:val="both"/>
        <w:rPr>
          <w:rFonts w:ascii="Arial" w:eastAsia="Arial" w:hAnsi="Arial" w:cs="Arial"/>
          <w:sz w:val="24"/>
          <w:szCs w:val="24"/>
          <w:highlight w:val="white"/>
        </w:rPr>
      </w:pPr>
      <w:r>
        <w:rPr>
          <w:rFonts w:ascii="Arial" w:eastAsia="Arial" w:hAnsi="Arial" w:cs="Arial"/>
          <w:b/>
          <w:sz w:val="24"/>
          <w:szCs w:val="24"/>
          <w:highlight w:val="white"/>
        </w:rPr>
        <w:t xml:space="preserve">3.2. </w:t>
      </w:r>
      <w:r>
        <w:rPr>
          <w:rFonts w:ascii="Arial" w:eastAsia="Arial" w:hAnsi="Arial" w:cs="Arial"/>
          <w:sz w:val="24"/>
          <w:szCs w:val="24"/>
          <w:highlight w:val="white"/>
        </w:rPr>
        <w:t>Por otra parte, como se expuso con anterioridad, los medios de comunicación “</w:t>
      </w:r>
      <w:r>
        <w:rPr>
          <w:rFonts w:ascii="Arial" w:eastAsia="Arial" w:hAnsi="Arial" w:cs="Arial"/>
          <w:sz w:val="24"/>
          <w:szCs w:val="24"/>
        </w:rPr>
        <w:t>El Bunker Político”, “</w:t>
      </w:r>
      <w:proofErr w:type="spellStart"/>
      <w:r>
        <w:rPr>
          <w:rFonts w:ascii="Arial" w:eastAsia="Arial" w:hAnsi="Arial" w:cs="Arial"/>
          <w:sz w:val="24"/>
          <w:szCs w:val="24"/>
        </w:rPr>
        <w:t>AgsOpina</w:t>
      </w:r>
      <w:proofErr w:type="spellEnd"/>
      <w:r>
        <w:rPr>
          <w:rFonts w:ascii="Arial" w:eastAsia="Arial" w:hAnsi="Arial" w:cs="Arial"/>
          <w:sz w:val="24"/>
          <w:szCs w:val="24"/>
        </w:rPr>
        <w:t>”, “24/7 News”, “Nexo Noticias”, “Omega Noticias” y “</w:t>
      </w:r>
      <w:proofErr w:type="spellStart"/>
      <w:r>
        <w:rPr>
          <w:rFonts w:ascii="Arial" w:eastAsia="Arial" w:hAnsi="Arial" w:cs="Arial"/>
          <w:sz w:val="24"/>
          <w:szCs w:val="24"/>
        </w:rPr>
        <w:t>Noti</w:t>
      </w:r>
      <w:proofErr w:type="spellEnd"/>
      <w:r>
        <w:rPr>
          <w:rFonts w:ascii="Arial" w:eastAsia="Arial" w:hAnsi="Arial" w:cs="Arial"/>
          <w:sz w:val="24"/>
          <w:szCs w:val="24"/>
        </w:rPr>
        <w:t xml:space="preserve"> Siete”, </w:t>
      </w:r>
      <w:r>
        <w:rPr>
          <w:rFonts w:ascii="Arial" w:eastAsia="Arial" w:hAnsi="Arial" w:cs="Arial"/>
          <w:sz w:val="24"/>
          <w:szCs w:val="24"/>
          <w:highlight w:val="white"/>
        </w:rPr>
        <w:t xml:space="preserve">fungieron como parte denunciada en el presente procedimiento sancionador, en atención a que igualmente se les cuestionó la indebida difusión de las encuestas por la parte denunciante en su escrito de queja. </w:t>
      </w:r>
    </w:p>
    <w:p w14:paraId="21578BCC" w14:textId="77777777" w:rsidR="00B14497" w:rsidRDefault="000142EE">
      <w:pPr>
        <w:spacing w:before="240" w:after="240" w:line="360" w:lineRule="auto"/>
        <w:jc w:val="both"/>
        <w:rPr>
          <w:rFonts w:ascii="Arial" w:eastAsia="Arial" w:hAnsi="Arial" w:cs="Arial"/>
          <w:b/>
          <w:sz w:val="24"/>
          <w:szCs w:val="24"/>
        </w:rPr>
      </w:pPr>
      <w:r>
        <w:rPr>
          <w:rFonts w:ascii="Arial" w:eastAsia="Arial" w:hAnsi="Arial" w:cs="Arial"/>
          <w:sz w:val="24"/>
          <w:szCs w:val="24"/>
          <w:highlight w:val="white"/>
        </w:rPr>
        <w:t xml:space="preserve">Ante ello, a criterio de este órgano jurisdiccional, debe sostenerse que el sujeto responsable de la difusión y publicación de las encuestas electorales controvertidas y analizadas, fue la empresa </w:t>
      </w:r>
      <w:r>
        <w:rPr>
          <w:rFonts w:ascii="Arial" w:eastAsia="Arial" w:hAnsi="Arial" w:cs="Arial"/>
          <w:sz w:val="24"/>
          <w:szCs w:val="24"/>
        </w:rPr>
        <w:t xml:space="preserve">Grupo </w:t>
      </w:r>
      <w:proofErr w:type="spellStart"/>
      <w:r>
        <w:rPr>
          <w:rFonts w:ascii="Arial" w:eastAsia="Arial" w:hAnsi="Arial" w:cs="Arial"/>
          <w:sz w:val="24"/>
          <w:szCs w:val="24"/>
        </w:rPr>
        <w:t>Rapcen</w:t>
      </w:r>
      <w:proofErr w:type="spellEnd"/>
      <w:r>
        <w:rPr>
          <w:rFonts w:ascii="Arial" w:eastAsia="Arial" w:hAnsi="Arial" w:cs="Arial"/>
          <w:sz w:val="24"/>
          <w:szCs w:val="24"/>
        </w:rPr>
        <w:t xml:space="preserve"> S.A. de C.V. (</w:t>
      </w:r>
      <w:proofErr w:type="spellStart"/>
      <w:r>
        <w:rPr>
          <w:rFonts w:ascii="Arial" w:eastAsia="Arial" w:hAnsi="Arial" w:cs="Arial"/>
          <w:sz w:val="24"/>
          <w:szCs w:val="24"/>
        </w:rPr>
        <w:t>TResearch</w:t>
      </w:r>
      <w:proofErr w:type="spellEnd"/>
      <w:r>
        <w:rPr>
          <w:rFonts w:ascii="Arial" w:eastAsia="Arial" w:hAnsi="Arial" w:cs="Arial"/>
          <w:sz w:val="24"/>
          <w:szCs w:val="24"/>
        </w:rPr>
        <w:t xml:space="preserve">), ya que esta reconoció expresamente que los estudios de opinión en comento fueron difundidos por su parte, por lo cual, </w:t>
      </w:r>
      <w:r>
        <w:rPr>
          <w:rFonts w:ascii="Arial" w:eastAsia="Arial" w:hAnsi="Arial" w:cs="Arial"/>
          <w:b/>
          <w:sz w:val="24"/>
          <w:szCs w:val="24"/>
        </w:rPr>
        <w:t xml:space="preserve">los medios de comunicación denunciados fungieron como productores secundarios de los comentados. </w:t>
      </w:r>
    </w:p>
    <w:p w14:paraId="369AD479" w14:textId="77777777" w:rsidR="00B14497" w:rsidRDefault="000142EE">
      <w:pPr>
        <w:spacing w:before="240" w:after="240" w:line="360" w:lineRule="auto"/>
        <w:jc w:val="both"/>
        <w:rPr>
          <w:rFonts w:ascii="Arial" w:eastAsia="Arial" w:hAnsi="Arial" w:cs="Arial"/>
          <w:sz w:val="24"/>
          <w:szCs w:val="24"/>
        </w:rPr>
      </w:pPr>
      <w:r>
        <w:rPr>
          <w:rFonts w:ascii="Arial" w:eastAsia="Arial" w:hAnsi="Arial" w:cs="Arial"/>
          <w:sz w:val="24"/>
          <w:szCs w:val="24"/>
        </w:rPr>
        <w:t>Al respecto, la Sala Especializada ha sostenido que la normatividad electoral establece una distinción en cuanto</w:t>
      </w:r>
      <w:r>
        <w:rPr>
          <w:rFonts w:ascii="Arial" w:eastAsia="Arial" w:hAnsi="Arial" w:cs="Arial"/>
          <w:b/>
          <w:sz w:val="24"/>
          <w:szCs w:val="24"/>
        </w:rPr>
        <w:t xml:space="preserve"> dos tipos</w:t>
      </w:r>
      <w:r>
        <w:rPr>
          <w:rFonts w:ascii="Arial" w:eastAsia="Arial" w:hAnsi="Arial" w:cs="Arial"/>
          <w:sz w:val="24"/>
          <w:szCs w:val="24"/>
        </w:rPr>
        <w:t xml:space="preserve"> de publicaciones que dan a conocer los resultados de las preferencias electorales de la ciudadanía; por una parte, </w:t>
      </w:r>
      <w:r>
        <w:rPr>
          <w:rFonts w:ascii="Arial" w:eastAsia="Arial" w:hAnsi="Arial" w:cs="Arial"/>
          <w:b/>
          <w:sz w:val="24"/>
          <w:szCs w:val="24"/>
        </w:rPr>
        <w:t>las encuestas que se publican de manera original</w:t>
      </w:r>
      <w:r>
        <w:rPr>
          <w:rFonts w:ascii="Arial" w:eastAsia="Arial" w:hAnsi="Arial" w:cs="Arial"/>
          <w:sz w:val="24"/>
          <w:szCs w:val="24"/>
        </w:rPr>
        <w:t xml:space="preserve"> y, por otra, las que son </w:t>
      </w:r>
      <w:r>
        <w:rPr>
          <w:rFonts w:ascii="Arial" w:eastAsia="Arial" w:hAnsi="Arial" w:cs="Arial"/>
          <w:b/>
          <w:sz w:val="24"/>
          <w:szCs w:val="24"/>
        </w:rPr>
        <w:t>meras reproducciones</w:t>
      </w:r>
      <w:r>
        <w:rPr>
          <w:rFonts w:ascii="Arial" w:eastAsia="Arial" w:hAnsi="Arial" w:cs="Arial"/>
          <w:sz w:val="24"/>
          <w:szCs w:val="24"/>
        </w:rPr>
        <w:t xml:space="preserve"> de publicaciones originales; y que</w:t>
      </w:r>
      <w:r>
        <w:rPr>
          <w:rFonts w:ascii="Arial" w:eastAsia="Arial" w:hAnsi="Arial" w:cs="Arial"/>
          <w:b/>
          <w:sz w:val="24"/>
          <w:szCs w:val="24"/>
        </w:rPr>
        <w:t xml:space="preserve"> los requisitos exigidos a las publicaciones que difundan encuestas o muestreos de opinión</w:t>
      </w:r>
      <w:r>
        <w:rPr>
          <w:rFonts w:ascii="Arial" w:eastAsia="Arial" w:hAnsi="Arial" w:cs="Arial"/>
          <w:sz w:val="24"/>
          <w:szCs w:val="24"/>
        </w:rPr>
        <w:t xml:space="preserve"> relacionados con las preferencias electorales de la ciudadanía </w:t>
      </w:r>
      <w:r>
        <w:rPr>
          <w:rFonts w:ascii="Arial" w:eastAsia="Arial" w:hAnsi="Arial" w:cs="Arial"/>
          <w:b/>
          <w:sz w:val="24"/>
          <w:szCs w:val="24"/>
        </w:rPr>
        <w:t>exclusivamente son aplicables a las que lo hacen de manera original</w:t>
      </w:r>
      <w:r>
        <w:rPr>
          <w:rFonts w:ascii="Arial" w:eastAsia="Arial" w:hAnsi="Arial" w:cs="Arial"/>
          <w:sz w:val="24"/>
          <w:szCs w:val="24"/>
        </w:rPr>
        <w:t>, pues si la encuesta ya hubiese sido publicada en algún otro medio, se trataría de una reproducción, situación que amerita un tratamiento jurídico diferenciado.</w:t>
      </w:r>
      <w:r>
        <w:rPr>
          <w:rFonts w:ascii="Arial" w:eastAsia="Arial" w:hAnsi="Arial" w:cs="Arial"/>
          <w:sz w:val="24"/>
          <w:szCs w:val="24"/>
          <w:vertAlign w:val="superscript"/>
        </w:rPr>
        <w:footnoteReference w:id="29"/>
      </w:r>
      <w:r>
        <w:rPr>
          <w:rFonts w:ascii="Arial" w:eastAsia="Arial" w:hAnsi="Arial" w:cs="Arial"/>
          <w:sz w:val="24"/>
          <w:szCs w:val="24"/>
        </w:rPr>
        <w:t xml:space="preserve"> </w:t>
      </w:r>
    </w:p>
    <w:p w14:paraId="6CD5E4BF" w14:textId="77777777" w:rsidR="00B14497" w:rsidRDefault="000142EE">
      <w:pPr>
        <w:spacing w:before="240" w:after="240" w:line="360" w:lineRule="auto"/>
        <w:jc w:val="both"/>
        <w:rPr>
          <w:rFonts w:ascii="Arial" w:eastAsia="Arial" w:hAnsi="Arial" w:cs="Arial"/>
          <w:sz w:val="24"/>
          <w:szCs w:val="24"/>
        </w:rPr>
      </w:pPr>
      <w:r>
        <w:rPr>
          <w:rFonts w:ascii="Arial" w:eastAsia="Arial" w:hAnsi="Arial" w:cs="Arial"/>
          <w:sz w:val="24"/>
          <w:szCs w:val="24"/>
        </w:rPr>
        <w:t xml:space="preserve">En atención al criterio expuesto, se advierte que los medios de comunicación involucrados </w:t>
      </w:r>
      <w:proofErr w:type="gramStart"/>
      <w:r>
        <w:rPr>
          <w:rFonts w:ascii="Arial" w:eastAsia="Arial" w:hAnsi="Arial" w:cs="Arial"/>
          <w:sz w:val="24"/>
          <w:szCs w:val="24"/>
        </w:rPr>
        <w:t>-</w:t>
      </w:r>
      <w:r>
        <w:rPr>
          <w:rFonts w:ascii="Arial" w:eastAsia="Arial" w:hAnsi="Arial" w:cs="Arial"/>
          <w:sz w:val="24"/>
          <w:szCs w:val="24"/>
          <w:highlight w:val="white"/>
        </w:rPr>
        <w:t>“</w:t>
      </w:r>
      <w:proofErr w:type="gramEnd"/>
      <w:r>
        <w:rPr>
          <w:rFonts w:ascii="Arial" w:eastAsia="Arial" w:hAnsi="Arial" w:cs="Arial"/>
          <w:sz w:val="24"/>
          <w:szCs w:val="24"/>
        </w:rPr>
        <w:t>El Bunker Político”, “</w:t>
      </w:r>
      <w:proofErr w:type="spellStart"/>
      <w:r>
        <w:rPr>
          <w:rFonts w:ascii="Arial" w:eastAsia="Arial" w:hAnsi="Arial" w:cs="Arial"/>
          <w:sz w:val="24"/>
          <w:szCs w:val="24"/>
        </w:rPr>
        <w:t>AgsOpina</w:t>
      </w:r>
      <w:proofErr w:type="spellEnd"/>
      <w:r>
        <w:rPr>
          <w:rFonts w:ascii="Arial" w:eastAsia="Arial" w:hAnsi="Arial" w:cs="Arial"/>
          <w:sz w:val="24"/>
          <w:szCs w:val="24"/>
        </w:rPr>
        <w:t>”, “24/7 News”, “Nexo Noticias”, “Omega Noticias” y “</w:t>
      </w:r>
      <w:proofErr w:type="spellStart"/>
      <w:r>
        <w:rPr>
          <w:rFonts w:ascii="Arial" w:eastAsia="Arial" w:hAnsi="Arial" w:cs="Arial"/>
          <w:sz w:val="24"/>
          <w:szCs w:val="24"/>
        </w:rPr>
        <w:t>Noti</w:t>
      </w:r>
      <w:proofErr w:type="spellEnd"/>
      <w:r>
        <w:rPr>
          <w:rFonts w:ascii="Arial" w:eastAsia="Arial" w:hAnsi="Arial" w:cs="Arial"/>
          <w:sz w:val="24"/>
          <w:szCs w:val="24"/>
        </w:rPr>
        <w:t xml:space="preserve"> Siete”- constituyen medios informativos digitales que </w:t>
      </w:r>
      <w:r>
        <w:rPr>
          <w:rFonts w:ascii="Arial" w:eastAsia="Arial" w:hAnsi="Arial" w:cs="Arial"/>
          <w:b/>
          <w:sz w:val="24"/>
          <w:szCs w:val="24"/>
        </w:rPr>
        <w:t xml:space="preserve">retomaron las encuestas realizadas </w:t>
      </w:r>
      <w:r>
        <w:rPr>
          <w:rFonts w:ascii="Arial" w:eastAsia="Arial" w:hAnsi="Arial" w:cs="Arial"/>
          <w:sz w:val="24"/>
          <w:szCs w:val="24"/>
        </w:rPr>
        <w:t xml:space="preserve">por Grupo </w:t>
      </w:r>
      <w:proofErr w:type="spellStart"/>
      <w:r>
        <w:rPr>
          <w:rFonts w:ascii="Arial" w:eastAsia="Arial" w:hAnsi="Arial" w:cs="Arial"/>
          <w:sz w:val="24"/>
          <w:szCs w:val="24"/>
        </w:rPr>
        <w:t>Rapcen</w:t>
      </w:r>
      <w:proofErr w:type="spellEnd"/>
      <w:r>
        <w:rPr>
          <w:rFonts w:ascii="Arial" w:eastAsia="Arial" w:hAnsi="Arial" w:cs="Arial"/>
          <w:sz w:val="24"/>
          <w:szCs w:val="24"/>
        </w:rPr>
        <w:t xml:space="preserve"> S.A. de C.V. (</w:t>
      </w:r>
      <w:proofErr w:type="spellStart"/>
      <w:r>
        <w:rPr>
          <w:rFonts w:ascii="Arial" w:eastAsia="Arial" w:hAnsi="Arial" w:cs="Arial"/>
          <w:sz w:val="24"/>
          <w:szCs w:val="24"/>
        </w:rPr>
        <w:t>TResearch</w:t>
      </w:r>
      <w:proofErr w:type="spellEnd"/>
      <w:r>
        <w:rPr>
          <w:rFonts w:ascii="Arial" w:eastAsia="Arial" w:hAnsi="Arial" w:cs="Arial"/>
          <w:sz w:val="24"/>
          <w:szCs w:val="24"/>
        </w:rPr>
        <w:t xml:space="preserve">), pues como se explicó en la valoración, la encuesta se elaboró de forma unilateral por parte de la encuestadora. </w:t>
      </w:r>
    </w:p>
    <w:p w14:paraId="64B55577" w14:textId="77777777" w:rsidR="00B14497" w:rsidRDefault="000142EE">
      <w:pPr>
        <w:spacing w:before="240" w:after="240" w:line="360" w:lineRule="auto"/>
        <w:jc w:val="both"/>
        <w:rPr>
          <w:rFonts w:ascii="Arial" w:eastAsia="Arial" w:hAnsi="Arial" w:cs="Arial"/>
          <w:sz w:val="24"/>
          <w:szCs w:val="24"/>
        </w:rPr>
      </w:pPr>
      <w:r>
        <w:rPr>
          <w:rFonts w:ascii="Arial" w:eastAsia="Arial" w:hAnsi="Arial" w:cs="Arial"/>
          <w:sz w:val="24"/>
          <w:szCs w:val="24"/>
        </w:rPr>
        <w:lastRenderedPageBreak/>
        <w:t xml:space="preserve">Así que, tomando en cuenta que los datos de las encuestas publicadas por los medios de comunicación </w:t>
      </w:r>
      <w:r>
        <w:rPr>
          <w:rFonts w:ascii="Arial" w:eastAsia="Arial" w:hAnsi="Arial" w:cs="Arial"/>
          <w:b/>
          <w:sz w:val="24"/>
          <w:szCs w:val="24"/>
        </w:rPr>
        <w:t>son íntegramente coincidentes</w:t>
      </w:r>
      <w:r>
        <w:rPr>
          <w:rFonts w:ascii="Arial" w:eastAsia="Arial" w:hAnsi="Arial" w:cs="Arial"/>
          <w:sz w:val="24"/>
          <w:szCs w:val="24"/>
        </w:rPr>
        <w:t xml:space="preserve"> a las encuestas realizadas y difundidas por la empresa Grupo </w:t>
      </w:r>
      <w:proofErr w:type="spellStart"/>
      <w:r>
        <w:rPr>
          <w:rFonts w:ascii="Arial" w:eastAsia="Arial" w:hAnsi="Arial" w:cs="Arial"/>
          <w:sz w:val="24"/>
          <w:szCs w:val="24"/>
        </w:rPr>
        <w:t>Rapcen</w:t>
      </w:r>
      <w:proofErr w:type="spellEnd"/>
      <w:r>
        <w:rPr>
          <w:rFonts w:ascii="Arial" w:eastAsia="Arial" w:hAnsi="Arial" w:cs="Arial"/>
          <w:sz w:val="24"/>
          <w:szCs w:val="24"/>
        </w:rPr>
        <w:t xml:space="preserve"> S.A. de C.V. (</w:t>
      </w:r>
      <w:proofErr w:type="spellStart"/>
      <w:r>
        <w:rPr>
          <w:rFonts w:ascii="Arial" w:eastAsia="Arial" w:hAnsi="Arial" w:cs="Arial"/>
          <w:sz w:val="24"/>
          <w:szCs w:val="24"/>
        </w:rPr>
        <w:t>TResearch</w:t>
      </w:r>
      <w:proofErr w:type="spellEnd"/>
      <w:r>
        <w:rPr>
          <w:rFonts w:ascii="Arial" w:eastAsia="Arial" w:hAnsi="Arial" w:cs="Arial"/>
          <w:sz w:val="24"/>
          <w:szCs w:val="24"/>
        </w:rPr>
        <w:t xml:space="preserve">), por lo cual, a criterio de este órgano jurisdiccional, se sostiene que </w:t>
      </w:r>
      <w:r>
        <w:rPr>
          <w:rFonts w:ascii="Arial" w:eastAsia="Arial" w:hAnsi="Arial" w:cs="Arial"/>
          <w:b/>
          <w:sz w:val="24"/>
          <w:szCs w:val="24"/>
        </w:rPr>
        <w:t>los referidos medios de comunicación únicamente difundieron un hecho de carácter noticioso,</w:t>
      </w:r>
      <w:r>
        <w:rPr>
          <w:rFonts w:ascii="Arial" w:eastAsia="Arial" w:hAnsi="Arial" w:cs="Arial"/>
          <w:sz w:val="24"/>
          <w:szCs w:val="24"/>
        </w:rPr>
        <w:t xml:space="preserve"> relativo a explicar qué resultados tenían las preferencias electorales sobre la elección de gubernatura en Aguascalientes. </w:t>
      </w:r>
    </w:p>
    <w:p w14:paraId="1B9CAD98" w14:textId="77777777" w:rsidR="00B14497" w:rsidRDefault="000142EE">
      <w:pPr>
        <w:spacing w:before="240" w:after="240" w:line="360" w:lineRule="auto"/>
        <w:jc w:val="both"/>
        <w:rPr>
          <w:rFonts w:ascii="Arial" w:eastAsia="Arial" w:hAnsi="Arial" w:cs="Arial"/>
          <w:sz w:val="24"/>
          <w:szCs w:val="24"/>
        </w:rPr>
      </w:pPr>
      <w:r>
        <w:rPr>
          <w:rFonts w:ascii="Arial" w:eastAsia="Arial" w:hAnsi="Arial" w:cs="Arial"/>
          <w:sz w:val="24"/>
          <w:szCs w:val="24"/>
        </w:rPr>
        <w:t xml:space="preserve">De igual manera, debe valorarse que, de las constancias que existen en el expediente, es posible asumir que </w:t>
      </w:r>
      <w:r>
        <w:rPr>
          <w:rFonts w:ascii="Arial" w:eastAsia="Arial" w:hAnsi="Arial" w:cs="Arial"/>
          <w:b/>
          <w:sz w:val="24"/>
          <w:szCs w:val="24"/>
        </w:rPr>
        <w:t>los medios de comunicación no levantaron ni difundieron la encuesta por primera vez,</w:t>
      </w:r>
      <w:r>
        <w:rPr>
          <w:rFonts w:ascii="Arial" w:eastAsia="Arial" w:hAnsi="Arial" w:cs="Arial"/>
          <w:sz w:val="24"/>
          <w:szCs w:val="24"/>
        </w:rPr>
        <w:t xml:space="preserve"> sino que su participación consistió en retomar una información publicada por la encuestadora primigenia, situación que </w:t>
      </w:r>
      <w:r>
        <w:rPr>
          <w:rFonts w:ascii="Arial" w:eastAsia="Arial" w:hAnsi="Arial" w:cs="Arial"/>
          <w:b/>
          <w:sz w:val="24"/>
          <w:szCs w:val="24"/>
        </w:rPr>
        <w:t>forma parte del ejercicio periodístico y de la libre expresión</w:t>
      </w:r>
      <w:r>
        <w:rPr>
          <w:rFonts w:ascii="Arial" w:eastAsia="Arial" w:hAnsi="Arial" w:cs="Arial"/>
          <w:sz w:val="24"/>
          <w:szCs w:val="24"/>
        </w:rPr>
        <w:t xml:space="preserve">, por lo que, los medios de comunicación no estaban obligados a entregar el estudio relativo a los criterios científicos previstos en la normativa electoral en materia de encuestas electorales ante la Secretaría Ejecutiva del Instituto Local ni a precisar mayores datos en su publicación. </w:t>
      </w:r>
    </w:p>
    <w:p w14:paraId="64BC6141" w14:textId="77777777" w:rsidR="00B14497" w:rsidRDefault="000142EE">
      <w:pPr>
        <w:spacing w:before="240" w:after="240" w:line="360" w:lineRule="auto"/>
        <w:jc w:val="both"/>
        <w:rPr>
          <w:rFonts w:ascii="Arial" w:eastAsia="Arial" w:hAnsi="Arial" w:cs="Arial"/>
          <w:sz w:val="24"/>
          <w:szCs w:val="24"/>
          <w:u w:val="single"/>
        </w:rPr>
      </w:pPr>
      <w:r>
        <w:rPr>
          <w:rFonts w:ascii="Arial" w:eastAsia="Arial" w:hAnsi="Arial" w:cs="Arial"/>
          <w:sz w:val="24"/>
          <w:szCs w:val="24"/>
        </w:rPr>
        <w:t xml:space="preserve">Lo anterior se debe a que, como se abordó, quien estaba obligado a cumplir con tal requisito fue la encuestadora original, ya que difundió encuestas por primera vez. Incluso, del análisis objetivo de tales reproducciones se advierten, en esencia, que los medios de comunicación acompañan la encuesta como tal, con unas frases que hacen referencia al posicionamiento de las opciones electorales, lo cual demuestra que efectivamente, </w:t>
      </w:r>
      <w:r>
        <w:rPr>
          <w:rFonts w:ascii="Arial" w:eastAsia="Arial" w:hAnsi="Arial" w:cs="Arial"/>
          <w:b/>
          <w:sz w:val="24"/>
          <w:szCs w:val="24"/>
        </w:rPr>
        <w:t xml:space="preserve">el propósito de tales sujetos fue informar íntegramente los resultados, </w:t>
      </w:r>
      <w:r>
        <w:rPr>
          <w:rFonts w:ascii="Arial" w:eastAsia="Arial" w:hAnsi="Arial" w:cs="Arial"/>
          <w:sz w:val="24"/>
          <w:szCs w:val="24"/>
          <w:u w:val="single"/>
        </w:rPr>
        <w:t xml:space="preserve">sin que exista modificación alguna al respecto. </w:t>
      </w:r>
    </w:p>
    <w:p w14:paraId="29EBEDEE" w14:textId="77777777" w:rsidR="00B14497" w:rsidRDefault="000142EE">
      <w:pPr>
        <w:spacing w:before="240" w:after="240" w:line="360" w:lineRule="auto"/>
        <w:jc w:val="both"/>
        <w:rPr>
          <w:rFonts w:ascii="Arial" w:eastAsia="Arial" w:hAnsi="Arial" w:cs="Arial"/>
          <w:sz w:val="24"/>
          <w:szCs w:val="24"/>
        </w:rPr>
      </w:pPr>
      <w:r>
        <w:rPr>
          <w:rFonts w:ascii="Arial" w:eastAsia="Arial" w:hAnsi="Arial" w:cs="Arial"/>
          <w:sz w:val="24"/>
          <w:szCs w:val="24"/>
        </w:rPr>
        <w:t xml:space="preserve">En consecuencia, este Tribunal Electoral debe </w:t>
      </w:r>
      <w:r>
        <w:rPr>
          <w:rFonts w:ascii="Arial" w:eastAsia="Arial" w:hAnsi="Arial" w:cs="Arial"/>
          <w:b/>
          <w:sz w:val="24"/>
          <w:szCs w:val="24"/>
        </w:rPr>
        <w:t xml:space="preserve">declarar la inexistencia de la infracción </w:t>
      </w:r>
      <w:r>
        <w:rPr>
          <w:rFonts w:ascii="Arial" w:eastAsia="Arial" w:hAnsi="Arial" w:cs="Arial"/>
          <w:sz w:val="24"/>
          <w:szCs w:val="24"/>
        </w:rPr>
        <w:t>a la normativa electoral por parte de los medios de comunicación “El Bunker Político”, “</w:t>
      </w:r>
      <w:proofErr w:type="spellStart"/>
      <w:r>
        <w:rPr>
          <w:rFonts w:ascii="Arial" w:eastAsia="Arial" w:hAnsi="Arial" w:cs="Arial"/>
          <w:sz w:val="24"/>
          <w:szCs w:val="24"/>
        </w:rPr>
        <w:t>AgsOpina</w:t>
      </w:r>
      <w:proofErr w:type="spellEnd"/>
      <w:r>
        <w:rPr>
          <w:rFonts w:ascii="Arial" w:eastAsia="Arial" w:hAnsi="Arial" w:cs="Arial"/>
          <w:sz w:val="24"/>
          <w:szCs w:val="24"/>
        </w:rPr>
        <w:t>”, “24/7 News”, “Nexo Noticias”, “Omega Noticias” y “</w:t>
      </w:r>
      <w:proofErr w:type="spellStart"/>
      <w:r>
        <w:rPr>
          <w:rFonts w:ascii="Arial" w:eastAsia="Arial" w:hAnsi="Arial" w:cs="Arial"/>
          <w:sz w:val="24"/>
          <w:szCs w:val="24"/>
        </w:rPr>
        <w:t>Noti</w:t>
      </w:r>
      <w:proofErr w:type="spellEnd"/>
      <w:r>
        <w:rPr>
          <w:rFonts w:ascii="Arial" w:eastAsia="Arial" w:hAnsi="Arial" w:cs="Arial"/>
          <w:sz w:val="24"/>
          <w:szCs w:val="24"/>
        </w:rPr>
        <w:t xml:space="preserve"> Siete”.</w:t>
      </w:r>
    </w:p>
    <w:p w14:paraId="5B138BD7" w14:textId="77777777" w:rsidR="00B14497" w:rsidRDefault="000142EE">
      <w:pPr>
        <w:spacing w:before="240" w:after="240" w:line="360" w:lineRule="auto"/>
        <w:jc w:val="both"/>
        <w:rPr>
          <w:rFonts w:ascii="Arial" w:eastAsia="Arial" w:hAnsi="Arial" w:cs="Arial"/>
          <w:sz w:val="24"/>
          <w:szCs w:val="24"/>
          <w:highlight w:val="white"/>
        </w:rPr>
      </w:pPr>
      <w:r>
        <w:rPr>
          <w:rFonts w:ascii="Arial" w:eastAsia="Arial" w:hAnsi="Arial" w:cs="Arial"/>
          <w:b/>
          <w:sz w:val="24"/>
          <w:szCs w:val="24"/>
          <w:highlight w:val="white"/>
        </w:rPr>
        <w:t>3.3.</w:t>
      </w:r>
      <w:r>
        <w:rPr>
          <w:rFonts w:ascii="Arial" w:eastAsia="Arial" w:hAnsi="Arial" w:cs="Arial"/>
          <w:sz w:val="24"/>
          <w:szCs w:val="24"/>
          <w:highlight w:val="white"/>
        </w:rPr>
        <w:t xml:space="preserve"> Por último, esta autoridad jurisdiccional tiene en cuenta que la parte denunciada señaló como sujetos responsables a la entonces candidata María Teresa Jiménez Esquivel y a la coalición “Va por Aguascalientes”, dado que alega que existió</w:t>
      </w:r>
      <w:r>
        <w:rPr>
          <w:rFonts w:ascii="Arial" w:eastAsia="Arial" w:hAnsi="Arial" w:cs="Arial"/>
          <w:b/>
          <w:sz w:val="24"/>
          <w:szCs w:val="24"/>
          <w:highlight w:val="white"/>
        </w:rPr>
        <w:t xml:space="preserve"> acuerdo mutuo</w:t>
      </w:r>
      <w:r>
        <w:rPr>
          <w:rFonts w:ascii="Arial" w:eastAsia="Arial" w:hAnsi="Arial" w:cs="Arial"/>
          <w:sz w:val="24"/>
          <w:szCs w:val="24"/>
          <w:highlight w:val="white"/>
        </w:rPr>
        <w:t xml:space="preserve"> entre los precisados, los medios de comunicación y la encuestadora a efecto de posicionar la referida opción electoral, por lo cual se obtuvo un beneficio de carácter electoral. </w:t>
      </w:r>
    </w:p>
    <w:p w14:paraId="17E8A2C8" w14:textId="77777777" w:rsidR="00B14497" w:rsidRDefault="000142EE">
      <w:pPr>
        <w:spacing w:before="240" w:after="240" w:line="360" w:lineRule="auto"/>
        <w:jc w:val="both"/>
        <w:rPr>
          <w:rFonts w:ascii="Arial" w:eastAsia="Arial" w:hAnsi="Arial" w:cs="Arial"/>
          <w:sz w:val="24"/>
          <w:szCs w:val="24"/>
          <w:highlight w:val="white"/>
        </w:rPr>
      </w:pPr>
      <w:r>
        <w:rPr>
          <w:rFonts w:ascii="Arial" w:eastAsia="Arial" w:hAnsi="Arial" w:cs="Arial"/>
          <w:sz w:val="24"/>
          <w:szCs w:val="24"/>
          <w:highlight w:val="white"/>
        </w:rPr>
        <w:t xml:space="preserve">Sin embargo, de las constancias que existen en el expediente se demostró, básicamente, que el sujeto responsable actuó de forma unilateral, es decir, que </w:t>
      </w:r>
      <w:r>
        <w:rPr>
          <w:rFonts w:ascii="Arial" w:eastAsia="Arial" w:hAnsi="Arial" w:cs="Arial"/>
          <w:b/>
          <w:sz w:val="24"/>
          <w:szCs w:val="24"/>
          <w:highlight w:val="white"/>
        </w:rPr>
        <w:t xml:space="preserve">no existió acuerdo de colaboración entre las partes señaladas </w:t>
      </w:r>
      <w:r>
        <w:rPr>
          <w:rFonts w:ascii="Arial" w:eastAsia="Arial" w:hAnsi="Arial" w:cs="Arial"/>
          <w:sz w:val="24"/>
          <w:szCs w:val="24"/>
          <w:highlight w:val="white"/>
        </w:rPr>
        <w:t xml:space="preserve">para posicionar la candidatura involucrada, por lo cual, en la existencia de la controversia </w:t>
      </w:r>
      <w:r>
        <w:rPr>
          <w:rFonts w:ascii="Arial" w:eastAsia="Arial" w:hAnsi="Arial" w:cs="Arial"/>
          <w:sz w:val="24"/>
          <w:szCs w:val="24"/>
          <w:highlight w:val="white"/>
          <w:u w:val="single"/>
        </w:rPr>
        <w:t>no existió un vínculo o nexo entre las encuestas cuestionadas, la candidatura y los medios de comunicación como partes cuestionadas</w:t>
      </w:r>
      <w:r>
        <w:rPr>
          <w:rFonts w:ascii="Arial" w:eastAsia="Arial" w:hAnsi="Arial" w:cs="Arial"/>
          <w:sz w:val="24"/>
          <w:szCs w:val="24"/>
          <w:highlight w:val="white"/>
        </w:rPr>
        <w:t xml:space="preserve">, de ahí que, este Tribunal Electoral concluye que la </w:t>
      </w:r>
      <w:r>
        <w:rPr>
          <w:rFonts w:ascii="Arial" w:eastAsia="Arial" w:hAnsi="Arial" w:cs="Arial"/>
          <w:b/>
          <w:sz w:val="24"/>
          <w:szCs w:val="24"/>
          <w:highlight w:val="white"/>
        </w:rPr>
        <w:t>infracción denunciada es inexistente para dichos sujetos</w:t>
      </w:r>
      <w:r>
        <w:rPr>
          <w:rFonts w:ascii="Arial" w:eastAsia="Arial" w:hAnsi="Arial" w:cs="Arial"/>
          <w:sz w:val="24"/>
          <w:szCs w:val="24"/>
          <w:highlight w:val="white"/>
        </w:rPr>
        <w:t xml:space="preserve">. </w:t>
      </w:r>
    </w:p>
    <w:p w14:paraId="52B986CE" w14:textId="77777777" w:rsidR="00B14497" w:rsidRDefault="000142EE">
      <w:pPr>
        <w:spacing w:before="240" w:after="240" w:line="360" w:lineRule="auto"/>
        <w:jc w:val="both"/>
        <w:rPr>
          <w:rFonts w:ascii="Arial" w:eastAsia="Arial" w:hAnsi="Arial" w:cs="Arial"/>
          <w:sz w:val="24"/>
          <w:szCs w:val="24"/>
          <w:highlight w:val="white"/>
        </w:rPr>
      </w:pPr>
      <w:r>
        <w:rPr>
          <w:rFonts w:ascii="Arial" w:eastAsia="Arial" w:hAnsi="Arial" w:cs="Arial"/>
          <w:sz w:val="24"/>
          <w:szCs w:val="24"/>
          <w:highlight w:val="white"/>
        </w:rPr>
        <w:lastRenderedPageBreak/>
        <w:t xml:space="preserve">Finalmente, no pasa inadvertido para este órgano jurisdiccional, que el quejoso refuerza su dicho con lo sostenido en las sentencias SUP-REP-143/2018, SUP-REP-704/2018 y SRE-PSC-034/2022, sin embargo, se advierte que estas versan sobre infracciones distintas a la abordada en la presente resolución -calumnia y prohibición de realizar proselitismo en veda electoral- en donde las circunstancias que rodearon las controversias fueron diferentes y por tanto, implicó métodos de análisis particulares. </w:t>
      </w:r>
    </w:p>
    <w:p w14:paraId="284C3C17" w14:textId="37D0C9E7" w:rsidR="00B14497" w:rsidRDefault="000142EE">
      <w:pPr>
        <w:spacing w:before="240" w:after="240" w:line="360" w:lineRule="auto"/>
        <w:jc w:val="both"/>
        <w:rPr>
          <w:rFonts w:ascii="Arial" w:eastAsia="Arial" w:hAnsi="Arial" w:cs="Arial"/>
          <w:sz w:val="24"/>
          <w:szCs w:val="24"/>
          <w:highlight w:val="white"/>
        </w:rPr>
      </w:pPr>
      <w:r>
        <w:rPr>
          <w:rFonts w:ascii="Arial" w:eastAsia="Arial" w:hAnsi="Arial" w:cs="Arial"/>
          <w:sz w:val="24"/>
          <w:szCs w:val="24"/>
          <w:highlight w:val="white"/>
        </w:rPr>
        <w:t xml:space="preserve">No obstante, la parte denunciante pretende evidenciar que es posible acreditar la infracción hacia la totalidad de los sujetos involucrados, cuando se demuestra un trabajo en conjunto entre las candidaturas y diversos sujetos -aunque formalmente no sean sujetos activos de la norma-, a fin de obtener un beneficio para las primeras. Sin embargo, como se adelantó, en el presente asunto </w:t>
      </w:r>
      <w:r>
        <w:rPr>
          <w:rFonts w:ascii="Arial" w:eastAsia="Arial" w:hAnsi="Arial" w:cs="Arial"/>
          <w:b/>
          <w:sz w:val="24"/>
          <w:szCs w:val="24"/>
          <w:highlight w:val="white"/>
        </w:rPr>
        <w:t>no fue posible acreditar una relación de coordinación o participación entre el sujeto infractor y la candidatura denunciada</w:t>
      </w:r>
      <w:r>
        <w:rPr>
          <w:rFonts w:ascii="Arial" w:eastAsia="Arial" w:hAnsi="Arial" w:cs="Arial"/>
          <w:sz w:val="24"/>
          <w:szCs w:val="24"/>
          <w:highlight w:val="white"/>
        </w:rPr>
        <w:t xml:space="preserve">, de ahí que no resultan aplicables los criterios en comento. </w:t>
      </w:r>
    </w:p>
    <w:p w14:paraId="0FAA10C8" w14:textId="77777777" w:rsidR="00B14497" w:rsidRDefault="000142EE">
      <w:pPr>
        <w:numPr>
          <w:ilvl w:val="0"/>
          <w:numId w:val="6"/>
        </w:numPr>
        <w:pBdr>
          <w:top w:val="nil"/>
          <w:left w:val="nil"/>
          <w:bottom w:val="nil"/>
          <w:right w:val="nil"/>
          <w:between w:val="nil"/>
        </w:pBdr>
        <w:spacing w:after="280" w:line="360" w:lineRule="auto"/>
        <w:ind w:left="284" w:hanging="284"/>
        <w:jc w:val="both"/>
        <w:rPr>
          <w:rFonts w:ascii="Arial" w:eastAsia="Arial" w:hAnsi="Arial" w:cs="Arial"/>
          <w:b/>
          <w:color w:val="000000"/>
          <w:sz w:val="24"/>
          <w:szCs w:val="24"/>
          <w:u w:val="single"/>
        </w:rPr>
      </w:pPr>
      <w:r>
        <w:rPr>
          <w:rFonts w:ascii="Arial" w:eastAsia="Arial" w:hAnsi="Arial" w:cs="Arial"/>
          <w:b/>
          <w:color w:val="000000"/>
          <w:sz w:val="24"/>
          <w:szCs w:val="24"/>
          <w:u w:val="single"/>
        </w:rPr>
        <w:t>Responsabilidad de las partes involucradas</w:t>
      </w:r>
    </w:p>
    <w:p w14:paraId="0A5274A5" w14:textId="77777777" w:rsidR="00B14497" w:rsidRDefault="000142EE">
      <w:pPr>
        <w:spacing w:before="240" w:after="240" w:line="360" w:lineRule="auto"/>
        <w:jc w:val="both"/>
        <w:rPr>
          <w:rFonts w:ascii="Arial" w:eastAsia="Arial" w:hAnsi="Arial" w:cs="Arial"/>
          <w:sz w:val="24"/>
          <w:szCs w:val="24"/>
        </w:rPr>
      </w:pPr>
      <w:r>
        <w:rPr>
          <w:rFonts w:ascii="Arial" w:eastAsia="Arial" w:hAnsi="Arial" w:cs="Arial"/>
          <w:sz w:val="24"/>
          <w:szCs w:val="24"/>
        </w:rPr>
        <w:t xml:space="preserve">Este órgano jurisdiccional estima que, de acuerdo a lo sostenido en el cuerpo de la presente sentencia, la persona moral </w:t>
      </w:r>
      <w:r>
        <w:rPr>
          <w:rFonts w:ascii="Arial" w:eastAsia="Arial" w:hAnsi="Arial" w:cs="Arial"/>
          <w:color w:val="000000"/>
          <w:sz w:val="24"/>
          <w:szCs w:val="24"/>
        </w:rPr>
        <w:t xml:space="preserve">Grupo </w:t>
      </w:r>
      <w:proofErr w:type="spellStart"/>
      <w:r>
        <w:rPr>
          <w:rFonts w:ascii="Arial" w:eastAsia="Arial" w:hAnsi="Arial" w:cs="Arial"/>
          <w:color w:val="000000"/>
          <w:sz w:val="24"/>
          <w:szCs w:val="24"/>
        </w:rPr>
        <w:t>Rapcen</w:t>
      </w:r>
      <w:proofErr w:type="spellEnd"/>
      <w:r>
        <w:rPr>
          <w:rFonts w:ascii="Arial" w:eastAsia="Arial" w:hAnsi="Arial" w:cs="Arial"/>
          <w:color w:val="000000"/>
          <w:sz w:val="24"/>
          <w:szCs w:val="24"/>
        </w:rPr>
        <w:t xml:space="preserve"> S.A. de C.V. (</w:t>
      </w:r>
      <w:proofErr w:type="spellStart"/>
      <w:r>
        <w:rPr>
          <w:rFonts w:ascii="Arial" w:eastAsia="Arial" w:hAnsi="Arial" w:cs="Arial"/>
          <w:color w:val="000000"/>
          <w:sz w:val="24"/>
          <w:szCs w:val="24"/>
        </w:rPr>
        <w:t>TResearch</w:t>
      </w:r>
      <w:proofErr w:type="spellEnd"/>
      <w:r>
        <w:rPr>
          <w:rFonts w:ascii="Arial" w:eastAsia="Arial" w:hAnsi="Arial" w:cs="Arial"/>
          <w:color w:val="000000"/>
          <w:sz w:val="24"/>
          <w:szCs w:val="24"/>
        </w:rPr>
        <w:t>)</w:t>
      </w:r>
      <w:r>
        <w:rPr>
          <w:rFonts w:ascii="Arial" w:eastAsia="Arial" w:hAnsi="Arial" w:cs="Arial"/>
          <w:sz w:val="24"/>
          <w:szCs w:val="24"/>
        </w:rPr>
        <w:t>,</w:t>
      </w:r>
      <w:r>
        <w:rPr>
          <w:rFonts w:ascii="Arial" w:eastAsia="Arial" w:hAnsi="Arial" w:cs="Arial"/>
          <w:sz w:val="32"/>
          <w:szCs w:val="32"/>
        </w:rPr>
        <w:t xml:space="preserve"> </w:t>
      </w:r>
      <w:r>
        <w:rPr>
          <w:rFonts w:ascii="Arial" w:eastAsia="Arial" w:hAnsi="Arial" w:cs="Arial"/>
          <w:sz w:val="24"/>
          <w:szCs w:val="24"/>
        </w:rPr>
        <w:t xml:space="preserve">vulneró las disposiciones normativas en materia de elaboración y difusión de encuestas electorales, en el marco del proceso electoral 2021-2021 de renovación de gubernatura del estado de Aguascalientes. </w:t>
      </w:r>
    </w:p>
    <w:p w14:paraId="185182F5" w14:textId="77777777" w:rsidR="00B14497" w:rsidRDefault="000142EE">
      <w:pPr>
        <w:numPr>
          <w:ilvl w:val="0"/>
          <w:numId w:val="6"/>
        </w:numPr>
        <w:pBdr>
          <w:top w:val="nil"/>
          <w:left w:val="nil"/>
          <w:bottom w:val="nil"/>
          <w:right w:val="nil"/>
          <w:between w:val="nil"/>
        </w:pBdr>
        <w:spacing w:before="240" w:after="240" w:line="360" w:lineRule="auto"/>
        <w:ind w:left="284" w:hanging="284"/>
        <w:jc w:val="both"/>
        <w:rPr>
          <w:rFonts w:ascii="Arial" w:eastAsia="Arial" w:hAnsi="Arial" w:cs="Arial"/>
          <w:b/>
          <w:color w:val="000000"/>
          <w:sz w:val="24"/>
          <w:szCs w:val="24"/>
          <w:u w:val="single"/>
        </w:rPr>
      </w:pPr>
      <w:r>
        <w:rPr>
          <w:rFonts w:ascii="Arial" w:eastAsia="Arial" w:hAnsi="Arial" w:cs="Arial"/>
          <w:b/>
          <w:color w:val="000000"/>
          <w:sz w:val="24"/>
          <w:szCs w:val="24"/>
          <w:u w:val="single"/>
        </w:rPr>
        <w:t>Individualización de la sanción</w:t>
      </w:r>
    </w:p>
    <w:p w14:paraId="0A19C082" w14:textId="77777777" w:rsidR="00B14497" w:rsidRDefault="000142EE">
      <w:pPr>
        <w:spacing w:before="240" w:after="240" w:line="360" w:lineRule="auto"/>
        <w:jc w:val="both"/>
        <w:rPr>
          <w:rFonts w:ascii="Arial" w:eastAsia="Arial" w:hAnsi="Arial" w:cs="Arial"/>
          <w:sz w:val="40"/>
          <w:szCs w:val="40"/>
          <w:vertAlign w:val="superscript"/>
        </w:rPr>
      </w:pPr>
      <w:r>
        <w:rPr>
          <w:rFonts w:ascii="Arial" w:eastAsia="Arial" w:hAnsi="Arial" w:cs="Arial"/>
          <w:sz w:val="24"/>
          <w:szCs w:val="24"/>
        </w:rPr>
        <w:t>Una vez verificada la falta, procede determinar la clase de sanción que legalmente corresponda, tomando en cuenta lo dispuesto por el artículo 251, del Código Electoral, el cual establece que para la individualizar las sanciones, una vez que se tenga plenamente acreditada la existencia de una infracción y su imputación, la autoridad deberá tomar en cuenta las circunstancias que rodearon la conducta que vulneró la norma.</w:t>
      </w:r>
      <w:r>
        <w:rPr>
          <w:rFonts w:ascii="Arial" w:eastAsia="Arial" w:hAnsi="Arial" w:cs="Arial"/>
          <w:sz w:val="24"/>
          <w:szCs w:val="24"/>
          <w:vertAlign w:val="superscript"/>
        </w:rPr>
        <w:footnoteReference w:id="30"/>
      </w:r>
    </w:p>
    <w:p w14:paraId="18FAE3FE" w14:textId="77777777" w:rsidR="00B14497" w:rsidRDefault="000142EE">
      <w:pPr>
        <w:spacing w:before="240" w:after="240" w:line="360" w:lineRule="auto"/>
        <w:jc w:val="both"/>
        <w:rPr>
          <w:rFonts w:ascii="Arial" w:eastAsia="Arial" w:hAnsi="Arial" w:cs="Arial"/>
          <w:sz w:val="24"/>
          <w:szCs w:val="24"/>
        </w:rPr>
      </w:pPr>
      <w:r>
        <w:rPr>
          <w:rFonts w:ascii="Arial" w:eastAsia="Arial" w:hAnsi="Arial" w:cs="Arial"/>
          <w:sz w:val="24"/>
          <w:szCs w:val="24"/>
        </w:rPr>
        <w:t>Por tanto, tomando en consideración los elementos objetivos y subjetivos que se acreditaron en la valoración de la presente sentencia, lo procedente es calificar debidamente la falta, valorando los siguientes elementos:</w:t>
      </w:r>
    </w:p>
    <w:p w14:paraId="6C09338E" w14:textId="77777777" w:rsidR="00B14497" w:rsidRDefault="000142EE">
      <w:pPr>
        <w:spacing w:before="240" w:after="240" w:line="360" w:lineRule="auto"/>
        <w:jc w:val="both"/>
        <w:rPr>
          <w:rFonts w:ascii="Arial" w:eastAsia="Arial" w:hAnsi="Arial" w:cs="Arial"/>
          <w:sz w:val="24"/>
          <w:szCs w:val="24"/>
        </w:rPr>
      </w:pPr>
      <w:r>
        <w:rPr>
          <w:rFonts w:ascii="Arial" w:eastAsia="Arial" w:hAnsi="Arial" w:cs="Arial"/>
          <w:b/>
          <w:i/>
          <w:sz w:val="24"/>
          <w:szCs w:val="24"/>
        </w:rPr>
        <w:lastRenderedPageBreak/>
        <w:t>i)</w:t>
      </w:r>
      <w:r>
        <w:rPr>
          <w:sz w:val="14"/>
          <w:szCs w:val="14"/>
        </w:rPr>
        <w:t xml:space="preserve">   </w:t>
      </w:r>
      <w:r>
        <w:rPr>
          <w:rFonts w:ascii="Arial" w:eastAsia="Arial" w:hAnsi="Arial" w:cs="Arial"/>
          <w:b/>
          <w:sz w:val="24"/>
          <w:szCs w:val="24"/>
        </w:rPr>
        <w:t xml:space="preserve">Bien jurídico tutelado. </w:t>
      </w:r>
      <w:r>
        <w:rPr>
          <w:rFonts w:ascii="Arial" w:eastAsia="Arial" w:hAnsi="Arial" w:cs="Arial"/>
          <w:sz w:val="24"/>
          <w:szCs w:val="24"/>
        </w:rPr>
        <w:t xml:space="preserve">El bien jurídico directamente tutelado en las normas incumplidas, es proteger la elaboración y difusión de encuestas sobre preferencias electorales, con la finalidad de que la ciudadanía cuente con información objetiva, veraz y científica en el marco de los procesos comiciales. </w:t>
      </w:r>
    </w:p>
    <w:p w14:paraId="380BB5D7" w14:textId="77777777" w:rsidR="00B14497" w:rsidRDefault="000142EE">
      <w:pPr>
        <w:spacing w:before="240" w:after="240" w:line="360" w:lineRule="auto"/>
        <w:jc w:val="both"/>
        <w:rPr>
          <w:rFonts w:ascii="Arial" w:eastAsia="Arial" w:hAnsi="Arial" w:cs="Arial"/>
          <w:sz w:val="24"/>
          <w:szCs w:val="24"/>
        </w:rPr>
      </w:pPr>
      <w:proofErr w:type="spellStart"/>
      <w:r>
        <w:rPr>
          <w:rFonts w:ascii="Arial" w:eastAsia="Arial" w:hAnsi="Arial" w:cs="Arial"/>
          <w:b/>
          <w:i/>
          <w:sz w:val="24"/>
          <w:szCs w:val="24"/>
        </w:rPr>
        <w:t>ii</w:t>
      </w:r>
      <w:proofErr w:type="spellEnd"/>
      <w:r>
        <w:rPr>
          <w:rFonts w:ascii="Arial" w:eastAsia="Arial" w:hAnsi="Arial" w:cs="Arial"/>
          <w:b/>
          <w:i/>
          <w:sz w:val="24"/>
          <w:szCs w:val="24"/>
        </w:rPr>
        <w:t>)</w:t>
      </w:r>
      <w:r>
        <w:rPr>
          <w:rFonts w:ascii="Arial" w:eastAsia="Arial" w:hAnsi="Arial" w:cs="Arial"/>
          <w:b/>
          <w:sz w:val="24"/>
          <w:szCs w:val="24"/>
        </w:rPr>
        <w:t xml:space="preserve"> Singularidad o pluralidad de las faltas.</w:t>
      </w:r>
      <w:r>
        <w:rPr>
          <w:rFonts w:ascii="Arial" w:eastAsia="Arial" w:hAnsi="Arial" w:cs="Arial"/>
          <w:sz w:val="24"/>
          <w:szCs w:val="24"/>
        </w:rPr>
        <w:t xml:space="preserve"> La comisión de dicha conducta no puede considerarse como una pluralidad de infracciones o de faltas administrativas, pues se trató de una sola conducta (difusión irregular de encuestas electorales).</w:t>
      </w:r>
    </w:p>
    <w:p w14:paraId="344BB845" w14:textId="77777777" w:rsidR="00B14497" w:rsidRDefault="000142EE">
      <w:pPr>
        <w:spacing w:before="240" w:after="240" w:line="360" w:lineRule="auto"/>
        <w:jc w:val="both"/>
        <w:rPr>
          <w:rFonts w:ascii="Arial" w:eastAsia="Arial" w:hAnsi="Arial" w:cs="Arial"/>
          <w:b/>
          <w:sz w:val="24"/>
          <w:szCs w:val="24"/>
        </w:rPr>
      </w:pPr>
      <w:proofErr w:type="spellStart"/>
      <w:r>
        <w:rPr>
          <w:rFonts w:ascii="Arial" w:eastAsia="Arial" w:hAnsi="Arial" w:cs="Arial"/>
          <w:b/>
          <w:i/>
          <w:sz w:val="24"/>
          <w:szCs w:val="24"/>
        </w:rPr>
        <w:t>iii</w:t>
      </w:r>
      <w:proofErr w:type="spellEnd"/>
      <w:r>
        <w:rPr>
          <w:rFonts w:ascii="Arial" w:eastAsia="Arial" w:hAnsi="Arial" w:cs="Arial"/>
          <w:b/>
          <w:i/>
          <w:sz w:val="24"/>
          <w:szCs w:val="24"/>
        </w:rPr>
        <w:t>)</w:t>
      </w:r>
      <w:r>
        <w:rPr>
          <w:rFonts w:ascii="Arial" w:eastAsia="Arial" w:hAnsi="Arial" w:cs="Arial"/>
          <w:b/>
          <w:sz w:val="24"/>
          <w:szCs w:val="24"/>
        </w:rPr>
        <w:t xml:space="preserve"> Circunstancias de modo, tiempo y lugar:</w:t>
      </w:r>
    </w:p>
    <w:p w14:paraId="57E90DA0" w14:textId="77777777" w:rsidR="00B14497" w:rsidRDefault="000142EE">
      <w:pPr>
        <w:numPr>
          <w:ilvl w:val="0"/>
          <w:numId w:val="8"/>
        </w:numPr>
        <w:pBdr>
          <w:top w:val="nil"/>
          <w:left w:val="nil"/>
          <w:bottom w:val="nil"/>
          <w:right w:val="nil"/>
          <w:between w:val="nil"/>
        </w:pBdr>
        <w:spacing w:before="240" w:line="360" w:lineRule="auto"/>
        <w:ind w:left="426"/>
        <w:jc w:val="both"/>
        <w:rPr>
          <w:rFonts w:ascii="Arial" w:eastAsia="Arial" w:hAnsi="Arial" w:cs="Arial"/>
          <w:color w:val="000000"/>
          <w:sz w:val="24"/>
          <w:szCs w:val="24"/>
        </w:rPr>
      </w:pPr>
      <w:r>
        <w:rPr>
          <w:rFonts w:ascii="Arial" w:eastAsia="Arial" w:hAnsi="Arial" w:cs="Arial"/>
          <w:b/>
          <w:color w:val="000000"/>
          <w:sz w:val="24"/>
          <w:szCs w:val="24"/>
        </w:rPr>
        <w:t>Modo.</w:t>
      </w:r>
      <w:r>
        <w:rPr>
          <w:rFonts w:ascii="Arial" w:eastAsia="Arial" w:hAnsi="Arial" w:cs="Arial"/>
          <w:color w:val="000000"/>
          <w:sz w:val="24"/>
          <w:szCs w:val="24"/>
        </w:rPr>
        <w:t xml:space="preserve"> La irregularidad consistió en la difusión de 18 encuestas sobre preferencias electorales a través de diversos perfiles de Facebook. </w:t>
      </w:r>
    </w:p>
    <w:p w14:paraId="22BC95CF" w14:textId="77777777" w:rsidR="00B14497" w:rsidRDefault="000142EE">
      <w:pPr>
        <w:numPr>
          <w:ilvl w:val="0"/>
          <w:numId w:val="8"/>
        </w:numPr>
        <w:pBdr>
          <w:top w:val="nil"/>
          <w:left w:val="nil"/>
          <w:bottom w:val="nil"/>
          <w:right w:val="nil"/>
          <w:between w:val="nil"/>
        </w:pBdr>
        <w:spacing w:line="360" w:lineRule="auto"/>
        <w:ind w:left="426"/>
        <w:jc w:val="both"/>
        <w:rPr>
          <w:rFonts w:ascii="Arial" w:eastAsia="Arial" w:hAnsi="Arial" w:cs="Arial"/>
          <w:color w:val="000000"/>
          <w:sz w:val="24"/>
          <w:szCs w:val="24"/>
        </w:rPr>
      </w:pPr>
      <w:r>
        <w:rPr>
          <w:rFonts w:ascii="Arial" w:eastAsia="Arial" w:hAnsi="Arial" w:cs="Arial"/>
          <w:b/>
          <w:color w:val="000000"/>
          <w:sz w:val="24"/>
          <w:szCs w:val="24"/>
        </w:rPr>
        <w:t>Tiempo.</w:t>
      </w:r>
      <w:r>
        <w:rPr>
          <w:rFonts w:ascii="Arial" w:eastAsia="Arial" w:hAnsi="Arial" w:cs="Arial"/>
          <w:color w:val="000000"/>
          <w:sz w:val="24"/>
          <w:szCs w:val="24"/>
        </w:rPr>
        <w:t xml:space="preserve"> La conducta se realizó durante el periodo comprendido del tres al treinta de mayo, por tanto, las encuestas denunciadas estuvieron en la red durante </w:t>
      </w:r>
      <w:r>
        <w:rPr>
          <w:rFonts w:ascii="Arial" w:eastAsia="Arial" w:hAnsi="Arial" w:cs="Arial"/>
          <w:b/>
          <w:color w:val="000000"/>
          <w:sz w:val="24"/>
          <w:szCs w:val="24"/>
        </w:rPr>
        <w:t xml:space="preserve">ciento cuarenta y siete días dentro del periodo de campaña </w:t>
      </w:r>
      <w:r>
        <w:rPr>
          <w:rFonts w:ascii="Arial" w:eastAsia="Arial" w:hAnsi="Arial" w:cs="Arial"/>
          <w:color w:val="000000"/>
          <w:sz w:val="24"/>
          <w:szCs w:val="24"/>
        </w:rPr>
        <w:t>del proceso electoral local.</w:t>
      </w:r>
    </w:p>
    <w:p w14:paraId="37CBE225" w14:textId="77777777" w:rsidR="00B14497" w:rsidRDefault="000142EE">
      <w:pPr>
        <w:numPr>
          <w:ilvl w:val="0"/>
          <w:numId w:val="8"/>
        </w:numPr>
        <w:pBdr>
          <w:top w:val="nil"/>
          <w:left w:val="nil"/>
          <w:bottom w:val="nil"/>
          <w:right w:val="nil"/>
          <w:between w:val="nil"/>
        </w:pBdr>
        <w:spacing w:after="240" w:line="360" w:lineRule="auto"/>
        <w:ind w:left="426"/>
        <w:jc w:val="both"/>
        <w:rPr>
          <w:rFonts w:ascii="Arial" w:eastAsia="Arial" w:hAnsi="Arial" w:cs="Arial"/>
          <w:color w:val="000000"/>
          <w:sz w:val="24"/>
          <w:szCs w:val="24"/>
        </w:rPr>
      </w:pPr>
      <w:r>
        <w:rPr>
          <w:rFonts w:ascii="Arial" w:eastAsia="Arial" w:hAnsi="Arial" w:cs="Arial"/>
          <w:b/>
          <w:color w:val="000000"/>
          <w:sz w:val="24"/>
          <w:szCs w:val="24"/>
        </w:rPr>
        <w:t>Lugar.</w:t>
      </w:r>
      <w:r>
        <w:rPr>
          <w:rFonts w:ascii="Arial" w:eastAsia="Arial" w:hAnsi="Arial" w:cs="Arial"/>
          <w:color w:val="000000"/>
          <w:sz w:val="24"/>
          <w:szCs w:val="24"/>
        </w:rPr>
        <w:t xml:space="preserve"> Las encuestas de carácter electoral se difundieron a través de las redes sociales de Facebook de la empresa encuestadora “</w:t>
      </w:r>
      <w:proofErr w:type="spellStart"/>
      <w:r>
        <w:rPr>
          <w:rFonts w:ascii="Arial" w:eastAsia="Arial" w:hAnsi="Arial" w:cs="Arial"/>
          <w:color w:val="000000"/>
          <w:sz w:val="24"/>
          <w:szCs w:val="24"/>
        </w:rPr>
        <w:t>TResearch</w:t>
      </w:r>
      <w:proofErr w:type="spellEnd"/>
      <w:r>
        <w:rPr>
          <w:rFonts w:ascii="Arial" w:eastAsia="Arial" w:hAnsi="Arial" w:cs="Arial"/>
          <w:color w:val="000000"/>
          <w:sz w:val="24"/>
          <w:szCs w:val="24"/>
        </w:rPr>
        <w:t>”, y los medios de comunicación “El Bunker Político”, “</w:t>
      </w:r>
      <w:proofErr w:type="spellStart"/>
      <w:r>
        <w:rPr>
          <w:rFonts w:ascii="Arial" w:eastAsia="Arial" w:hAnsi="Arial" w:cs="Arial"/>
          <w:color w:val="000000"/>
          <w:sz w:val="24"/>
          <w:szCs w:val="24"/>
        </w:rPr>
        <w:t>AgsOpina</w:t>
      </w:r>
      <w:proofErr w:type="spellEnd"/>
      <w:r>
        <w:rPr>
          <w:rFonts w:ascii="Arial" w:eastAsia="Arial" w:hAnsi="Arial" w:cs="Arial"/>
          <w:color w:val="000000"/>
          <w:sz w:val="24"/>
          <w:szCs w:val="24"/>
        </w:rPr>
        <w:t>”, “24/7 News”, “Nexo Noticias”, “Omega Noticias” y “</w:t>
      </w:r>
      <w:proofErr w:type="spellStart"/>
      <w:r>
        <w:rPr>
          <w:rFonts w:ascii="Arial" w:eastAsia="Arial" w:hAnsi="Arial" w:cs="Arial"/>
          <w:color w:val="000000"/>
          <w:sz w:val="24"/>
          <w:szCs w:val="24"/>
        </w:rPr>
        <w:t>Noti</w:t>
      </w:r>
      <w:proofErr w:type="spellEnd"/>
      <w:r>
        <w:rPr>
          <w:rFonts w:ascii="Arial" w:eastAsia="Arial" w:hAnsi="Arial" w:cs="Arial"/>
          <w:color w:val="000000"/>
          <w:sz w:val="24"/>
          <w:szCs w:val="24"/>
        </w:rPr>
        <w:t xml:space="preserve"> Siete”.</w:t>
      </w:r>
    </w:p>
    <w:p w14:paraId="23AF64E8" w14:textId="77777777" w:rsidR="00B14497" w:rsidRDefault="000142EE">
      <w:pPr>
        <w:spacing w:line="360" w:lineRule="auto"/>
        <w:jc w:val="both"/>
        <w:rPr>
          <w:rFonts w:ascii="Arial" w:eastAsia="Arial" w:hAnsi="Arial" w:cs="Arial"/>
          <w:sz w:val="24"/>
          <w:szCs w:val="24"/>
        </w:rPr>
      </w:pPr>
      <w:r>
        <w:rPr>
          <w:rFonts w:ascii="Arial" w:eastAsia="Arial" w:hAnsi="Arial" w:cs="Arial"/>
          <w:b/>
          <w:i/>
          <w:sz w:val="24"/>
          <w:szCs w:val="24"/>
        </w:rPr>
        <w:t>iv)</w:t>
      </w:r>
      <w:r>
        <w:rPr>
          <w:rFonts w:ascii="Arial" w:eastAsia="Arial" w:hAnsi="Arial" w:cs="Arial"/>
          <w:b/>
          <w:sz w:val="24"/>
          <w:szCs w:val="24"/>
        </w:rPr>
        <w:t xml:space="preserve"> Condiciones externas y medios de ejecución.</w:t>
      </w:r>
      <w:r>
        <w:rPr>
          <w:rFonts w:ascii="Arial" w:eastAsia="Arial" w:hAnsi="Arial" w:cs="Arial"/>
          <w:sz w:val="24"/>
          <w:szCs w:val="24"/>
        </w:rPr>
        <w:t xml:space="preserve"> La difusión de las encuestas cuestionadas se realizó en el periodo de campaña dentro del PEL 2021-2022, a través de las redes sociales de la empresa encuestadora y se replicaron por seis medios de comunicación. </w:t>
      </w:r>
    </w:p>
    <w:p w14:paraId="1ABEEC5A" w14:textId="77777777" w:rsidR="00B14497" w:rsidRDefault="00B14497">
      <w:pPr>
        <w:jc w:val="both"/>
        <w:rPr>
          <w:rFonts w:ascii="Arial" w:eastAsia="Arial" w:hAnsi="Arial" w:cs="Arial"/>
          <w:sz w:val="24"/>
          <w:szCs w:val="24"/>
        </w:rPr>
      </w:pPr>
    </w:p>
    <w:p w14:paraId="297E0AE5" w14:textId="77777777" w:rsidR="00B14497" w:rsidRDefault="000142EE">
      <w:pPr>
        <w:spacing w:after="240" w:line="360" w:lineRule="auto"/>
        <w:jc w:val="both"/>
        <w:rPr>
          <w:rFonts w:ascii="Arial" w:eastAsia="Arial" w:hAnsi="Arial" w:cs="Arial"/>
          <w:sz w:val="24"/>
          <w:szCs w:val="24"/>
        </w:rPr>
      </w:pPr>
      <w:r>
        <w:rPr>
          <w:rFonts w:ascii="Arial" w:eastAsia="Arial" w:hAnsi="Arial" w:cs="Arial"/>
          <w:b/>
          <w:i/>
          <w:sz w:val="24"/>
          <w:szCs w:val="24"/>
        </w:rPr>
        <w:t>v)</w:t>
      </w:r>
      <w:r>
        <w:rPr>
          <w:rFonts w:ascii="Arial" w:eastAsia="Arial" w:hAnsi="Arial" w:cs="Arial"/>
          <w:b/>
          <w:sz w:val="24"/>
          <w:szCs w:val="24"/>
        </w:rPr>
        <w:t xml:space="preserve"> Beneficio o lucro.</w:t>
      </w:r>
      <w:r>
        <w:rPr>
          <w:rFonts w:ascii="Arial" w:eastAsia="Arial" w:hAnsi="Arial" w:cs="Arial"/>
          <w:sz w:val="24"/>
          <w:szCs w:val="24"/>
        </w:rPr>
        <w:t xml:space="preserve"> En el caso, de las constancias que obran en el expediente no se advierte que haya obtenido un lucro cuantificable con la realización de la conducta sancionada; sin embargo, sí existió una violación a la normativa en materia de elaboración y difusión de encuestas sobre preferencias electorales. </w:t>
      </w:r>
    </w:p>
    <w:p w14:paraId="6374B0A1" w14:textId="77777777" w:rsidR="00B14497" w:rsidRDefault="000142EE">
      <w:pPr>
        <w:spacing w:before="240" w:after="240" w:line="360" w:lineRule="auto"/>
        <w:jc w:val="both"/>
        <w:rPr>
          <w:rFonts w:ascii="Arial" w:eastAsia="Arial" w:hAnsi="Arial" w:cs="Arial"/>
          <w:sz w:val="24"/>
          <w:szCs w:val="24"/>
        </w:rPr>
      </w:pPr>
      <w:r>
        <w:rPr>
          <w:rFonts w:ascii="Arial" w:eastAsia="Arial" w:hAnsi="Arial" w:cs="Arial"/>
          <w:b/>
          <w:i/>
          <w:sz w:val="24"/>
          <w:szCs w:val="24"/>
        </w:rPr>
        <w:t>vi)</w:t>
      </w:r>
      <w:r>
        <w:rPr>
          <w:rFonts w:ascii="Arial" w:eastAsia="Arial" w:hAnsi="Arial" w:cs="Arial"/>
          <w:b/>
          <w:sz w:val="24"/>
          <w:szCs w:val="24"/>
        </w:rPr>
        <w:t xml:space="preserve"> Intencionalidad (comisión dolosa o culposa).</w:t>
      </w:r>
      <w:r>
        <w:rPr>
          <w:rFonts w:ascii="Arial" w:eastAsia="Arial" w:hAnsi="Arial" w:cs="Arial"/>
          <w:sz w:val="24"/>
          <w:szCs w:val="24"/>
        </w:rPr>
        <w:t xml:space="preserve"> Del material probatorio y de las constancias que obran en el expediente, </w:t>
      </w:r>
      <w:r>
        <w:rPr>
          <w:rFonts w:ascii="Arial" w:eastAsia="Arial" w:hAnsi="Arial" w:cs="Arial"/>
          <w:b/>
          <w:sz w:val="24"/>
          <w:szCs w:val="24"/>
        </w:rPr>
        <w:t xml:space="preserve">no se advierte </w:t>
      </w:r>
      <w:r>
        <w:rPr>
          <w:rFonts w:ascii="Arial" w:eastAsia="Arial" w:hAnsi="Arial" w:cs="Arial"/>
          <w:sz w:val="24"/>
          <w:szCs w:val="24"/>
        </w:rPr>
        <w:t xml:space="preserve">que la empresa </w:t>
      </w:r>
      <w:r>
        <w:rPr>
          <w:rFonts w:ascii="Arial" w:eastAsia="Arial" w:hAnsi="Arial" w:cs="Arial"/>
          <w:color w:val="000000"/>
          <w:sz w:val="24"/>
          <w:szCs w:val="24"/>
        </w:rPr>
        <w:t xml:space="preserve">Grupo </w:t>
      </w:r>
      <w:proofErr w:type="spellStart"/>
      <w:r>
        <w:rPr>
          <w:rFonts w:ascii="Arial" w:eastAsia="Arial" w:hAnsi="Arial" w:cs="Arial"/>
          <w:color w:val="000000"/>
          <w:sz w:val="24"/>
          <w:szCs w:val="24"/>
        </w:rPr>
        <w:t>Rapcen</w:t>
      </w:r>
      <w:proofErr w:type="spellEnd"/>
      <w:r>
        <w:rPr>
          <w:rFonts w:ascii="Arial" w:eastAsia="Arial" w:hAnsi="Arial" w:cs="Arial"/>
          <w:color w:val="000000"/>
          <w:sz w:val="24"/>
          <w:szCs w:val="24"/>
        </w:rPr>
        <w:t xml:space="preserve"> S.A. de C.V. (</w:t>
      </w:r>
      <w:proofErr w:type="spellStart"/>
      <w:r>
        <w:rPr>
          <w:rFonts w:ascii="Arial" w:eastAsia="Arial" w:hAnsi="Arial" w:cs="Arial"/>
          <w:color w:val="000000"/>
          <w:sz w:val="24"/>
          <w:szCs w:val="24"/>
        </w:rPr>
        <w:t>TResearch</w:t>
      </w:r>
      <w:proofErr w:type="spellEnd"/>
      <w:r>
        <w:rPr>
          <w:rFonts w:ascii="Arial" w:eastAsia="Arial" w:hAnsi="Arial" w:cs="Arial"/>
          <w:color w:val="000000"/>
          <w:sz w:val="24"/>
          <w:szCs w:val="24"/>
        </w:rPr>
        <w:t xml:space="preserve">), como responsable de la elaboración y publicación de las encuestas electorales, </w:t>
      </w:r>
      <w:r>
        <w:rPr>
          <w:rFonts w:ascii="Arial" w:eastAsia="Arial" w:hAnsi="Arial" w:cs="Arial"/>
          <w:b/>
          <w:color w:val="000000"/>
          <w:sz w:val="24"/>
          <w:szCs w:val="24"/>
        </w:rPr>
        <w:t>tuviera la intención de realizar la conducta denunciada</w:t>
      </w:r>
      <w:r>
        <w:rPr>
          <w:rFonts w:ascii="Arial" w:eastAsia="Arial" w:hAnsi="Arial" w:cs="Arial"/>
          <w:sz w:val="24"/>
          <w:szCs w:val="24"/>
        </w:rPr>
        <w:t>.</w:t>
      </w:r>
    </w:p>
    <w:p w14:paraId="0EA90E99" w14:textId="77777777" w:rsidR="00B14497" w:rsidRDefault="000142EE">
      <w:pPr>
        <w:spacing w:before="240" w:after="240" w:line="360" w:lineRule="auto"/>
        <w:jc w:val="both"/>
        <w:rPr>
          <w:rFonts w:ascii="Arial" w:eastAsia="Arial" w:hAnsi="Arial" w:cs="Arial"/>
          <w:sz w:val="24"/>
          <w:szCs w:val="24"/>
        </w:rPr>
      </w:pPr>
      <w:proofErr w:type="spellStart"/>
      <w:r>
        <w:rPr>
          <w:rFonts w:ascii="Arial" w:eastAsia="Arial" w:hAnsi="Arial" w:cs="Arial"/>
          <w:b/>
          <w:i/>
          <w:sz w:val="24"/>
          <w:szCs w:val="24"/>
        </w:rPr>
        <w:t>vii</w:t>
      </w:r>
      <w:proofErr w:type="spellEnd"/>
      <w:r>
        <w:rPr>
          <w:rFonts w:ascii="Arial" w:eastAsia="Arial" w:hAnsi="Arial" w:cs="Arial"/>
          <w:b/>
          <w:i/>
          <w:sz w:val="24"/>
          <w:szCs w:val="24"/>
        </w:rPr>
        <w:t>)</w:t>
      </w:r>
      <w:r>
        <w:rPr>
          <w:sz w:val="14"/>
          <w:szCs w:val="14"/>
        </w:rPr>
        <w:t xml:space="preserve"> </w:t>
      </w:r>
      <w:r>
        <w:rPr>
          <w:rFonts w:ascii="Arial" w:eastAsia="Arial" w:hAnsi="Arial" w:cs="Arial"/>
          <w:b/>
          <w:sz w:val="24"/>
          <w:szCs w:val="24"/>
        </w:rPr>
        <w:t>Reincidencia.</w:t>
      </w:r>
      <w:r>
        <w:rPr>
          <w:rFonts w:ascii="Arial" w:eastAsia="Arial" w:hAnsi="Arial" w:cs="Arial"/>
          <w:sz w:val="24"/>
          <w:szCs w:val="24"/>
        </w:rPr>
        <w:t xml:space="preserve"> De conformidad con el artículo 251, segundo párrafo, del Código Electoral,</w:t>
      </w:r>
      <w:r>
        <w:rPr>
          <w:rFonts w:ascii="Arial" w:eastAsia="Arial" w:hAnsi="Arial" w:cs="Arial"/>
          <w:sz w:val="24"/>
          <w:szCs w:val="24"/>
          <w:vertAlign w:val="superscript"/>
        </w:rPr>
        <w:footnoteReference w:id="31"/>
      </w:r>
      <w:r>
        <w:rPr>
          <w:rFonts w:ascii="Arial" w:eastAsia="Arial" w:hAnsi="Arial" w:cs="Arial"/>
          <w:sz w:val="24"/>
          <w:szCs w:val="24"/>
        </w:rPr>
        <w:t xml:space="preserve"> se considera reincidente a quien haya sido declarado responsable del </w:t>
      </w:r>
      <w:r>
        <w:rPr>
          <w:rFonts w:ascii="Arial" w:eastAsia="Arial" w:hAnsi="Arial" w:cs="Arial"/>
          <w:sz w:val="24"/>
          <w:szCs w:val="24"/>
        </w:rPr>
        <w:lastRenderedPageBreak/>
        <w:t xml:space="preserve">incumplimiento de alguna de las obligaciones a que se refiere la ley e incurre nuevamente en la misma conducta infractora, </w:t>
      </w:r>
      <w:r>
        <w:rPr>
          <w:rFonts w:ascii="Arial" w:eastAsia="Arial" w:hAnsi="Arial" w:cs="Arial"/>
          <w:b/>
          <w:sz w:val="24"/>
          <w:szCs w:val="24"/>
        </w:rPr>
        <w:t>lo que en el presente caso no ocurre</w:t>
      </w:r>
      <w:r>
        <w:rPr>
          <w:rFonts w:ascii="Arial" w:eastAsia="Arial" w:hAnsi="Arial" w:cs="Arial"/>
          <w:sz w:val="24"/>
          <w:szCs w:val="24"/>
        </w:rPr>
        <w:t>.</w:t>
      </w:r>
    </w:p>
    <w:p w14:paraId="06A1AB99" w14:textId="77777777" w:rsidR="00B14497" w:rsidRDefault="000142EE">
      <w:pPr>
        <w:spacing w:before="240" w:after="240" w:line="360" w:lineRule="auto"/>
        <w:jc w:val="both"/>
        <w:rPr>
          <w:rFonts w:ascii="Arial" w:eastAsia="Arial" w:hAnsi="Arial" w:cs="Arial"/>
          <w:sz w:val="24"/>
          <w:szCs w:val="24"/>
        </w:rPr>
      </w:pPr>
      <w:proofErr w:type="spellStart"/>
      <w:r>
        <w:rPr>
          <w:rFonts w:ascii="Arial" w:eastAsia="Arial" w:hAnsi="Arial" w:cs="Arial"/>
          <w:b/>
          <w:i/>
          <w:sz w:val="24"/>
          <w:szCs w:val="24"/>
        </w:rPr>
        <w:t>viii</w:t>
      </w:r>
      <w:proofErr w:type="spellEnd"/>
      <w:r>
        <w:rPr>
          <w:rFonts w:ascii="Arial" w:eastAsia="Arial" w:hAnsi="Arial" w:cs="Arial"/>
          <w:b/>
          <w:i/>
          <w:sz w:val="24"/>
          <w:szCs w:val="24"/>
        </w:rPr>
        <w:t>)</w:t>
      </w:r>
      <w:r>
        <w:rPr>
          <w:sz w:val="14"/>
          <w:szCs w:val="14"/>
        </w:rPr>
        <w:t xml:space="preserve"> </w:t>
      </w:r>
      <w:r>
        <w:rPr>
          <w:rFonts w:ascii="Arial" w:eastAsia="Arial" w:hAnsi="Arial" w:cs="Arial"/>
          <w:b/>
          <w:sz w:val="24"/>
          <w:szCs w:val="24"/>
        </w:rPr>
        <w:t>Impacto en las actividades del sujeto infractor.</w:t>
      </w:r>
      <w:r>
        <w:rPr>
          <w:rFonts w:ascii="Arial" w:eastAsia="Arial" w:hAnsi="Arial" w:cs="Arial"/>
          <w:sz w:val="24"/>
          <w:szCs w:val="24"/>
        </w:rPr>
        <w:t xml:space="preserve"> Derivado de la naturaleza de la sanción impuesta, no impacta en modo alguno en las actividades de la persona moral sancionada.</w:t>
      </w:r>
    </w:p>
    <w:p w14:paraId="0340BFE9" w14:textId="77777777" w:rsidR="00B14497" w:rsidRDefault="000142EE">
      <w:pPr>
        <w:numPr>
          <w:ilvl w:val="0"/>
          <w:numId w:val="5"/>
        </w:numPr>
        <w:pBdr>
          <w:top w:val="nil"/>
          <w:left w:val="nil"/>
          <w:bottom w:val="nil"/>
          <w:right w:val="nil"/>
          <w:between w:val="nil"/>
        </w:pBdr>
        <w:spacing w:before="240" w:after="240" w:line="360" w:lineRule="auto"/>
        <w:ind w:left="284" w:hanging="284"/>
        <w:jc w:val="both"/>
        <w:rPr>
          <w:rFonts w:ascii="Arial" w:eastAsia="Arial" w:hAnsi="Arial" w:cs="Arial"/>
          <w:color w:val="000000"/>
          <w:sz w:val="24"/>
          <w:szCs w:val="24"/>
        </w:rPr>
      </w:pPr>
      <w:r>
        <w:rPr>
          <w:rFonts w:ascii="Arial" w:eastAsia="Arial" w:hAnsi="Arial" w:cs="Arial"/>
          <w:b/>
          <w:color w:val="000000"/>
          <w:sz w:val="24"/>
          <w:szCs w:val="24"/>
          <w:u w:val="single"/>
        </w:rPr>
        <w:t>Calificación de la responsabilidad</w:t>
      </w:r>
    </w:p>
    <w:p w14:paraId="660F1161" w14:textId="77777777" w:rsidR="00B14497" w:rsidRDefault="000142EE">
      <w:pPr>
        <w:spacing w:before="240" w:after="240" w:line="360" w:lineRule="auto"/>
        <w:jc w:val="both"/>
        <w:rPr>
          <w:rFonts w:ascii="Arial" w:eastAsia="Arial" w:hAnsi="Arial" w:cs="Arial"/>
          <w:sz w:val="24"/>
          <w:szCs w:val="24"/>
        </w:rPr>
      </w:pPr>
      <w:r>
        <w:rPr>
          <w:rFonts w:ascii="Arial" w:eastAsia="Arial" w:hAnsi="Arial" w:cs="Arial"/>
          <w:sz w:val="24"/>
          <w:szCs w:val="24"/>
        </w:rPr>
        <w:t xml:space="preserve">A partir de las circunstancias en el presente caso, este Tribunal Electoral estima que la infracción en que incurrió la empresa encuestadora </w:t>
      </w:r>
      <w:r>
        <w:rPr>
          <w:rFonts w:ascii="Arial" w:eastAsia="Arial" w:hAnsi="Arial" w:cs="Arial"/>
          <w:color w:val="000000"/>
          <w:sz w:val="24"/>
          <w:szCs w:val="24"/>
        </w:rPr>
        <w:t xml:space="preserve">Grupo </w:t>
      </w:r>
      <w:proofErr w:type="spellStart"/>
      <w:r>
        <w:rPr>
          <w:rFonts w:ascii="Arial" w:eastAsia="Arial" w:hAnsi="Arial" w:cs="Arial"/>
          <w:color w:val="000000"/>
          <w:sz w:val="24"/>
          <w:szCs w:val="24"/>
        </w:rPr>
        <w:t>Rapcen</w:t>
      </w:r>
      <w:proofErr w:type="spellEnd"/>
      <w:r>
        <w:rPr>
          <w:rFonts w:ascii="Arial" w:eastAsia="Arial" w:hAnsi="Arial" w:cs="Arial"/>
          <w:color w:val="000000"/>
          <w:sz w:val="24"/>
          <w:szCs w:val="24"/>
        </w:rPr>
        <w:t xml:space="preserve"> S.A. de C.V. (</w:t>
      </w:r>
      <w:proofErr w:type="spellStart"/>
      <w:r>
        <w:rPr>
          <w:rFonts w:ascii="Arial" w:eastAsia="Arial" w:hAnsi="Arial" w:cs="Arial"/>
          <w:color w:val="000000"/>
          <w:sz w:val="24"/>
          <w:szCs w:val="24"/>
        </w:rPr>
        <w:t>TResearch</w:t>
      </w:r>
      <w:proofErr w:type="spellEnd"/>
      <w:r>
        <w:rPr>
          <w:rFonts w:ascii="Arial" w:eastAsia="Arial" w:hAnsi="Arial" w:cs="Arial"/>
          <w:color w:val="000000"/>
          <w:sz w:val="24"/>
          <w:szCs w:val="24"/>
        </w:rPr>
        <w:t>)</w:t>
      </w:r>
      <w:r>
        <w:rPr>
          <w:rFonts w:ascii="Arial" w:eastAsia="Arial" w:hAnsi="Arial" w:cs="Arial"/>
          <w:sz w:val="24"/>
          <w:szCs w:val="24"/>
        </w:rPr>
        <w:t xml:space="preserve"> es </w:t>
      </w:r>
      <w:r>
        <w:rPr>
          <w:rFonts w:ascii="Arial" w:eastAsia="Arial" w:hAnsi="Arial" w:cs="Arial"/>
          <w:b/>
          <w:sz w:val="24"/>
          <w:szCs w:val="24"/>
        </w:rPr>
        <w:t>leve</w:t>
      </w:r>
      <w:r>
        <w:rPr>
          <w:rFonts w:ascii="Arial" w:eastAsia="Arial" w:hAnsi="Arial" w:cs="Arial"/>
          <w:sz w:val="24"/>
          <w:szCs w:val="24"/>
        </w:rPr>
        <w:t xml:space="preserve">. Ello es así, porque aunque el bien jurídico tutelado es la elaboración y difusión de encuestas sobre preferencias electorales, con la finalidad de que la ciudadanía cuente con información objetiva, veraz y científica en el marco de los procesos comiciales, lo cierto es que </w:t>
      </w:r>
      <w:r>
        <w:rPr>
          <w:rFonts w:ascii="Arial" w:eastAsia="Arial" w:hAnsi="Arial" w:cs="Arial"/>
          <w:b/>
          <w:sz w:val="24"/>
          <w:szCs w:val="24"/>
        </w:rPr>
        <w:t>la vulneración a dicho bien surgió con motivo de una serie de omisiones respecto a la entrega en tiempo y forma</w:t>
      </w:r>
      <w:r>
        <w:rPr>
          <w:rFonts w:ascii="Arial" w:eastAsia="Arial" w:hAnsi="Arial" w:cs="Arial"/>
          <w:sz w:val="24"/>
          <w:szCs w:val="24"/>
        </w:rPr>
        <w:t xml:space="preserve"> de los respectivos estudios metodológicos ante el Instituto Local, sin embargo, no se realizaron requerimientos por parte de tal autoridad administrativa con la finalidad de regular tales aspectos. </w:t>
      </w:r>
    </w:p>
    <w:p w14:paraId="6B1A97DF" w14:textId="77777777" w:rsidR="00B14497" w:rsidRDefault="000142EE">
      <w:pPr>
        <w:spacing w:before="240" w:after="240" w:line="360" w:lineRule="auto"/>
        <w:jc w:val="both"/>
        <w:rPr>
          <w:rFonts w:ascii="Arial" w:eastAsia="Arial" w:hAnsi="Arial" w:cs="Arial"/>
          <w:sz w:val="24"/>
          <w:szCs w:val="24"/>
        </w:rPr>
      </w:pPr>
      <w:r>
        <w:rPr>
          <w:rFonts w:ascii="Arial" w:eastAsia="Arial" w:hAnsi="Arial" w:cs="Arial"/>
          <w:sz w:val="24"/>
          <w:szCs w:val="24"/>
        </w:rPr>
        <w:t xml:space="preserve">Además, esta autoridad jurisdiccional toma en cuenta que: </w:t>
      </w:r>
      <w:r>
        <w:rPr>
          <w:rFonts w:ascii="Arial" w:eastAsia="Arial" w:hAnsi="Arial" w:cs="Arial"/>
          <w:b/>
          <w:i/>
          <w:sz w:val="24"/>
          <w:szCs w:val="24"/>
        </w:rPr>
        <w:t>i)</w:t>
      </w:r>
      <w:r>
        <w:rPr>
          <w:rFonts w:ascii="Arial" w:eastAsia="Arial" w:hAnsi="Arial" w:cs="Arial"/>
          <w:sz w:val="24"/>
          <w:szCs w:val="24"/>
        </w:rPr>
        <w:t xml:space="preserve"> la conducta de mérito fue culposa, </w:t>
      </w:r>
      <w:proofErr w:type="spellStart"/>
      <w:r>
        <w:rPr>
          <w:rFonts w:ascii="Arial" w:eastAsia="Arial" w:hAnsi="Arial" w:cs="Arial"/>
          <w:b/>
          <w:i/>
          <w:sz w:val="24"/>
          <w:szCs w:val="24"/>
        </w:rPr>
        <w:t>ii</w:t>
      </w:r>
      <w:proofErr w:type="spellEnd"/>
      <w:r>
        <w:rPr>
          <w:rFonts w:ascii="Arial" w:eastAsia="Arial" w:hAnsi="Arial" w:cs="Arial"/>
          <w:b/>
          <w:i/>
          <w:sz w:val="24"/>
          <w:szCs w:val="24"/>
        </w:rPr>
        <w:t>)</w:t>
      </w:r>
      <w:r>
        <w:rPr>
          <w:rFonts w:ascii="Arial" w:eastAsia="Arial" w:hAnsi="Arial" w:cs="Arial"/>
          <w:sz w:val="24"/>
          <w:szCs w:val="24"/>
        </w:rPr>
        <w:t xml:space="preserve"> de esta no se obtuvo un lucro económico o beneficio, </w:t>
      </w:r>
      <w:proofErr w:type="spellStart"/>
      <w:r>
        <w:rPr>
          <w:rFonts w:ascii="Arial" w:eastAsia="Arial" w:hAnsi="Arial" w:cs="Arial"/>
          <w:b/>
          <w:i/>
          <w:sz w:val="24"/>
          <w:szCs w:val="24"/>
        </w:rPr>
        <w:t>iii</w:t>
      </w:r>
      <w:proofErr w:type="spellEnd"/>
      <w:r>
        <w:rPr>
          <w:rFonts w:ascii="Arial" w:eastAsia="Arial" w:hAnsi="Arial" w:cs="Arial"/>
          <w:b/>
          <w:i/>
          <w:sz w:val="24"/>
          <w:szCs w:val="24"/>
        </w:rPr>
        <w:t>)</w:t>
      </w:r>
      <w:r>
        <w:rPr>
          <w:rFonts w:ascii="Arial" w:eastAsia="Arial" w:hAnsi="Arial" w:cs="Arial"/>
          <w:sz w:val="24"/>
          <w:szCs w:val="24"/>
        </w:rPr>
        <w:t xml:space="preserve"> no es posible acreditar reincidencia en la conducta y, finalmente, </w:t>
      </w:r>
      <w:r>
        <w:rPr>
          <w:rFonts w:ascii="Arial" w:eastAsia="Arial" w:hAnsi="Arial" w:cs="Arial"/>
          <w:b/>
          <w:i/>
          <w:sz w:val="24"/>
          <w:szCs w:val="24"/>
        </w:rPr>
        <w:t>iv)</w:t>
      </w:r>
      <w:r>
        <w:rPr>
          <w:rFonts w:ascii="Arial" w:eastAsia="Arial" w:hAnsi="Arial" w:cs="Arial"/>
          <w:sz w:val="24"/>
          <w:szCs w:val="24"/>
        </w:rPr>
        <w:t xml:space="preserve"> las encuestas se difundieron a través de diversas publicaciones en Facebook, de las cuales, su alcance o difusión depende de la voluntad que la y el usuario tenga de interactuar con ellas.</w:t>
      </w:r>
    </w:p>
    <w:p w14:paraId="76412A7D" w14:textId="77777777" w:rsidR="00B14497" w:rsidRDefault="000142EE">
      <w:pPr>
        <w:spacing w:before="240" w:after="240" w:line="360" w:lineRule="auto"/>
        <w:jc w:val="both"/>
        <w:rPr>
          <w:rFonts w:ascii="Arial" w:eastAsia="Arial" w:hAnsi="Arial" w:cs="Arial"/>
          <w:sz w:val="24"/>
          <w:szCs w:val="24"/>
        </w:rPr>
      </w:pPr>
      <w:r>
        <w:rPr>
          <w:rFonts w:ascii="Arial" w:eastAsia="Arial" w:hAnsi="Arial" w:cs="Arial"/>
          <w:sz w:val="24"/>
          <w:szCs w:val="24"/>
        </w:rPr>
        <w:t xml:space="preserve">Por tanto, en atención a que la conducta infractora desplegada por la persona moral consiste en una serie de omisiones no intencionales, este Tribunal estima que la calificación de la falta como </w:t>
      </w:r>
      <w:r>
        <w:rPr>
          <w:rFonts w:ascii="Arial" w:eastAsia="Arial" w:hAnsi="Arial" w:cs="Arial"/>
          <w:b/>
          <w:sz w:val="24"/>
          <w:szCs w:val="24"/>
        </w:rPr>
        <w:t>leve,</w:t>
      </w:r>
      <w:r>
        <w:rPr>
          <w:rFonts w:ascii="Arial" w:eastAsia="Arial" w:hAnsi="Arial" w:cs="Arial"/>
          <w:sz w:val="24"/>
          <w:szCs w:val="24"/>
        </w:rPr>
        <w:t xml:space="preserve"> es adecuada.</w:t>
      </w:r>
    </w:p>
    <w:p w14:paraId="3D07ED94" w14:textId="77777777" w:rsidR="00B14497" w:rsidRDefault="000142EE">
      <w:pPr>
        <w:numPr>
          <w:ilvl w:val="0"/>
          <w:numId w:val="5"/>
        </w:numPr>
        <w:pBdr>
          <w:top w:val="nil"/>
          <w:left w:val="nil"/>
          <w:bottom w:val="nil"/>
          <w:right w:val="nil"/>
          <w:between w:val="nil"/>
        </w:pBdr>
        <w:spacing w:before="240" w:after="240" w:line="360" w:lineRule="auto"/>
        <w:ind w:left="284" w:hanging="284"/>
        <w:jc w:val="both"/>
        <w:rPr>
          <w:rFonts w:ascii="Arial" w:eastAsia="Arial" w:hAnsi="Arial" w:cs="Arial"/>
          <w:color w:val="000000"/>
          <w:sz w:val="24"/>
          <w:szCs w:val="24"/>
        </w:rPr>
      </w:pPr>
      <w:r>
        <w:rPr>
          <w:rFonts w:ascii="Arial" w:eastAsia="Arial" w:hAnsi="Arial" w:cs="Arial"/>
          <w:b/>
          <w:color w:val="000000"/>
          <w:sz w:val="24"/>
          <w:szCs w:val="24"/>
          <w:u w:val="single"/>
        </w:rPr>
        <w:t>Sanción</w:t>
      </w:r>
    </w:p>
    <w:p w14:paraId="74321D74" w14:textId="77777777" w:rsidR="00B14497" w:rsidRDefault="000142EE">
      <w:pPr>
        <w:spacing w:before="240" w:after="240" w:line="360" w:lineRule="auto"/>
        <w:jc w:val="both"/>
        <w:rPr>
          <w:rFonts w:ascii="Arial" w:eastAsia="Arial" w:hAnsi="Arial" w:cs="Arial"/>
          <w:sz w:val="24"/>
          <w:szCs w:val="24"/>
        </w:rPr>
      </w:pPr>
      <w:r>
        <w:rPr>
          <w:rFonts w:ascii="Arial" w:eastAsia="Arial" w:hAnsi="Arial" w:cs="Arial"/>
          <w:sz w:val="24"/>
          <w:szCs w:val="24"/>
        </w:rPr>
        <w:t xml:space="preserve">Con base en el artículo 251, párrafo 5 y 7 de la LGIPE, en relación con los diversos 132, 133 y 136, párrafo tercero, del Reglamento de Elecciones, y teniendo presente los elementos de la infracción, especialmente, el bien jurídico protegido y los efectos de la misma, se considera que lo procedente es </w:t>
      </w:r>
      <w:r>
        <w:rPr>
          <w:rFonts w:ascii="Arial" w:eastAsia="Arial" w:hAnsi="Arial" w:cs="Arial"/>
          <w:b/>
          <w:sz w:val="24"/>
          <w:szCs w:val="24"/>
        </w:rPr>
        <w:t xml:space="preserve">imponer a la empresa </w:t>
      </w:r>
      <w:r>
        <w:rPr>
          <w:rFonts w:ascii="Arial" w:eastAsia="Arial" w:hAnsi="Arial" w:cs="Arial"/>
          <w:b/>
          <w:color w:val="000000"/>
          <w:sz w:val="24"/>
          <w:szCs w:val="24"/>
        </w:rPr>
        <w:t xml:space="preserve">Grupo </w:t>
      </w:r>
      <w:proofErr w:type="spellStart"/>
      <w:r>
        <w:rPr>
          <w:rFonts w:ascii="Arial" w:eastAsia="Arial" w:hAnsi="Arial" w:cs="Arial"/>
          <w:b/>
          <w:color w:val="000000"/>
          <w:sz w:val="24"/>
          <w:szCs w:val="24"/>
        </w:rPr>
        <w:t>Rapcen</w:t>
      </w:r>
      <w:proofErr w:type="spellEnd"/>
      <w:r>
        <w:rPr>
          <w:rFonts w:ascii="Arial" w:eastAsia="Arial" w:hAnsi="Arial" w:cs="Arial"/>
          <w:b/>
          <w:color w:val="000000"/>
          <w:sz w:val="24"/>
          <w:szCs w:val="24"/>
        </w:rPr>
        <w:t xml:space="preserve"> S.A. de C.V. (</w:t>
      </w:r>
      <w:proofErr w:type="spellStart"/>
      <w:r>
        <w:rPr>
          <w:rFonts w:ascii="Arial" w:eastAsia="Arial" w:hAnsi="Arial" w:cs="Arial"/>
          <w:b/>
          <w:color w:val="000000"/>
          <w:sz w:val="24"/>
          <w:szCs w:val="24"/>
        </w:rPr>
        <w:t>TResearch</w:t>
      </w:r>
      <w:proofErr w:type="spellEnd"/>
      <w:r>
        <w:rPr>
          <w:rFonts w:ascii="Arial" w:eastAsia="Arial" w:hAnsi="Arial" w:cs="Arial"/>
          <w:b/>
          <w:color w:val="000000"/>
          <w:sz w:val="24"/>
          <w:szCs w:val="24"/>
        </w:rPr>
        <w:t xml:space="preserve">), </w:t>
      </w:r>
      <w:r>
        <w:rPr>
          <w:rFonts w:ascii="Arial" w:eastAsia="Arial" w:hAnsi="Arial" w:cs="Arial"/>
          <w:b/>
          <w:color w:val="000000"/>
          <w:sz w:val="24"/>
          <w:szCs w:val="24"/>
          <w:u w:val="single"/>
        </w:rPr>
        <w:t>una amonestación pública</w:t>
      </w:r>
      <w:r>
        <w:rPr>
          <w:rFonts w:ascii="Arial" w:eastAsia="Arial" w:hAnsi="Arial" w:cs="Arial"/>
          <w:color w:val="000000"/>
          <w:sz w:val="24"/>
          <w:szCs w:val="24"/>
        </w:rPr>
        <w:t xml:space="preserve"> </w:t>
      </w:r>
      <w:r>
        <w:rPr>
          <w:rFonts w:ascii="Arial" w:eastAsia="Arial" w:hAnsi="Arial" w:cs="Arial"/>
          <w:sz w:val="24"/>
          <w:szCs w:val="24"/>
        </w:rPr>
        <w:t>de conformidad con lo dispuesto por el artículo 456, párrafo 1, inciso e) fracción I, de la LGIPE.</w:t>
      </w:r>
      <w:r>
        <w:rPr>
          <w:rFonts w:ascii="Arial" w:eastAsia="Arial" w:hAnsi="Arial" w:cs="Arial"/>
          <w:sz w:val="24"/>
          <w:szCs w:val="24"/>
          <w:vertAlign w:val="superscript"/>
        </w:rPr>
        <w:footnoteReference w:id="32"/>
      </w:r>
    </w:p>
    <w:p w14:paraId="41A0F16A" w14:textId="77777777" w:rsidR="00B14497" w:rsidRDefault="000142EE">
      <w:pPr>
        <w:spacing w:before="240" w:after="240" w:line="360" w:lineRule="auto"/>
        <w:jc w:val="both"/>
        <w:rPr>
          <w:rFonts w:ascii="Arial" w:eastAsia="Arial" w:hAnsi="Arial" w:cs="Arial"/>
          <w:sz w:val="24"/>
          <w:szCs w:val="24"/>
        </w:rPr>
      </w:pPr>
      <w:r>
        <w:rPr>
          <w:rFonts w:ascii="Arial" w:eastAsia="Arial" w:hAnsi="Arial" w:cs="Arial"/>
          <w:sz w:val="24"/>
          <w:szCs w:val="24"/>
        </w:rPr>
        <w:t xml:space="preserve">Lo anterior, resulta congruente tomando en cuenta la doble finalidad de la aplicación de las sanciones, es decir, una prevención </w:t>
      </w:r>
      <w:r>
        <w:rPr>
          <w:rFonts w:ascii="Arial" w:eastAsia="Arial" w:hAnsi="Arial" w:cs="Arial"/>
          <w:b/>
          <w:i/>
          <w:sz w:val="24"/>
          <w:szCs w:val="24"/>
        </w:rPr>
        <w:t>general</w:t>
      </w:r>
      <w:r>
        <w:rPr>
          <w:rFonts w:ascii="Arial" w:eastAsia="Arial" w:hAnsi="Arial" w:cs="Arial"/>
          <w:sz w:val="24"/>
          <w:szCs w:val="24"/>
        </w:rPr>
        <w:t xml:space="preserve">: impedir la comisión de otros hechos </w:t>
      </w:r>
      <w:r>
        <w:rPr>
          <w:rFonts w:ascii="Arial" w:eastAsia="Arial" w:hAnsi="Arial" w:cs="Arial"/>
          <w:sz w:val="24"/>
          <w:szCs w:val="24"/>
        </w:rPr>
        <w:lastRenderedPageBreak/>
        <w:t xml:space="preserve">irregulares y, </w:t>
      </w:r>
      <w:r>
        <w:rPr>
          <w:rFonts w:ascii="Arial" w:eastAsia="Arial" w:hAnsi="Arial" w:cs="Arial"/>
          <w:b/>
          <w:i/>
          <w:sz w:val="24"/>
          <w:szCs w:val="24"/>
        </w:rPr>
        <w:t>especial</w:t>
      </w:r>
      <w:r>
        <w:rPr>
          <w:rFonts w:ascii="Arial" w:eastAsia="Arial" w:hAnsi="Arial" w:cs="Arial"/>
          <w:i/>
          <w:sz w:val="24"/>
          <w:szCs w:val="24"/>
        </w:rPr>
        <w:t>:</w:t>
      </w:r>
      <w:r>
        <w:rPr>
          <w:rFonts w:ascii="Arial" w:eastAsia="Arial" w:hAnsi="Arial" w:cs="Arial"/>
          <w:sz w:val="24"/>
          <w:szCs w:val="24"/>
        </w:rPr>
        <w:t xml:space="preserve"> es decir, la aplicación de una sanción a la responsable de la infracción para persuadir y evitar que vuelva a transgredir la normativa, es que se busca hacer conciencia en la persona moral denunciada sobre el deber de mayor diligencia que debe observar en la realización y publicación de encuestas que traten sobre asuntos electorales.</w:t>
      </w:r>
    </w:p>
    <w:p w14:paraId="5DDCCE1C" w14:textId="722BF543" w:rsidR="00B14497" w:rsidRPr="00360362" w:rsidRDefault="000142EE" w:rsidP="00360362">
      <w:pPr>
        <w:spacing w:before="240" w:line="360" w:lineRule="auto"/>
        <w:jc w:val="both"/>
        <w:rPr>
          <w:rFonts w:ascii="Arial" w:eastAsia="Arial" w:hAnsi="Arial" w:cs="Arial"/>
          <w:sz w:val="24"/>
          <w:szCs w:val="24"/>
        </w:rPr>
      </w:pPr>
      <w:r>
        <w:rPr>
          <w:rFonts w:ascii="Arial" w:eastAsia="Arial" w:hAnsi="Arial" w:cs="Arial"/>
          <w:sz w:val="24"/>
          <w:szCs w:val="24"/>
        </w:rPr>
        <w:t>Por ello, se justifica en el presente asunto la imposición dicha amonestación pública, ya que resulta ser una medida razonable en relación a la gravedad del ilícito y la culpabilidad de la empresa cuestionada, pues de imponerse una sanción más grave, podría llegarse al extremo de sancionar de forma excesiva y desproporcionada, en atención a las particularidades de la conducta señalada.</w:t>
      </w:r>
    </w:p>
    <w:p w14:paraId="7ADBF4BD" w14:textId="77777777" w:rsidR="00B14497" w:rsidRDefault="000142EE">
      <w:pPr>
        <w:numPr>
          <w:ilvl w:val="0"/>
          <w:numId w:val="7"/>
        </w:numPr>
        <w:pBdr>
          <w:top w:val="nil"/>
          <w:left w:val="nil"/>
          <w:bottom w:val="nil"/>
          <w:right w:val="nil"/>
          <w:between w:val="nil"/>
        </w:pBdr>
        <w:tabs>
          <w:tab w:val="left" w:pos="284"/>
        </w:tabs>
        <w:spacing w:before="240" w:line="360" w:lineRule="auto"/>
        <w:ind w:left="0" w:firstLine="0"/>
        <w:jc w:val="both"/>
        <w:rPr>
          <w:rFonts w:ascii="Arial" w:eastAsia="Arial" w:hAnsi="Arial" w:cs="Arial"/>
          <w:color w:val="000000"/>
          <w:sz w:val="24"/>
          <w:szCs w:val="24"/>
        </w:rPr>
      </w:pPr>
      <w:r>
        <w:rPr>
          <w:rFonts w:ascii="Arial" w:eastAsia="Arial" w:hAnsi="Arial" w:cs="Arial"/>
          <w:b/>
          <w:color w:val="000000"/>
          <w:sz w:val="24"/>
          <w:szCs w:val="24"/>
          <w:u w:val="single"/>
        </w:rPr>
        <w:t>Publicidad de la sanción.</w:t>
      </w:r>
      <w:r>
        <w:rPr>
          <w:rFonts w:ascii="Arial" w:eastAsia="Arial" w:hAnsi="Arial" w:cs="Arial"/>
          <w:color w:val="000000"/>
          <w:sz w:val="24"/>
          <w:szCs w:val="24"/>
        </w:rPr>
        <w:t xml:space="preserve"> </w:t>
      </w:r>
      <w:r>
        <w:rPr>
          <w:rFonts w:ascii="Arial" w:eastAsia="Arial" w:hAnsi="Arial" w:cs="Arial"/>
          <w:b/>
          <w:color w:val="000000"/>
          <w:sz w:val="24"/>
          <w:szCs w:val="24"/>
        </w:rPr>
        <w:t xml:space="preserve">Publíquese esta sentencia en el Catálogo de Sujetos Sancionados </w:t>
      </w:r>
      <w:r>
        <w:rPr>
          <w:rFonts w:ascii="Arial" w:eastAsia="Arial" w:hAnsi="Arial" w:cs="Arial"/>
          <w:color w:val="000000"/>
          <w:sz w:val="24"/>
          <w:szCs w:val="24"/>
        </w:rPr>
        <w:t>en los Procedimientos Especiales Sancionadores de la página de Internet de este Tribunal Electoral.</w:t>
      </w:r>
    </w:p>
    <w:p w14:paraId="6348FE6E" w14:textId="77777777" w:rsidR="00B14497" w:rsidRDefault="000142EE">
      <w:pPr>
        <w:spacing w:line="360" w:lineRule="auto"/>
        <w:jc w:val="center"/>
        <w:rPr>
          <w:rFonts w:ascii="Arial" w:eastAsia="Arial" w:hAnsi="Arial" w:cs="Arial"/>
          <w:b/>
          <w:sz w:val="24"/>
          <w:szCs w:val="24"/>
        </w:rPr>
      </w:pPr>
      <w:r>
        <w:rPr>
          <w:rFonts w:ascii="Arial" w:eastAsia="Arial" w:hAnsi="Arial" w:cs="Arial"/>
          <w:b/>
          <w:sz w:val="24"/>
          <w:szCs w:val="24"/>
        </w:rPr>
        <w:t>VI. Resolutivos:</w:t>
      </w:r>
    </w:p>
    <w:p w14:paraId="0255A0E6" w14:textId="77777777" w:rsidR="00B14497" w:rsidRPr="0024375C" w:rsidRDefault="00B14497" w:rsidP="0024375C">
      <w:pPr>
        <w:pStyle w:val="Sinespaciado"/>
      </w:pPr>
    </w:p>
    <w:p w14:paraId="2A0A505A" w14:textId="77777777" w:rsidR="00B14497" w:rsidRDefault="000142EE">
      <w:pPr>
        <w:spacing w:line="360" w:lineRule="auto"/>
        <w:jc w:val="both"/>
        <w:rPr>
          <w:rFonts w:ascii="Arial" w:eastAsia="Arial" w:hAnsi="Arial" w:cs="Arial"/>
          <w:sz w:val="24"/>
          <w:szCs w:val="24"/>
        </w:rPr>
      </w:pPr>
      <w:r>
        <w:rPr>
          <w:rFonts w:ascii="Arial" w:eastAsia="Arial" w:hAnsi="Arial" w:cs="Arial"/>
          <w:b/>
          <w:sz w:val="24"/>
          <w:szCs w:val="24"/>
        </w:rPr>
        <w:t xml:space="preserve">Primero. </w:t>
      </w:r>
      <w:r>
        <w:rPr>
          <w:rFonts w:ascii="Arial" w:eastAsia="Arial" w:hAnsi="Arial" w:cs="Arial"/>
          <w:sz w:val="24"/>
          <w:szCs w:val="24"/>
        </w:rPr>
        <w:t xml:space="preserve">Se </w:t>
      </w:r>
      <w:r>
        <w:rPr>
          <w:rFonts w:ascii="Arial" w:eastAsia="Arial" w:hAnsi="Arial" w:cs="Arial"/>
          <w:b/>
          <w:sz w:val="24"/>
          <w:szCs w:val="24"/>
        </w:rPr>
        <w:t xml:space="preserve">acredita </w:t>
      </w:r>
      <w:r>
        <w:rPr>
          <w:rFonts w:ascii="Arial" w:eastAsia="Arial" w:hAnsi="Arial" w:cs="Arial"/>
          <w:sz w:val="24"/>
          <w:szCs w:val="24"/>
        </w:rPr>
        <w:t xml:space="preserve">la infracción atribuida a la empresa </w:t>
      </w:r>
      <w:r>
        <w:rPr>
          <w:rFonts w:ascii="Arial" w:eastAsia="Arial" w:hAnsi="Arial" w:cs="Arial"/>
          <w:color w:val="000000"/>
          <w:sz w:val="24"/>
          <w:szCs w:val="24"/>
        </w:rPr>
        <w:t xml:space="preserve">Grupo </w:t>
      </w:r>
      <w:proofErr w:type="spellStart"/>
      <w:r>
        <w:rPr>
          <w:rFonts w:ascii="Arial" w:eastAsia="Arial" w:hAnsi="Arial" w:cs="Arial"/>
          <w:color w:val="000000"/>
          <w:sz w:val="24"/>
          <w:szCs w:val="24"/>
        </w:rPr>
        <w:t>Rapcen</w:t>
      </w:r>
      <w:proofErr w:type="spellEnd"/>
      <w:r>
        <w:rPr>
          <w:rFonts w:ascii="Arial" w:eastAsia="Arial" w:hAnsi="Arial" w:cs="Arial"/>
          <w:color w:val="000000"/>
          <w:sz w:val="24"/>
          <w:szCs w:val="24"/>
        </w:rPr>
        <w:t xml:space="preserve"> S.A. de C.V. (</w:t>
      </w:r>
      <w:proofErr w:type="spellStart"/>
      <w:r>
        <w:rPr>
          <w:rFonts w:ascii="Arial" w:eastAsia="Arial" w:hAnsi="Arial" w:cs="Arial"/>
          <w:color w:val="000000"/>
          <w:sz w:val="24"/>
          <w:szCs w:val="24"/>
        </w:rPr>
        <w:t>TResearch</w:t>
      </w:r>
      <w:proofErr w:type="spellEnd"/>
      <w:r>
        <w:rPr>
          <w:rFonts w:ascii="Arial" w:eastAsia="Arial" w:hAnsi="Arial" w:cs="Arial"/>
          <w:color w:val="000000"/>
          <w:sz w:val="24"/>
          <w:szCs w:val="24"/>
        </w:rPr>
        <w:t>)</w:t>
      </w:r>
      <w:r>
        <w:rPr>
          <w:rFonts w:ascii="Arial" w:eastAsia="Arial" w:hAnsi="Arial" w:cs="Arial"/>
          <w:sz w:val="24"/>
          <w:szCs w:val="24"/>
        </w:rPr>
        <w:t>.</w:t>
      </w:r>
    </w:p>
    <w:p w14:paraId="68B95A65" w14:textId="77777777" w:rsidR="00B14497" w:rsidRPr="0024375C" w:rsidRDefault="00B14497">
      <w:pPr>
        <w:pBdr>
          <w:top w:val="nil"/>
          <w:left w:val="nil"/>
          <w:bottom w:val="nil"/>
          <w:right w:val="nil"/>
          <w:between w:val="nil"/>
        </w:pBdr>
        <w:rPr>
          <w:color w:val="000000"/>
          <w:sz w:val="16"/>
          <w:szCs w:val="16"/>
        </w:rPr>
      </w:pPr>
    </w:p>
    <w:p w14:paraId="29CDD366" w14:textId="77777777" w:rsidR="00B14497" w:rsidRDefault="000142EE">
      <w:pPr>
        <w:spacing w:line="360" w:lineRule="auto"/>
        <w:jc w:val="both"/>
        <w:rPr>
          <w:rFonts w:ascii="Arial" w:eastAsia="Arial" w:hAnsi="Arial" w:cs="Arial"/>
          <w:sz w:val="24"/>
          <w:szCs w:val="24"/>
        </w:rPr>
      </w:pPr>
      <w:r>
        <w:rPr>
          <w:rFonts w:ascii="Arial" w:eastAsia="Arial" w:hAnsi="Arial" w:cs="Arial"/>
          <w:b/>
          <w:sz w:val="24"/>
          <w:szCs w:val="24"/>
        </w:rPr>
        <w:t>Segundo.</w:t>
      </w:r>
      <w:r>
        <w:rPr>
          <w:rFonts w:ascii="Arial" w:eastAsia="Arial" w:hAnsi="Arial" w:cs="Arial"/>
          <w:sz w:val="24"/>
          <w:szCs w:val="24"/>
        </w:rPr>
        <w:t xml:space="preserve"> Se impone una </w:t>
      </w:r>
      <w:r>
        <w:rPr>
          <w:rFonts w:ascii="Arial" w:eastAsia="Arial" w:hAnsi="Arial" w:cs="Arial"/>
          <w:b/>
          <w:sz w:val="24"/>
          <w:szCs w:val="24"/>
        </w:rPr>
        <w:t>amonestación pública</w:t>
      </w:r>
      <w:r>
        <w:rPr>
          <w:rFonts w:ascii="Arial" w:eastAsia="Arial" w:hAnsi="Arial" w:cs="Arial"/>
          <w:sz w:val="24"/>
          <w:szCs w:val="24"/>
        </w:rPr>
        <w:t xml:space="preserve"> a </w:t>
      </w:r>
      <w:r>
        <w:rPr>
          <w:rFonts w:ascii="Arial" w:eastAsia="Arial" w:hAnsi="Arial" w:cs="Arial"/>
          <w:color w:val="000000"/>
          <w:sz w:val="24"/>
          <w:szCs w:val="24"/>
        </w:rPr>
        <w:t xml:space="preserve">Grupo </w:t>
      </w:r>
      <w:proofErr w:type="spellStart"/>
      <w:r>
        <w:rPr>
          <w:rFonts w:ascii="Arial" w:eastAsia="Arial" w:hAnsi="Arial" w:cs="Arial"/>
          <w:color w:val="000000"/>
          <w:sz w:val="24"/>
          <w:szCs w:val="24"/>
        </w:rPr>
        <w:t>Rapcen</w:t>
      </w:r>
      <w:proofErr w:type="spellEnd"/>
      <w:r>
        <w:rPr>
          <w:rFonts w:ascii="Arial" w:eastAsia="Arial" w:hAnsi="Arial" w:cs="Arial"/>
          <w:color w:val="000000"/>
          <w:sz w:val="24"/>
          <w:szCs w:val="24"/>
        </w:rPr>
        <w:t xml:space="preserve"> S.A. de C.V. (</w:t>
      </w:r>
      <w:proofErr w:type="spellStart"/>
      <w:r>
        <w:rPr>
          <w:rFonts w:ascii="Arial" w:eastAsia="Arial" w:hAnsi="Arial" w:cs="Arial"/>
          <w:color w:val="000000"/>
          <w:sz w:val="24"/>
          <w:szCs w:val="24"/>
        </w:rPr>
        <w:t>TResearch</w:t>
      </w:r>
      <w:proofErr w:type="spellEnd"/>
      <w:r>
        <w:rPr>
          <w:rFonts w:ascii="Arial" w:eastAsia="Arial" w:hAnsi="Arial" w:cs="Arial"/>
          <w:color w:val="000000"/>
          <w:sz w:val="24"/>
          <w:szCs w:val="24"/>
        </w:rPr>
        <w:t>)</w:t>
      </w:r>
      <w:r>
        <w:rPr>
          <w:rFonts w:ascii="Arial" w:eastAsia="Arial" w:hAnsi="Arial" w:cs="Arial"/>
          <w:sz w:val="24"/>
          <w:szCs w:val="24"/>
        </w:rPr>
        <w:t xml:space="preserve">. </w:t>
      </w:r>
    </w:p>
    <w:p w14:paraId="5833A973" w14:textId="77777777" w:rsidR="00B14497" w:rsidRPr="0024375C" w:rsidRDefault="00B14497">
      <w:pPr>
        <w:pBdr>
          <w:top w:val="nil"/>
          <w:left w:val="nil"/>
          <w:bottom w:val="nil"/>
          <w:right w:val="nil"/>
          <w:between w:val="nil"/>
        </w:pBdr>
        <w:rPr>
          <w:color w:val="000000"/>
          <w:sz w:val="16"/>
          <w:szCs w:val="16"/>
        </w:rPr>
      </w:pPr>
    </w:p>
    <w:p w14:paraId="50F87FDC" w14:textId="77777777" w:rsidR="00B14497" w:rsidRDefault="000142EE">
      <w:pPr>
        <w:spacing w:line="360" w:lineRule="auto"/>
        <w:jc w:val="both"/>
        <w:rPr>
          <w:rFonts w:ascii="Arial" w:eastAsia="Arial" w:hAnsi="Arial" w:cs="Arial"/>
          <w:sz w:val="24"/>
          <w:szCs w:val="24"/>
        </w:rPr>
      </w:pPr>
      <w:r>
        <w:rPr>
          <w:rFonts w:ascii="Arial" w:eastAsia="Arial" w:hAnsi="Arial" w:cs="Arial"/>
          <w:b/>
          <w:sz w:val="24"/>
          <w:szCs w:val="24"/>
        </w:rPr>
        <w:t xml:space="preserve">Tercero. </w:t>
      </w:r>
      <w:r>
        <w:rPr>
          <w:rFonts w:ascii="Arial" w:eastAsia="Arial" w:hAnsi="Arial" w:cs="Arial"/>
          <w:sz w:val="24"/>
          <w:szCs w:val="24"/>
        </w:rPr>
        <w:t>Publíquese en la página de internet de este Tribunal, en el catálogo de sujetos sancionados de los Procedimientos Especiales Sancionadores.</w:t>
      </w:r>
    </w:p>
    <w:p w14:paraId="684E0804" w14:textId="77777777" w:rsidR="00B14497" w:rsidRPr="0024375C" w:rsidRDefault="00B14497">
      <w:pPr>
        <w:pBdr>
          <w:top w:val="nil"/>
          <w:left w:val="nil"/>
          <w:bottom w:val="nil"/>
          <w:right w:val="nil"/>
          <w:between w:val="nil"/>
        </w:pBdr>
        <w:rPr>
          <w:color w:val="000000"/>
          <w:sz w:val="16"/>
          <w:szCs w:val="16"/>
        </w:rPr>
      </w:pPr>
    </w:p>
    <w:p w14:paraId="14966D47" w14:textId="77777777" w:rsidR="00B14497" w:rsidRDefault="000142EE">
      <w:pPr>
        <w:pBdr>
          <w:top w:val="nil"/>
          <w:left w:val="nil"/>
          <w:bottom w:val="nil"/>
          <w:right w:val="nil"/>
          <w:between w:val="nil"/>
        </w:pBdr>
        <w:tabs>
          <w:tab w:val="left" w:pos="0"/>
          <w:tab w:val="left" w:pos="426"/>
        </w:tabs>
        <w:spacing w:line="360" w:lineRule="auto"/>
        <w:jc w:val="both"/>
        <w:rPr>
          <w:rFonts w:ascii="Arial" w:eastAsia="Arial" w:hAnsi="Arial" w:cs="Arial"/>
          <w:b/>
          <w:color w:val="000000"/>
          <w:sz w:val="24"/>
          <w:szCs w:val="24"/>
        </w:rPr>
      </w:pPr>
      <w:r>
        <w:rPr>
          <w:rFonts w:ascii="Arial" w:eastAsia="Arial" w:hAnsi="Arial" w:cs="Arial"/>
          <w:b/>
          <w:color w:val="000000"/>
          <w:sz w:val="24"/>
          <w:szCs w:val="24"/>
        </w:rPr>
        <w:t xml:space="preserve">Notifíquese. </w:t>
      </w:r>
    </w:p>
    <w:p w14:paraId="69EAFEE1" w14:textId="77777777" w:rsidR="00B14497" w:rsidRPr="00360362" w:rsidRDefault="00B14497" w:rsidP="00360362">
      <w:pPr>
        <w:pStyle w:val="Sinespaciado"/>
        <w:rPr>
          <w:rFonts w:eastAsia="Arial"/>
          <w:sz w:val="12"/>
          <w:szCs w:val="12"/>
        </w:rPr>
      </w:pPr>
    </w:p>
    <w:p w14:paraId="0ECBCCBB" w14:textId="68E1498A" w:rsidR="00B14497" w:rsidRDefault="000142EE">
      <w:pPr>
        <w:pBdr>
          <w:top w:val="nil"/>
          <w:left w:val="nil"/>
          <w:bottom w:val="nil"/>
          <w:right w:val="nil"/>
          <w:between w:val="nil"/>
        </w:pBdr>
        <w:tabs>
          <w:tab w:val="left" w:pos="0"/>
          <w:tab w:val="left" w:pos="426"/>
        </w:tabs>
        <w:spacing w:line="360" w:lineRule="auto"/>
        <w:jc w:val="both"/>
        <w:rPr>
          <w:rFonts w:ascii="Arial" w:eastAsia="Arial" w:hAnsi="Arial" w:cs="Arial"/>
          <w:color w:val="000000"/>
          <w:sz w:val="24"/>
          <w:szCs w:val="24"/>
        </w:rPr>
      </w:pPr>
      <w:r>
        <w:rPr>
          <w:rFonts w:ascii="Arial" w:eastAsia="Arial" w:hAnsi="Arial" w:cs="Arial"/>
          <w:color w:val="000000"/>
          <w:sz w:val="24"/>
          <w:szCs w:val="24"/>
        </w:rPr>
        <w:t xml:space="preserve">Así lo resolvió el Tribunal Electoral del Estado de Aguascalientes, por unanimidad de votos de las </w:t>
      </w:r>
      <w:r>
        <w:rPr>
          <w:rFonts w:ascii="Arial" w:eastAsia="Arial" w:hAnsi="Arial" w:cs="Arial"/>
          <w:sz w:val="24"/>
          <w:szCs w:val="24"/>
        </w:rPr>
        <w:t xml:space="preserve">Magistradas y el </w:t>
      </w:r>
      <w:r>
        <w:rPr>
          <w:rFonts w:ascii="Arial" w:eastAsia="Arial" w:hAnsi="Arial" w:cs="Arial"/>
          <w:color w:val="000000"/>
          <w:sz w:val="24"/>
          <w:szCs w:val="24"/>
        </w:rPr>
        <w:t xml:space="preserve">Magistrado en funciones que lo integran, ante el </w:t>
      </w:r>
      <w:proofErr w:type="gramStart"/>
      <w:r>
        <w:rPr>
          <w:rFonts w:ascii="Arial" w:eastAsia="Arial" w:hAnsi="Arial" w:cs="Arial"/>
          <w:color w:val="000000"/>
          <w:sz w:val="24"/>
          <w:szCs w:val="24"/>
        </w:rPr>
        <w:t>Secretario General</w:t>
      </w:r>
      <w:proofErr w:type="gramEnd"/>
      <w:r>
        <w:rPr>
          <w:rFonts w:ascii="Arial" w:eastAsia="Arial" w:hAnsi="Arial" w:cs="Arial"/>
          <w:color w:val="000000"/>
          <w:sz w:val="24"/>
          <w:szCs w:val="24"/>
        </w:rPr>
        <w:t xml:space="preserve"> de Acuerdos, quien autoriza y da fe.</w:t>
      </w:r>
    </w:p>
    <w:p w14:paraId="3B79EC7D" w14:textId="77777777" w:rsidR="00B14497" w:rsidRDefault="00B14497">
      <w:pPr>
        <w:pBdr>
          <w:top w:val="nil"/>
          <w:left w:val="nil"/>
          <w:bottom w:val="nil"/>
          <w:right w:val="nil"/>
          <w:between w:val="nil"/>
        </w:pBdr>
        <w:rPr>
          <w:color w:val="000000"/>
        </w:rPr>
      </w:pPr>
    </w:p>
    <w:tbl>
      <w:tblPr>
        <w:tblW w:w="9120" w:type="dxa"/>
        <w:jc w:val="center"/>
        <w:tblLayout w:type="fixed"/>
        <w:tblLook w:val="0400" w:firstRow="0" w:lastRow="0" w:firstColumn="0" w:lastColumn="0" w:noHBand="0" w:noVBand="1"/>
      </w:tblPr>
      <w:tblGrid>
        <w:gridCol w:w="4559"/>
        <w:gridCol w:w="4561"/>
      </w:tblGrid>
      <w:tr w:rsidR="0089247F" w14:paraId="10FB1DCC" w14:textId="77777777" w:rsidTr="00C84EFD">
        <w:trPr>
          <w:trHeight w:val="1463"/>
          <w:jc w:val="center"/>
        </w:trPr>
        <w:tc>
          <w:tcPr>
            <w:tcW w:w="9120" w:type="dxa"/>
            <w:gridSpan w:val="2"/>
          </w:tcPr>
          <w:p w14:paraId="2F87C408" w14:textId="6C157820" w:rsidR="0089247F" w:rsidRDefault="0089247F" w:rsidP="00C84EFD">
            <w:pPr>
              <w:spacing w:line="360" w:lineRule="auto"/>
              <w:jc w:val="center"/>
              <w:rPr>
                <w:rFonts w:ascii="Arial" w:eastAsia="Arial" w:hAnsi="Arial" w:cs="Arial"/>
                <w:b/>
                <w:color w:val="000000"/>
                <w:sz w:val="24"/>
                <w:szCs w:val="24"/>
              </w:rPr>
            </w:pPr>
            <w:bookmarkStart w:id="3" w:name="_heading=h.3znysh7" w:colFirst="0" w:colLast="0"/>
            <w:bookmarkStart w:id="4" w:name="_Hlk72842321"/>
            <w:bookmarkEnd w:id="3"/>
            <w:r>
              <w:rPr>
                <w:rFonts w:ascii="Arial" w:eastAsia="Arial" w:hAnsi="Arial" w:cs="Arial"/>
                <w:b/>
                <w:color w:val="000000"/>
                <w:sz w:val="24"/>
                <w:szCs w:val="24"/>
              </w:rPr>
              <w:t>MAGISTRADA PRESIDENTA</w:t>
            </w:r>
          </w:p>
          <w:p w14:paraId="067822A1" w14:textId="77777777" w:rsidR="0089247F" w:rsidRDefault="0089247F" w:rsidP="00C84EFD">
            <w:pPr>
              <w:jc w:val="center"/>
              <w:rPr>
                <w:rFonts w:ascii="Arial" w:eastAsia="Arial" w:hAnsi="Arial" w:cs="Arial"/>
                <w:b/>
                <w:color w:val="000000"/>
                <w:sz w:val="24"/>
                <w:szCs w:val="24"/>
              </w:rPr>
            </w:pPr>
          </w:p>
          <w:p w14:paraId="49D5250C" w14:textId="0EAE6481" w:rsidR="0089247F" w:rsidRPr="003A391D" w:rsidRDefault="0089247F" w:rsidP="00C84EFD">
            <w:pPr>
              <w:spacing w:line="360" w:lineRule="auto"/>
              <w:jc w:val="center"/>
              <w:rPr>
                <w:rFonts w:ascii="Arial" w:eastAsia="Arial" w:hAnsi="Arial" w:cs="Arial"/>
                <w:b/>
                <w:color w:val="000000"/>
                <w:sz w:val="24"/>
                <w:szCs w:val="24"/>
              </w:rPr>
            </w:pPr>
            <w:r>
              <w:rPr>
                <w:rFonts w:ascii="Arial" w:eastAsia="Arial" w:hAnsi="Arial" w:cs="Arial"/>
                <w:b/>
                <w:color w:val="000000"/>
                <w:sz w:val="24"/>
                <w:szCs w:val="24"/>
              </w:rPr>
              <w:t>CLAUDIA ELOISA DÍAZ DE LEÓN GONZÁLEZ</w:t>
            </w:r>
          </w:p>
        </w:tc>
      </w:tr>
      <w:tr w:rsidR="0089247F" w14:paraId="27FA1334" w14:textId="77777777" w:rsidTr="00C84EFD">
        <w:trPr>
          <w:trHeight w:val="1549"/>
          <w:jc w:val="center"/>
        </w:trPr>
        <w:tc>
          <w:tcPr>
            <w:tcW w:w="4559" w:type="dxa"/>
          </w:tcPr>
          <w:p w14:paraId="0CB2C5D2" w14:textId="1C1A2B58" w:rsidR="0089247F" w:rsidRDefault="0089247F" w:rsidP="00C84EFD">
            <w:pPr>
              <w:spacing w:line="360" w:lineRule="auto"/>
              <w:jc w:val="center"/>
              <w:rPr>
                <w:rFonts w:ascii="Arial" w:eastAsia="Arial" w:hAnsi="Arial" w:cs="Arial"/>
                <w:b/>
                <w:color w:val="000000"/>
                <w:sz w:val="24"/>
                <w:szCs w:val="24"/>
              </w:rPr>
            </w:pPr>
            <w:r>
              <w:rPr>
                <w:rFonts w:ascii="Arial" w:eastAsia="Arial" w:hAnsi="Arial" w:cs="Arial"/>
                <w:b/>
                <w:color w:val="000000"/>
                <w:sz w:val="24"/>
                <w:szCs w:val="24"/>
              </w:rPr>
              <w:t>MAGISTRADA</w:t>
            </w:r>
          </w:p>
          <w:p w14:paraId="415BD14C" w14:textId="77777777" w:rsidR="0089247F" w:rsidRDefault="0089247F" w:rsidP="00C84EFD">
            <w:pPr>
              <w:jc w:val="center"/>
              <w:rPr>
                <w:rFonts w:ascii="Arial" w:eastAsia="Arial" w:hAnsi="Arial" w:cs="Arial"/>
                <w:b/>
                <w:color w:val="000000"/>
                <w:sz w:val="24"/>
                <w:szCs w:val="24"/>
              </w:rPr>
            </w:pPr>
          </w:p>
          <w:p w14:paraId="7A791970" w14:textId="77777777" w:rsidR="0089247F" w:rsidRDefault="0089247F" w:rsidP="00C84EFD">
            <w:pPr>
              <w:jc w:val="center"/>
              <w:rPr>
                <w:rFonts w:ascii="Arial" w:eastAsia="Arial" w:hAnsi="Arial" w:cs="Arial"/>
                <w:b/>
                <w:color w:val="000000"/>
                <w:sz w:val="24"/>
                <w:szCs w:val="24"/>
              </w:rPr>
            </w:pPr>
            <w:r>
              <w:rPr>
                <w:rFonts w:ascii="Arial" w:eastAsia="Arial" w:hAnsi="Arial" w:cs="Arial"/>
                <w:b/>
                <w:color w:val="000000"/>
                <w:sz w:val="24"/>
                <w:szCs w:val="24"/>
              </w:rPr>
              <w:t xml:space="preserve">LAURA HORTENSIA </w:t>
            </w:r>
          </w:p>
          <w:p w14:paraId="12D1CCCF" w14:textId="77777777" w:rsidR="0089247F" w:rsidRDefault="0089247F" w:rsidP="00C84EFD">
            <w:pPr>
              <w:jc w:val="center"/>
              <w:rPr>
                <w:rFonts w:ascii="Arial" w:eastAsia="Arial" w:hAnsi="Arial" w:cs="Arial"/>
                <w:b/>
                <w:color w:val="000000"/>
                <w:sz w:val="24"/>
                <w:szCs w:val="24"/>
              </w:rPr>
            </w:pPr>
            <w:r>
              <w:rPr>
                <w:rFonts w:ascii="Arial" w:eastAsia="Arial" w:hAnsi="Arial" w:cs="Arial"/>
                <w:b/>
                <w:color w:val="000000"/>
                <w:sz w:val="24"/>
                <w:szCs w:val="24"/>
              </w:rPr>
              <w:t>LLAMAS HERNÁNDEZ</w:t>
            </w:r>
          </w:p>
        </w:tc>
        <w:tc>
          <w:tcPr>
            <w:tcW w:w="4561" w:type="dxa"/>
          </w:tcPr>
          <w:p w14:paraId="15AAE310" w14:textId="77777777" w:rsidR="0089247F" w:rsidRDefault="0089247F" w:rsidP="00C84EFD">
            <w:pPr>
              <w:spacing w:line="360" w:lineRule="auto"/>
              <w:jc w:val="center"/>
              <w:rPr>
                <w:rFonts w:ascii="Arial" w:eastAsia="Arial" w:hAnsi="Arial" w:cs="Arial"/>
                <w:b/>
                <w:color w:val="000000"/>
                <w:sz w:val="24"/>
                <w:szCs w:val="24"/>
              </w:rPr>
            </w:pPr>
            <w:r>
              <w:rPr>
                <w:rFonts w:ascii="Arial" w:eastAsia="Arial" w:hAnsi="Arial" w:cs="Arial"/>
                <w:b/>
                <w:color w:val="000000"/>
                <w:sz w:val="24"/>
                <w:szCs w:val="24"/>
              </w:rPr>
              <w:t>MAGISTRADO</w:t>
            </w:r>
          </w:p>
          <w:p w14:paraId="57D5A9B0" w14:textId="77777777" w:rsidR="0089247F" w:rsidRDefault="0089247F" w:rsidP="00C84EFD">
            <w:pPr>
              <w:jc w:val="center"/>
              <w:rPr>
                <w:rFonts w:ascii="Arial" w:eastAsia="Arial" w:hAnsi="Arial" w:cs="Arial"/>
                <w:b/>
                <w:color w:val="000000"/>
                <w:sz w:val="24"/>
                <w:szCs w:val="24"/>
              </w:rPr>
            </w:pPr>
          </w:p>
          <w:p w14:paraId="3ADBACB7" w14:textId="77777777" w:rsidR="0089247F" w:rsidRDefault="0089247F" w:rsidP="00C84EFD">
            <w:pPr>
              <w:jc w:val="center"/>
              <w:rPr>
                <w:rFonts w:ascii="Arial" w:eastAsia="Arial" w:hAnsi="Arial" w:cs="Arial"/>
                <w:b/>
                <w:color w:val="000000"/>
                <w:sz w:val="24"/>
                <w:szCs w:val="24"/>
              </w:rPr>
            </w:pPr>
            <w:r>
              <w:rPr>
                <w:rFonts w:ascii="Arial" w:eastAsia="Arial" w:hAnsi="Arial" w:cs="Arial"/>
                <w:b/>
                <w:color w:val="000000"/>
                <w:sz w:val="24"/>
                <w:szCs w:val="24"/>
              </w:rPr>
              <w:t>HÉCTOR SALVADOR</w:t>
            </w:r>
          </w:p>
          <w:p w14:paraId="187DB1EA" w14:textId="77777777" w:rsidR="0089247F" w:rsidRDefault="0089247F" w:rsidP="00C84EFD">
            <w:pPr>
              <w:jc w:val="center"/>
              <w:rPr>
                <w:rFonts w:ascii="Arial" w:eastAsia="Arial" w:hAnsi="Arial" w:cs="Arial"/>
                <w:b/>
                <w:color w:val="000000"/>
                <w:sz w:val="24"/>
                <w:szCs w:val="24"/>
              </w:rPr>
            </w:pPr>
            <w:r>
              <w:rPr>
                <w:rFonts w:ascii="Arial" w:eastAsia="Arial" w:hAnsi="Arial" w:cs="Arial"/>
                <w:b/>
                <w:color w:val="000000"/>
                <w:sz w:val="24"/>
                <w:szCs w:val="24"/>
              </w:rPr>
              <w:t>HERNÁNDEZ GALLEGOS</w:t>
            </w:r>
          </w:p>
          <w:p w14:paraId="291F11C9" w14:textId="77777777" w:rsidR="0089247F" w:rsidRPr="003A391D" w:rsidRDefault="0089247F" w:rsidP="00C84EFD">
            <w:pPr>
              <w:rPr>
                <w:rFonts w:eastAsia="Arial"/>
                <w:sz w:val="36"/>
                <w:szCs w:val="36"/>
              </w:rPr>
            </w:pPr>
          </w:p>
        </w:tc>
      </w:tr>
      <w:tr w:rsidR="0089247F" w14:paraId="3FD7406D" w14:textId="77777777" w:rsidTr="00C84EFD">
        <w:trPr>
          <w:jc w:val="center"/>
        </w:trPr>
        <w:tc>
          <w:tcPr>
            <w:tcW w:w="9120" w:type="dxa"/>
            <w:gridSpan w:val="2"/>
          </w:tcPr>
          <w:p w14:paraId="3FBF7ACC" w14:textId="53526C86" w:rsidR="0089247F" w:rsidRDefault="0089247F" w:rsidP="00C84EFD">
            <w:pPr>
              <w:spacing w:line="360" w:lineRule="auto"/>
              <w:jc w:val="center"/>
              <w:rPr>
                <w:rFonts w:ascii="Arial" w:eastAsia="Arial" w:hAnsi="Arial" w:cs="Arial"/>
                <w:b/>
                <w:color w:val="000000"/>
                <w:sz w:val="24"/>
                <w:szCs w:val="24"/>
              </w:rPr>
            </w:pPr>
            <w:r>
              <w:rPr>
                <w:rFonts w:ascii="Arial" w:eastAsia="Arial" w:hAnsi="Arial" w:cs="Arial"/>
                <w:b/>
                <w:color w:val="000000"/>
                <w:sz w:val="24"/>
                <w:szCs w:val="24"/>
              </w:rPr>
              <w:t>SECRETARIO GENERAL DE ACUERDOS</w:t>
            </w:r>
          </w:p>
          <w:p w14:paraId="2FD6B3D6" w14:textId="77777777" w:rsidR="0089247F" w:rsidRDefault="0089247F" w:rsidP="00C84EFD">
            <w:pPr>
              <w:jc w:val="center"/>
              <w:rPr>
                <w:rFonts w:ascii="Arial" w:eastAsia="Arial" w:hAnsi="Arial" w:cs="Arial"/>
                <w:b/>
                <w:color w:val="000000"/>
                <w:sz w:val="24"/>
                <w:szCs w:val="24"/>
              </w:rPr>
            </w:pPr>
          </w:p>
          <w:p w14:paraId="5ABDD668" w14:textId="77777777" w:rsidR="0089247F" w:rsidRDefault="0089247F" w:rsidP="00C84EFD">
            <w:pPr>
              <w:spacing w:line="360" w:lineRule="auto"/>
              <w:jc w:val="center"/>
              <w:rPr>
                <w:rFonts w:ascii="Arial" w:eastAsia="Arial" w:hAnsi="Arial" w:cs="Arial"/>
                <w:b/>
                <w:color w:val="000000"/>
                <w:sz w:val="24"/>
                <w:szCs w:val="24"/>
              </w:rPr>
            </w:pPr>
            <w:r>
              <w:rPr>
                <w:rFonts w:ascii="Arial" w:eastAsia="Arial" w:hAnsi="Arial" w:cs="Arial"/>
                <w:b/>
                <w:color w:val="000000"/>
                <w:sz w:val="24"/>
                <w:szCs w:val="24"/>
              </w:rPr>
              <w:t>JESUS OCIEL BAENA SAUCEDO</w:t>
            </w:r>
          </w:p>
        </w:tc>
      </w:tr>
      <w:bookmarkEnd w:id="4"/>
    </w:tbl>
    <w:p w14:paraId="2E0273D5" w14:textId="77777777" w:rsidR="00B14497" w:rsidRDefault="00B14497">
      <w:pPr>
        <w:spacing w:before="240" w:after="240" w:line="360" w:lineRule="auto"/>
        <w:jc w:val="both"/>
        <w:rPr>
          <w:rFonts w:ascii="Arial" w:eastAsia="Arial" w:hAnsi="Arial" w:cs="Arial"/>
          <w:sz w:val="24"/>
          <w:szCs w:val="24"/>
        </w:rPr>
      </w:pPr>
    </w:p>
    <w:sectPr w:rsidR="00B14497">
      <w:headerReference w:type="even" r:id="rId31"/>
      <w:headerReference w:type="default" r:id="rId32"/>
      <w:footerReference w:type="even" r:id="rId33"/>
      <w:footerReference w:type="default" r:id="rId34"/>
      <w:headerReference w:type="first" r:id="rId35"/>
      <w:footerReference w:type="first" r:id="rId36"/>
      <w:pgSz w:w="12240" w:h="20160"/>
      <w:pgMar w:top="2268" w:right="1134" w:bottom="1276" w:left="1418"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F751A7" w14:textId="77777777" w:rsidR="00D177C2" w:rsidRDefault="00D177C2">
      <w:r>
        <w:separator/>
      </w:r>
    </w:p>
  </w:endnote>
  <w:endnote w:type="continuationSeparator" w:id="0">
    <w:p w14:paraId="2D525A98" w14:textId="77777777" w:rsidR="00D177C2" w:rsidRDefault="00D177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3D4B4C" w14:textId="77777777" w:rsidR="00B14497" w:rsidRDefault="00B14497">
    <w:pPr>
      <w:pBdr>
        <w:top w:val="nil"/>
        <w:left w:val="nil"/>
        <w:bottom w:val="nil"/>
        <w:right w:val="nil"/>
        <w:between w:val="nil"/>
      </w:pBdr>
      <w:tabs>
        <w:tab w:val="center" w:pos="4419"/>
        <w:tab w:val="right" w:pos="8838"/>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478DC2" w14:textId="77777777" w:rsidR="00B14497" w:rsidRDefault="00B14497">
    <w:pPr>
      <w:pBdr>
        <w:top w:val="nil"/>
        <w:left w:val="nil"/>
        <w:bottom w:val="nil"/>
        <w:right w:val="nil"/>
        <w:between w:val="nil"/>
      </w:pBdr>
      <w:tabs>
        <w:tab w:val="center" w:pos="4419"/>
        <w:tab w:val="right" w:pos="8838"/>
      </w:tabs>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AFE77D" w14:textId="77777777" w:rsidR="00B14497" w:rsidRDefault="00B14497">
    <w:pPr>
      <w:pBdr>
        <w:top w:val="nil"/>
        <w:left w:val="nil"/>
        <w:bottom w:val="nil"/>
        <w:right w:val="nil"/>
        <w:between w:val="nil"/>
      </w:pBdr>
      <w:tabs>
        <w:tab w:val="center" w:pos="4419"/>
        <w:tab w:val="right" w:pos="8838"/>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8A6ADA" w14:textId="77777777" w:rsidR="00D177C2" w:rsidRDefault="00D177C2">
      <w:r>
        <w:separator/>
      </w:r>
    </w:p>
  </w:footnote>
  <w:footnote w:type="continuationSeparator" w:id="0">
    <w:p w14:paraId="435397D3" w14:textId="77777777" w:rsidR="00D177C2" w:rsidRDefault="00D177C2">
      <w:r>
        <w:continuationSeparator/>
      </w:r>
    </w:p>
  </w:footnote>
  <w:footnote w:id="1">
    <w:p w14:paraId="3A9E02DB" w14:textId="77777777" w:rsidR="00B14497" w:rsidRDefault="000142EE">
      <w:pPr>
        <w:pBdr>
          <w:top w:val="nil"/>
          <w:left w:val="nil"/>
          <w:bottom w:val="nil"/>
          <w:right w:val="nil"/>
          <w:between w:val="nil"/>
        </w:pBdr>
        <w:rPr>
          <w:rFonts w:ascii="Arial" w:eastAsia="Arial" w:hAnsi="Arial" w:cs="Arial"/>
          <w:color w:val="000000"/>
        </w:rPr>
      </w:pPr>
      <w:r>
        <w:rPr>
          <w:vertAlign w:val="superscript"/>
        </w:rPr>
        <w:footnoteRef/>
      </w:r>
      <w:r>
        <w:rPr>
          <w:rFonts w:ascii="Arial" w:eastAsia="Arial" w:hAnsi="Arial" w:cs="Arial"/>
          <w:color w:val="000000"/>
        </w:rPr>
        <w:t xml:space="preserve"> Encargado de despacho de la secretaría de estudio de la ponencia II.</w:t>
      </w:r>
    </w:p>
  </w:footnote>
  <w:footnote w:id="2">
    <w:p w14:paraId="5AE06F96" w14:textId="77777777" w:rsidR="00B14497" w:rsidRDefault="000142EE">
      <w:pPr>
        <w:jc w:val="both"/>
        <w:rPr>
          <w:rFonts w:ascii="Arial" w:eastAsia="Arial" w:hAnsi="Arial" w:cs="Arial"/>
        </w:rPr>
      </w:pPr>
      <w:r>
        <w:rPr>
          <w:vertAlign w:val="superscript"/>
        </w:rPr>
        <w:footnoteRef/>
      </w:r>
      <w:r>
        <w:t xml:space="preserve"> </w:t>
      </w:r>
      <w:r>
        <w:rPr>
          <w:rFonts w:ascii="Arial" w:eastAsia="Arial" w:hAnsi="Arial" w:cs="Arial"/>
        </w:rPr>
        <w:t xml:space="preserve">La identificación de las publicaciones se realiza a partir de la tabla insertada en el apartado de “Hechos acreditados” de la presente sentencia. </w:t>
      </w:r>
    </w:p>
  </w:footnote>
  <w:footnote w:id="3">
    <w:p w14:paraId="6F25BA23" w14:textId="77777777" w:rsidR="00B14497" w:rsidRDefault="000142EE">
      <w:pPr>
        <w:jc w:val="both"/>
        <w:rPr>
          <w:rFonts w:ascii="Arial" w:eastAsia="Arial" w:hAnsi="Arial" w:cs="Arial"/>
        </w:rPr>
      </w:pPr>
      <w:r>
        <w:rPr>
          <w:vertAlign w:val="superscript"/>
        </w:rPr>
        <w:footnoteRef/>
      </w:r>
      <w:r>
        <w:t xml:space="preserve"> </w:t>
      </w:r>
      <w:r>
        <w:rPr>
          <w:rFonts w:ascii="Arial" w:eastAsia="Arial" w:hAnsi="Arial" w:cs="Arial"/>
        </w:rPr>
        <w:t xml:space="preserve">Dentro del plazo de los cinco días posteriores a su difusión. </w:t>
      </w:r>
    </w:p>
  </w:footnote>
  <w:footnote w:id="4">
    <w:p w14:paraId="1562B918" w14:textId="77777777" w:rsidR="00B14497" w:rsidRDefault="000142EE">
      <w:pPr>
        <w:jc w:val="both"/>
        <w:rPr>
          <w:rFonts w:ascii="Arial" w:eastAsia="Arial" w:hAnsi="Arial" w:cs="Arial"/>
        </w:rPr>
      </w:pPr>
      <w:r>
        <w:rPr>
          <w:vertAlign w:val="superscript"/>
        </w:rPr>
        <w:footnoteRef/>
      </w:r>
      <w:r>
        <w:t xml:space="preserve"> </w:t>
      </w:r>
      <w:r>
        <w:rPr>
          <w:rFonts w:ascii="Arial" w:eastAsia="Arial" w:hAnsi="Arial" w:cs="Arial"/>
        </w:rPr>
        <w:t>Observando los parámetros del estudio metodológico señalado en el marco normativo de la presente sentencia.</w:t>
      </w:r>
    </w:p>
  </w:footnote>
  <w:footnote w:id="5">
    <w:p w14:paraId="0763823F" w14:textId="77777777" w:rsidR="00B14497" w:rsidRDefault="000142EE">
      <w:pPr>
        <w:jc w:val="both"/>
        <w:rPr>
          <w:rFonts w:ascii="Arial" w:eastAsia="Arial" w:hAnsi="Arial" w:cs="Arial"/>
        </w:rPr>
      </w:pPr>
      <w:r>
        <w:rPr>
          <w:vertAlign w:val="superscript"/>
        </w:rPr>
        <w:footnoteRef/>
      </w:r>
      <w:r>
        <w:t xml:space="preserve"> </w:t>
      </w:r>
      <w:r>
        <w:rPr>
          <w:rFonts w:ascii="Arial" w:eastAsia="Arial" w:hAnsi="Arial" w:cs="Arial"/>
        </w:rPr>
        <w:t>Encuestas identificadas con los numerales 1 y 7.</w:t>
      </w:r>
    </w:p>
  </w:footnote>
  <w:footnote w:id="6">
    <w:p w14:paraId="0F886B07" w14:textId="77777777" w:rsidR="00B14497" w:rsidRDefault="000142EE">
      <w:pPr>
        <w:jc w:val="both"/>
        <w:rPr>
          <w:rFonts w:ascii="Arial" w:eastAsia="Arial" w:hAnsi="Arial" w:cs="Arial"/>
        </w:rPr>
      </w:pPr>
      <w:r>
        <w:rPr>
          <w:vertAlign w:val="superscript"/>
        </w:rPr>
        <w:footnoteRef/>
      </w:r>
      <w:r>
        <w:rPr>
          <w:rFonts w:ascii="Arial" w:eastAsia="Arial" w:hAnsi="Arial" w:cs="Arial"/>
        </w:rPr>
        <w:t xml:space="preserve"> Encuestas identificadas con los numerales 3, 4, 5, 6, 8 y 10.</w:t>
      </w:r>
    </w:p>
  </w:footnote>
  <w:footnote w:id="7">
    <w:p w14:paraId="7F7EB199" w14:textId="77777777" w:rsidR="00B14497" w:rsidRDefault="000142EE">
      <w:pPr>
        <w:jc w:val="both"/>
        <w:rPr>
          <w:rFonts w:ascii="Arial" w:eastAsia="Arial" w:hAnsi="Arial" w:cs="Arial"/>
        </w:rPr>
      </w:pPr>
      <w:r>
        <w:rPr>
          <w:vertAlign w:val="superscript"/>
        </w:rPr>
        <w:footnoteRef/>
      </w:r>
      <w:r>
        <w:t xml:space="preserve"> </w:t>
      </w:r>
      <w:r>
        <w:rPr>
          <w:rFonts w:ascii="Arial" w:eastAsia="Arial" w:hAnsi="Arial" w:cs="Arial"/>
        </w:rPr>
        <w:t xml:space="preserve">Encuestas identificadas con los numerales 11, 12, 13, 14,15,16, 17 y 18. </w:t>
      </w:r>
    </w:p>
  </w:footnote>
  <w:footnote w:id="8">
    <w:p w14:paraId="3A70346B" w14:textId="77777777" w:rsidR="00B14497" w:rsidRDefault="000142EE">
      <w:pPr>
        <w:pBdr>
          <w:top w:val="nil"/>
          <w:left w:val="nil"/>
          <w:bottom w:val="nil"/>
          <w:right w:val="nil"/>
          <w:between w:val="nil"/>
        </w:pBdr>
        <w:tabs>
          <w:tab w:val="left" w:pos="567"/>
        </w:tabs>
        <w:ind w:right="36"/>
        <w:jc w:val="both"/>
        <w:rPr>
          <w:rFonts w:ascii="Arial" w:eastAsia="Arial" w:hAnsi="Arial" w:cs="Arial"/>
        </w:rPr>
      </w:pPr>
      <w:r>
        <w:rPr>
          <w:vertAlign w:val="superscript"/>
        </w:rPr>
        <w:footnoteRef/>
      </w:r>
      <w:r>
        <w:rPr>
          <w:rFonts w:ascii="Arial" w:eastAsia="Arial" w:hAnsi="Arial" w:cs="Arial"/>
        </w:rPr>
        <w:t xml:space="preserve"> Todas las fechas corresponden al 2022, salvo precisión en contrario.</w:t>
      </w:r>
    </w:p>
  </w:footnote>
  <w:footnote w:id="9">
    <w:p w14:paraId="7D97ADD5" w14:textId="77777777" w:rsidR="00B14497" w:rsidRDefault="000142EE">
      <w:pPr>
        <w:jc w:val="both"/>
        <w:rPr>
          <w:rFonts w:ascii="Arial" w:eastAsia="Arial" w:hAnsi="Arial" w:cs="Arial"/>
        </w:rPr>
      </w:pPr>
      <w:r>
        <w:rPr>
          <w:vertAlign w:val="superscript"/>
        </w:rPr>
        <w:footnoteRef/>
      </w:r>
      <w:r>
        <w:rPr>
          <w:rFonts w:ascii="Arial" w:eastAsia="Arial" w:hAnsi="Arial" w:cs="Arial"/>
        </w:rPr>
        <w:t xml:space="preserve"> </w:t>
      </w:r>
      <w:r>
        <w:rPr>
          <w:rFonts w:ascii="Arial" w:eastAsia="Arial" w:hAnsi="Arial" w:cs="Arial"/>
          <w:i/>
        </w:rPr>
        <w:t>Precampaña</w:t>
      </w:r>
      <w:r>
        <w:rPr>
          <w:rFonts w:ascii="Arial" w:eastAsia="Arial" w:hAnsi="Arial" w:cs="Arial"/>
        </w:rPr>
        <w:t xml:space="preserve">: Del 2 de enero al 10 de febrero; </w:t>
      </w:r>
      <w:proofErr w:type="spellStart"/>
      <w:r>
        <w:rPr>
          <w:rFonts w:ascii="Arial" w:eastAsia="Arial" w:hAnsi="Arial" w:cs="Arial"/>
        </w:rPr>
        <w:t>Intercampaña</w:t>
      </w:r>
      <w:proofErr w:type="spellEnd"/>
      <w:r>
        <w:rPr>
          <w:rFonts w:ascii="Arial" w:eastAsia="Arial" w:hAnsi="Arial" w:cs="Arial"/>
        </w:rPr>
        <w:t xml:space="preserve">: Del 11 de febrero al 2 de abril; </w:t>
      </w:r>
      <w:r>
        <w:rPr>
          <w:rFonts w:ascii="Arial" w:eastAsia="Arial" w:hAnsi="Arial" w:cs="Arial"/>
          <w:i/>
        </w:rPr>
        <w:t>Campaña</w:t>
      </w:r>
      <w:r>
        <w:rPr>
          <w:rFonts w:ascii="Arial" w:eastAsia="Arial" w:hAnsi="Arial" w:cs="Arial"/>
        </w:rPr>
        <w:t xml:space="preserve">: Del 3 de abril al 1 de junio; </w:t>
      </w:r>
      <w:r>
        <w:rPr>
          <w:rFonts w:ascii="Arial" w:eastAsia="Arial" w:hAnsi="Arial" w:cs="Arial"/>
          <w:i/>
        </w:rPr>
        <w:t>Veda Electoral</w:t>
      </w:r>
      <w:r>
        <w:rPr>
          <w:rFonts w:ascii="Arial" w:eastAsia="Arial" w:hAnsi="Arial" w:cs="Arial"/>
        </w:rPr>
        <w:t xml:space="preserve">: Tres días antes de la Jornada Electoral; </w:t>
      </w:r>
      <w:r>
        <w:rPr>
          <w:rFonts w:ascii="Arial" w:eastAsia="Arial" w:hAnsi="Arial" w:cs="Arial"/>
          <w:i/>
        </w:rPr>
        <w:t>Jornada Electoral</w:t>
      </w:r>
      <w:r>
        <w:rPr>
          <w:rFonts w:ascii="Arial" w:eastAsia="Arial" w:hAnsi="Arial" w:cs="Arial"/>
        </w:rPr>
        <w:t>: El 5 de junio.</w:t>
      </w:r>
    </w:p>
  </w:footnote>
  <w:footnote w:id="10">
    <w:p w14:paraId="3EF4B0BA" w14:textId="77777777" w:rsidR="00B14497" w:rsidRDefault="000142EE">
      <w:pPr>
        <w:pBdr>
          <w:top w:val="nil"/>
          <w:left w:val="nil"/>
          <w:bottom w:val="nil"/>
          <w:right w:val="nil"/>
          <w:between w:val="nil"/>
        </w:pBdr>
        <w:jc w:val="both"/>
        <w:rPr>
          <w:rFonts w:ascii="Arial" w:eastAsia="Arial" w:hAnsi="Arial" w:cs="Arial"/>
          <w:i/>
          <w:color w:val="000000"/>
        </w:rPr>
      </w:pPr>
      <w:r>
        <w:rPr>
          <w:vertAlign w:val="superscript"/>
        </w:rPr>
        <w:footnoteRef/>
      </w:r>
      <w:r>
        <w:rPr>
          <w:rFonts w:ascii="Arial" w:eastAsia="Arial" w:hAnsi="Arial" w:cs="Arial"/>
          <w:color w:val="000000"/>
        </w:rPr>
        <w:t xml:space="preserve"> </w:t>
      </w:r>
      <w:r>
        <w:rPr>
          <w:rFonts w:ascii="Arial" w:eastAsia="Arial" w:hAnsi="Arial" w:cs="Arial"/>
          <w:i/>
          <w:color w:val="000000"/>
        </w:rPr>
        <w:t xml:space="preserve">El Bunker Político, </w:t>
      </w:r>
      <w:proofErr w:type="spellStart"/>
      <w:r>
        <w:rPr>
          <w:rFonts w:ascii="Arial" w:eastAsia="Arial" w:hAnsi="Arial" w:cs="Arial"/>
          <w:i/>
          <w:color w:val="000000"/>
        </w:rPr>
        <w:t>AgsOpina</w:t>
      </w:r>
      <w:proofErr w:type="spellEnd"/>
      <w:r>
        <w:rPr>
          <w:rFonts w:ascii="Arial" w:eastAsia="Arial" w:hAnsi="Arial" w:cs="Arial"/>
          <w:i/>
          <w:color w:val="000000"/>
        </w:rPr>
        <w:t xml:space="preserve">, 24/7 News, Nexo Noticias, Omega Noticias </w:t>
      </w:r>
      <w:r>
        <w:rPr>
          <w:rFonts w:ascii="Arial" w:eastAsia="Arial" w:hAnsi="Arial" w:cs="Arial"/>
          <w:color w:val="000000"/>
        </w:rPr>
        <w:t>y</w:t>
      </w:r>
      <w:r>
        <w:rPr>
          <w:rFonts w:ascii="Arial" w:eastAsia="Arial" w:hAnsi="Arial" w:cs="Arial"/>
          <w:i/>
          <w:color w:val="000000"/>
        </w:rPr>
        <w:t xml:space="preserve"> </w:t>
      </w:r>
      <w:proofErr w:type="spellStart"/>
      <w:r>
        <w:rPr>
          <w:rFonts w:ascii="Arial" w:eastAsia="Arial" w:hAnsi="Arial" w:cs="Arial"/>
          <w:i/>
          <w:color w:val="000000"/>
        </w:rPr>
        <w:t>Noti</w:t>
      </w:r>
      <w:proofErr w:type="spellEnd"/>
      <w:r>
        <w:rPr>
          <w:rFonts w:ascii="Arial" w:eastAsia="Arial" w:hAnsi="Arial" w:cs="Arial"/>
          <w:i/>
          <w:color w:val="000000"/>
        </w:rPr>
        <w:t xml:space="preserve"> Siete.</w:t>
      </w:r>
    </w:p>
  </w:footnote>
  <w:footnote w:id="11">
    <w:p w14:paraId="4C2C9C39" w14:textId="77777777" w:rsidR="00B14497" w:rsidRDefault="000142EE">
      <w:pPr>
        <w:pBdr>
          <w:top w:val="nil"/>
          <w:left w:val="nil"/>
          <w:bottom w:val="nil"/>
          <w:right w:val="nil"/>
          <w:between w:val="nil"/>
        </w:pBdr>
        <w:jc w:val="both"/>
        <w:rPr>
          <w:color w:val="000000"/>
          <w:sz w:val="24"/>
          <w:szCs w:val="24"/>
        </w:rPr>
      </w:pPr>
      <w:r>
        <w:rPr>
          <w:vertAlign w:val="superscript"/>
        </w:rPr>
        <w:footnoteRef/>
      </w:r>
      <w:r>
        <w:rPr>
          <w:color w:val="000000"/>
          <w:sz w:val="24"/>
          <w:szCs w:val="24"/>
        </w:rPr>
        <w:t xml:space="preserve"> </w:t>
      </w:r>
      <w:r>
        <w:rPr>
          <w:rFonts w:ascii="Arial" w:eastAsia="Arial" w:hAnsi="Arial" w:cs="Arial"/>
          <w:color w:val="000000"/>
        </w:rPr>
        <w:t>Tal como se prevé en el artículo 274, fracción IV, del Código Electoral.</w:t>
      </w:r>
    </w:p>
  </w:footnote>
  <w:footnote w:id="12">
    <w:p w14:paraId="66720993" w14:textId="77777777" w:rsidR="00B14497" w:rsidRDefault="000142EE">
      <w:pPr>
        <w:pBdr>
          <w:top w:val="nil"/>
          <w:left w:val="nil"/>
          <w:bottom w:val="nil"/>
          <w:right w:val="nil"/>
          <w:between w:val="nil"/>
        </w:pBdr>
        <w:jc w:val="both"/>
        <w:rPr>
          <w:color w:val="000000"/>
        </w:rPr>
      </w:pPr>
      <w:r>
        <w:rPr>
          <w:vertAlign w:val="superscript"/>
        </w:rPr>
        <w:footnoteRef/>
      </w:r>
      <w:r>
        <w:rPr>
          <w:color w:val="000000"/>
        </w:rPr>
        <w:t xml:space="preserve"> </w:t>
      </w:r>
      <w:r>
        <w:rPr>
          <w:rFonts w:ascii="Arial" w:eastAsia="Arial" w:hAnsi="Arial" w:cs="Arial"/>
          <w:color w:val="000000"/>
        </w:rPr>
        <w:t xml:space="preserve">Las encuestas cuestionadas fueron realizadas por la empresa Grupo </w:t>
      </w:r>
      <w:proofErr w:type="spellStart"/>
      <w:r>
        <w:rPr>
          <w:rFonts w:ascii="Arial" w:eastAsia="Arial" w:hAnsi="Arial" w:cs="Arial"/>
          <w:color w:val="000000"/>
        </w:rPr>
        <w:t>Rapcen</w:t>
      </w:r>
      <w:proofErr w:type="spellEnd"/>
      <w:r>
        <w:rPr>
          <w:rFonts w:ascii="Arial" w:eastAsia="Arial" w:hAnsi="Arial" w:cs="Arial"/>
          <w:color w:val="000000"/>
        </w:rPr>
        <w:t xml:space="preserve"> S.A. de C.V. (</w:t>
      </w:r>
      <w:proofErr w:type="spellStart"/>
      <w:r>
        <w:rPr>
          <w:rFonts w:ascii="Arial" w:eastAsia="Arial" w:hAnsi="Arial" w:cs="Arial"/>
          <w:color w:val="000000"/>
        </w:rPr>
        <w:t>TResearch</w:t>
      </w:r>
      <w:proofErr w:type="spellEnd"/>
      <w:r>
        <w:rPr>
          <w:rFonts w:ascii="Arial" w:eastAsia="Arial" w:hAnsi="Arial" w:cs="Arial"/>
          <w:color w:val="000000"/>
        </w:rPr>
        <w:t>).</w:t>
      </w:r>
    </w:p>
  </w:footnote>
  <w:footnote w:id="13">
    <w:p w14:paraId="3FE6488F" w14:textId="77777777" w:rsidR="00B14497" w:rsidRDefault="000142EE">
      <w:pPr>
        <w:pBdr>
          <w:top w:val="nil"/>
          <w:left w:val="nil"/>
          <w:bottom w:val="nil"/>
          <w:right w:val="nil"/>
          <w:between w:val="nil"/>
        </w:pBdr>
        <w:jc w:val="both"/>
        <w:rPr>
          <w:rFonts w:ascii="Arial" w:eastAsia="Arial" w:hAnsi="Arial" w:cs="Arial"/>
          <w:color w:val="000000"/>
        </w:rPr>
      </w:pPr>
      <w:r>
        <w:rPr>
          <w:vertAlign w:val="superscript"/>
        </w:rPr>
        <w:footnoteRef/>
      </w:r>
      <w:r>
        <w:rPr>
          <w:rFonts w:ascii="Arial" w:eastAsia="Arial" w:hAnsi="Arial" w:cs="Arial"/>
          <w:color w:val="000000"/>
        </w:rPr>
        <w:t xml:space="preserve"> - </w:t>
      </w:r>
      <w:r>
        <w:rPr>
          <w:rFonts w:ascii="Arial" w:eastAsia="Arial" w:hAnsi="Arial" w:cs="Arial"/>
          <w:i/>
          <w:color w:val="000000"/>
        </w:rPr>
        <w:t>Documental privada:</w:t>
      </w:r>
      <w:r>
        <w:rPr>
          <w:rFonts w:ascii="Arial" w:eastAsia="Arial" w:hAnsi="Arial" w:cs="Arial"/>
          <w:color w:val="000000"/>
        </w:rPr>
        <w:t xml:space="preserve"> De acuerdo con el artículo 256, tercer párrafo, del Código Electoral; Las documentales privadas, técnicas, periciales, e instrumental de actuaciones, así como aquellas en las que un fedatario haga constar las declaraciones de alguna persona debidamente identificada, sólo harán prueba plena cuando a juicio del órgano competente para resolver, generen convicción sobre la veracidad de los hechos alegados, al concatenarse con los demás elementos que obren en el expediente, las afirmaciones de las partes, la verdad conocida y el recto raciocinio de la relación que guardan entre sí.</w:t>
      </w:r>
    </w:p>
    <w:p w14:paraId="007A6EF8" w14:textId="77777777" w:rsidR="00B14497" w:rsidRDefault="000142EE">
      <w:pPr>
        <w:pBdr>
          <w:top w:val="nil"/>
          <w:left w:val="nil"/>
          <w:bottom w:val="nil"/>
          <w:right w:val="nil"/>
          <w:between w:val="nil"/>
        </w:pBdr>
        <w:jc w:val="both"/>
        <w:rPr>
          <w:rFonts w:ascii="Arial" w:eastAsia="Arial" w:hAnsi="Arial" w:cs="Arial"/>
          <w:color w:val="000000"/>
        </w:rPr>
      </w:pPr>
      <w:r>
        <w:rPr>
          <w:rFonts w:ascii="Arial" w:eastAsia="Arial" w:hAnsi="Arial" w:cs="Arial"/>
          <w:i/>
          <w:color w:val="000000"/>
        </w:rPr>
        <w:t>-  Documental pública:</w:t>
      </w:r>
      <w:r>
        <w:rPr>
          <w:rFonts w:ascii="Arial" w:eastAsia="Arial" w:hAnsi="Arial" w:cs="Arial"/>
          <w:color w:val="000000"/>
        </w:rPr>
        <w:t xml:space="preserve"> De conformidad con el artículo 256, segundo párrafo del Código Electoral; Las documentales públicas tendrán valor probatorio pleno, salvo prueba en contrario respecto de su autenticidad o de la veracidad de los hechos a que se refieran.</w:t>
      </w:r>
    </w:p>
    <w:p w14:paraId="73FFCB79" w14:textId="77777777" w:rsidR="00B14497" w:rsidRDefault="000142EE">
      <w:p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 xml:space="preserve">- </w:t>
      </w:r>
      <w:r>
        <w:rPr>
          <w:rFonts w:ascii="Arial" w:eastAsia="Arial" w:hAnsi="Arial" w:cs="Arial"/>
          <w:i/>
          <w:color w:val="000000"/>
        </w:rPr>
        <w:t>Técnica:</w:t>
      </w:r>
      <w:r>
        <w:rPr>
          <w:rFonts w:ascii="Arial" w:eastAsia="Arial" w:hAnsi="Arial" w:cs="Arial"/>
          <w:color w:val="000000"/>
        </w:rPr>
        <w:t xml:space="preserve"> Atendiendo a su naturaleza, acorde con el artículo 256, del Código Electoral; tienen el valor de indicio, que solo hará convicción plena y generará certeza sobre la veracidad de los hechos alegados, al concatenarse con los demás elementos que obren en el expediente, las afirmaciones de las partes, la verdad conocida y el recto raciocinio de la relación que guardan entre sí.</w:t>
      </w:r>
    </w:p>
    <w:p w14:paraId="372DE7AE" w14:textId="77777777" w:rsidR="00B14497" w:rsidRDefault="000142EE">
      <w:pPr>
        <w:pBdr>
          <w:top w:val="nil"/>
          <w:left w:val="nil"/>
          <w:bottom w:val="nil"/>
          <w:right w:val="nil"/>
          <w:between w:val="nil"/>
        </w:pBdr>
        <w:jc w:val="both"/>
        <w:rPr>
          <w:rFonts w:ascii="Arial" w:eastAsia="Arial" w:hAnsi="Arial" w:cs="Arial"/>
          <w:color w:val="000000"/>
        </w:rPr>
      </w:pPr>
      <w:r>
        <w:rPr>
          <w:rFonts w:ascii="Arial" w:eastAsia="Arial" w:hAnsi="Arial" w:cs="Arial"/>
          <w:i/>
          <w:color w:val="000000"/>
        </w:rPr>
        <w:t>- Presuncional e instrumental de actuaciones:</w:t>
      </w:r>
      <w:r>
        <w:rPr>
          <w:rFonts w:ascii="Arial" w:eastAsia="Arial" w:hAnsi="Arial" w:cs="Arial"/>
          <w:color w:val="000000"/>
        </w:rPr>
        <w:t xml:space="preserve"> En relación con las pruebas ofrecidas como </w:t>
      </w:r>
      <w:proofErr w:type="spellStart"/>
      <w:r>
        <w:rPr>
          <w:rFonts w:ascii="Arial" w:eastAsia="Arial" w:hAnsi="Arial" w:cs="Arial"/>
          <w:color w:val="000000"/>
        </w:rPr>
        <w:t>presuncional</w:t>
      </w:r>
      <w:proofErr w:type="spellEnd"/>
      <w:r>
        <w:rPr>
          <w:rFonts w:ascii="Arial" w:eastAsia="Arial" w:hAnsi="Arial" w:cs="Arial"/>
          <w:color w:val="000000"/>
        </w:rPr>
        <w:t xml:space="preserve"> e instrumental de actuaciones, vale decir que las que se actualicen pueden ser apreciadas por esta instancia, con independencia de que sean o no ofrecidas por las partes, conforme a lo dispuesto por el artículo 255, fracciones V y VI, del Código Electoral.</w:t>
      </w:r>
    </w:p>
  </w:footnote>
  <w:footnote w:id="14">
    <w:p w14:paraId="771DD3DA" w14:textId="77777777" w:rsidR="00B14497" w:rsidRDefault="000142EE">
      <w:pPr>
        <w:pBdr>
          <w:top w:val="nil"/>
          <w:left w:val="nil"/>
          <w:bottom w:val="nil"/>
          <w:right w:val="nil"/>
          <w:between w:val="nil"/>
        </w:pBdr>
        <w:jc w:val="both"/>
        <w:rPr>
          <w:color w:val="000000"/>
        </w:rPr>
      </w:pPr>
      <w:r>
        <w:rPr>
          <w:vertAlign w:val="superscript"/>
        </w:rPr>
        <w:footnoteRef/>
      </w:r>
      <w:r>
        <w:rPr>
          <w:color w:val="000000"/>
        </w:rPr>
        <w:t xml:space="preserve"> </w:t>
      </w:r>
      <w:r>
        <w:rPr>
          <w:rFonts w:ascii="Arial" w:eastAsia="Arial" w:hAnsi="Arial" w:cs="Arial"/>
          <w:color w:val="000000"/>
        </w:rPr>
        <w:t xml:space="preserve">Lo cual puede ser consultado en el CD proporcionado por el Instituto Local, en donde se alojan los archivos proporcionados por la empresa Grupo </w:t>
      </w:r>
      <w:proofErr w:type="spellStart"/>
      <w:r>
        <w:rPr>
          <w:rFonts w:ascii="Arial" w:eastAsia="Arial" w:hAnsi="Arial" w:cs="Arial"/>
          <w:color w:val="000000"/>
        </w:rPr>
        <w:t>Rapcen</w:t>
      </w:r>
      <w:proofErr w:type="spellEnd"/>
      <w:r>
        <w:rPr>
          <w:rFonts w:ascii="Arial" w:eastAsia="Arial" w:hAnsi="Arial" w:cs="Arial"/>
          <w:color w:val="000000"/>
        </w:rPr>
        <w:t xml:space="preserve"> S.A. de C.V. (</w:t>
      </w:r>
      <w:proofErr w:type="spellStart"/>
      <w:r>
        <w:rPr>
          <w:rFonts w:ascii="Arial" w:eastAsia="Arial" w:hAnsi="Arial" w:cs="Arial"/>
          <w:color w:val="000000"/>
        </w:rPr>
        <w:t>TResearch</w:t>
      </w:r>
      <w:proofErr w:type="spellEnd"/>
      <w:r>
        <w:rPr>
          <w:rFonts w:ascii="Arial" w:eastAsia="Arial" w:hAnsi="Arial" w:cs="Arial"/>
          <w:color w:val="000000"/>
        </w:rPr>
        <w:t>) en el curso del proceso electoral de renovación de gubernatura.</w:t>
      </w:r>
      <w:r>
        <w:rPr>
          <w:color w:val="000000"/>
        </w:rPr>
        <w:t xml:space="preserve"> </w:t>
      </w:r>
    </w:p>
  </w:footnote>
  <w:footnote w:id="15">
    <w:p w14:paraId="4E5543A3" w14:textId="77777777" w:rsidR="00B14497" w:rsidRDefault="000142EE">
      <w:pPr>
        <w:jc w:val="both"/>
        <w:rPr>
          <w:rFonts w:ascii="Arial" w:eastAsia="Arial" w:hAnsi="Arial" w:cs="Arial"/>
        </w:rPr>
      </w:pPr>
      <w:r>
        <w:rPr>
          <w:vertAlign w:val="superscript"/>
        </w:rPr>
        <w:footnoteRef/>
      </w:r>
      <w:r>
        <w:t xml:space="preserve"> </w:t>
      </w:r>
      <w:r>
        <w:rPr>
          <w:rFonts w:ascii="Arial" w:eastAsia="Arial" w:hAnsi="Arial" w:cs="Arial"/>
        </w:rPr>
        <w:t xml:space="preserve">La identificación de las publicaciones se realiza a partir de la tabla insertada en el apartado de “Hechos acreditados” de la presente sentencia. </w:t>
      </w:r>
    </w:p>
  </w:footnote>
  <w:footnote w:id="16">
    <w:p w14:paraId="38109E5B" w14:textId="77777777" w:rsidR="00B14497" w:rsidRDefault="000142EE">
      <w:pPr>
        <w:jc w:val="both"/>
        <w:rPr>
          <w:rFonts w:ascii="Arial" w:eastAsia="Arial" w:hAnsi="Arial" w:cs="Arial"/>
        </w:rPr>
      </w:pPr>
      <w:r>
        <w:rPr>
          <w:vertAlign w:val="superscript"/>
        </w:rPr>
        <w:footnoteRef/>
      </w:r>
      <w:r>
        <w:t xml:space="preserve"> </w:t>
      </w:r>
      <w:r>
        <w:rPr>
          <w:rFonts w:ascii="Arial" w:eastAsia="Arial" w:hAnsi="Arial" w:cs="Arial"/>
        </w:rPr>
        <w:t xml:space="preserve">Dentro del plazo de los cinco días posteriores a su difusión. </w:t>
      </w:r>
    </w:p>
  </w:footnote>
  <w:footnote w:id="17">
    <w:p w14:paraId="7097D03D" w14:textId="77777777" w:rsidR="00B14497" w:rsidRDefault="000142EE">
      <w:pPr>
        <w:jc w:val="both"/>
        <w:rPr>
          <w:rFonts w:ascii="Arial" w:eastAsia="Arial" w:hAnsi="Arial" w:cs="Arial"/>
        </w:rPr>
      </w:pPr>
      <w:r>
        <w:rPr>
          <w:vertAlign w:val="superscript"/>
        </w:rPr>
        <w:footnoteRef/>
      </w:r>
      <w:r>
        <w:t xml:space="preserve"> </w:t>
      </w:r>
      <w:r>
        <w:rPr>
          <w:rFonts w:ascii="Arial" w:eastAsia="Arial" w:hAnsi="Arial" w:cs="Arial"/>
        </w:rPr>
        <w:t>Observando los parámetros del estudio metodológico señalado en el marco normativo de la presente sentencia.</w:t>
      </w:r>
    </w:p>
  </w:footnote>
  <w:footnote w:id="18">
    <w:p w14:paraId="0B1CA36F" w14:textId="77777777" w:rsidR="00B14497" w:rsidRDefault="000142EE">
      <w:pPr>
        <w:jc w:val="both"/>
        <w:rPr>
          <w:rFonts w:ascii="Arial" w:eastAsia="Arial" w:hAnsi="Arial" w:cs="Arial"/>
        </w:rPr>
      </w:pPr>
      <w:r>
        <w:rPr>
          <w:vertAlign w:val="superscript"/>
        </w:rPr>
        <w:footnoteRef/>
      </w:r>
      <w:r>
        <w:t xml:space="preserve"> </w:t>
      </w:r>
      <w:r>
        <w:rPr>
          <w:rFonts w:ascii="Arial" w:eastAsia="Arial" w:hAnsi="Arial" w:cs="Arial"/>
        </w:rPr>
        <w:t>Encuestas identificadas con los numerales 1 y 7.</w:t>
      </w:r>
    </w:p>
  </w:footnote>
  <w:footnote w:id="19">
    <w:p w14:paraId="64B682C2" w14:textId="77777777" w:rsidR="00B14497" w:rsidRDefault="000142EE">
      <w:pPr>
        <w:jc w:val="both"/>
        <w:rPr>
          <w:rFonts w:ascii="Arial" w:eastAsia="Arial" w:hAnsi="Arial" w:cs="Arial"/>
        </w:rPr>
      </w:pPr>
      <w:r>
        <w:rPr>
          <w:vertAlign w:val="superscript"/>
        </w:rPr>
        <w:footnoteRef/>
      </w:r>
      <w:r>
        <w:rPr>
          <w:rFonts w:ascii="Arial" w:eastAsia="Arial" w:hAnsi="Arial" w:cs="Arial"/>
        </w:rPr>
        <w:t xml:space="preserve"> Encuestas identificadas con los numerales 3, 4, 5, 6, 8 y 10.</w:t>
      </w:r>
    </w:p>
  </w:footnote>
  <w:footnote w:id="20">
    <w:p w14:paraId="48C33779" w14:textId="77777777" w:rsidR="00B14497" w:rsidRDefault="000142EE">
      <w:pPr>
        <w:jc w:val="both"/>
        <w:rPr>
          <w:rFonts w:ascii="Arial" w:eastAsia="Arial" w:hAnsi="Arial" w:cs="Arial"/>
        </w:rPr>
      </w:pPr>
      <w:r>
        <w:rPr>
          <w:vertAlign w:val="superscript"/>
        </w:rPr>
        <w:footnoteRef/>
      </w:r>
      <w:r>
        <w:t xml:space="preserve"> </w:t>
      </w:r>
      <w:r>
        <w:rPr>
          <w:rFonts w:ascii="Arial" w:eastAsia="Arial" w:hAnsi="Arial" w:cs="Arial"/>
        </w:rPr>
        <w:t xml:space="preserve">Encuestas identificadas con los numerales 11, 12, 13, 14,15,16, 17 y 18. </w:t>
      </w:r>
    </w:p>
  </w:footnote>
  <w:footnote w:id="21">
    <w:p w14:paraId="0434057C" w14:textId="6DECCB02" w:rsidR="00B14497" w:rsidRDefault="000142EE">
      <w:pPr>
        <w:pBdr>
          <w:top w:val="nil"/>
          <w:left w:val="nil"/>
          <w:bottom w:val="nil"/>
          <w:right w:val="nil"/>
          <w:between w:val="nil"/>
        </w:pBdr>
        <w:jc w:val="both"/>
        <w:rPr>
          <w:rFonts w:ascii="Arial" w:eastAsia="Arial" w:hAnsi="Arial" w:cs="Arial"/>
          <w:color w:val="000000"/>
        </w:rPr>
      </w:pPr>
      <w:r>
        <w:rPr>
          <w:vertAlign w:val="superscript"/>
        </w:rPr>
        <w:footnoteRef/>
      </w:r>
      <w:r>
        <w:rPr>
          <w:color w:val="000000"/>
        </w:rPr>
        <w:t xml:space="preserve"> </w:t>
      </w:r>
      <w:r w:rsidR="00101FAC">
        <w:rPr>
          <w:rFonts w:ascii="Arial" w:eastAsia="Arial" w:hAnsi="Arial" w:cs="Arial"/>
          <w:color w:val="000000"/>
        </w:rPr>
        <w:t>Artículo</w:t>
      </w:r>
      <w:r>
        <w:rPr>
          <w:rFonts w:ascii="Arial" w:eastAsia="Arial" w:hAnsi="Arial" w:cs="Arial"/>
          <w:color w:val="000000"/>
        </w:rPr>
        <w:t xml:space="preserve"> 166.- Para la publicación de cualquier encuesta o sondeo de opinión sobre asuntos electorales, en el período comprendido desde el inicio del proceso electoral y hasta dos horas después del cierre oficial de las casillas el día de la elección, se estará a lo dispuesto por el Reglamento aplicable que expida el INE en términos de lo establecido por el inciso a) del Apartado B de la Base V del artículo 41 de la CPEUM y en el Capítulo III del Título Primero del Libro Quinto de la LGIPE.</w:t>
      </w:r>
    </w:p>
  </w:footnote>
  <w:footnote w:id="22">
    <w:p w14:paraId="5AC3286F" w14:textId="77777777" w:rsidR="00B14497" w:rsidRDefault="000142EE">
      <w:r>
        <w:rPr>
          <w:vertAlign w:val="superscript"/>
        </w:rPr>
        <w:footnoteRef/>
      </w:r>
      <w:r>
        <w:t xml:space="preserve"> </w:t>
      </w:r>
      <w:r>
        <w:rPr>
          <w:rFonts w:ascii="Arial" w:eastAsia="Arial" w:hAnsi="Arial" w:cs="Arial"/>
          <w:i/>
        </w:rPr>
        <w:t xml:space="preserve">El Bunker Político, </w:t>
      </w:r>
      <w:proofErr w:type="spellStart"/>
      <w:r>
        <w:rPr>
          <w:rFonts w:ascii="Arial" w:eastAsia="Arial" w:hAnsi="Arial" w:cs="Arial"/>
          <w:i/>
        </w:rPr>
        <w:t>AgsOpina</w:t>
      </w:r>
      <w:proofErr w:type="spellEnd"/>
      <w:r>
        <w:rPr>
          <w:rFonts w:ascii="Arial" w:eastAsia="Arial" w:hAnsi="Arial" w:cs="Arial"/>
          <w:i/>
        </w:rPr>
        <w:t xml:space="preserve">, 24/7 News, Nexo Noticias, Omega Noticias </w:t>
      </w:r>
      <w:r>
        <w:rPr>
          <w:rFonts w:ascii="Arial" w:eastAsia="Arial" w:hAnsi="Arial" w:cs="Arial"/>
        </w:rPr>
        <w:t>y</w:t>
      </w:r>
      <w:r>
        <w:rPr>
          <w:rFonts w:ascii="Arial" w:eastAsia="Arial" w:hAnsi="Arial" w:cs="Arial"/>
          <w:i/>
        </w:rPr>
        <w:t xml:space="preserve"> </w:t>
      </w:r>
      <w:proofErr w:type="spellStart"/>
      <w:r>
        <w:rPr>
          <w:rFonts w:ascii="Arial" w:eastAsia="Arial" w:hAnsi="Arial" w:cs="Arial"/>
          <w:i/>
        </w:rPr>
        <w:t>Noti</w:t>
      </w:r>
      <w:proofErr w:type="spellEnd"/>
      <w:r>
        <w:rPr>
          <w:rFonts w:ascii="Arial" w:eastAsia="Arial" w:hAnsi="Arial" w:cs="Arial"/>
          <w:i/>
        </w:rPr>
        <w:t xml:space="preserve"> Siete.</w:t>
      </w:r>
    </w:p>
  </w:footnote>
  <w:footnote w:id="23">
    <w:p w14:paraId="0BF3019F" w14:textId="77777777" w:rsidR="00B14497" w:rsidRDefault="000142EE">
      <w:pPr>
        <w:jc w:val="both"/>
        <w:rPr>
          <w:rFonts w:ascii="Arial" w:eastAsia="Arial" w:hAnsi="Arial" w:cs="Arial"/>
        </w:rPr>
      </w:pPr>
      <w:r>
        <w:rPr>
          <w:vertAlign w:val="superscript"/>
        </w:rPr>
        <w:footnoteRef/>
      </w:r>
      <w:r>
        <w:t xml:space="preserve"> </w:t>
      </w:r>
      <w:r>
        <w:rPr>
          <w:rFonts w:ascii="Arial" w:eastAsia="Arial" w:hAnsi="Arial" w:cs="Arial"/>
        </w:rPr>
        <w:t xml:space="preserve">Dentro del plazo de los cinco días posteriores a su difusión. </w:t>
      </w:r>
    </w:p>
  </w:footnote>
  <w:footnote w:id="24">
    <w:p w14:paraId="0491D555" w14:textId="77777777" w:rsidR="00B14497" w:rsidRDefault="000142EE">
      <w:pPr>
        <w:jc w:val="both"/>
        <w:rPr>
          <w:rFonts w:ascii="Arial" w:eastAsia="Arial" w:hAnsi="Arial" w:cs="Arial"/>
        </w:rPr>
      </w:pPr>
      <w:r>
        <w:rPr>
          <w:vertAlign w:val="superscript"/>
        </w:rPr>
        <w:footnoteRef/>
      </w:r>
      <w:r>
        <w:t xml:space="preserve"> </w:t>
      </w:r>
      <w:r>
        <w:rPr>
          <w:rFonts w:ascii="Arial" w:eastAsia="Arial" w:hAnsi="Arial" w:cs="Arial"/>
        </w:rPr>
        <w:t>Observando los parámetros del estudio metodológico señalado en el marco normativo de la presente sentencia.</w:t>
      </w:r>
    </w:p>
  </w:footnote>
  <w:footnote w:id="25">
    <w:p w14:paraId="69B1C391" w14:textId="77777777" w:rsidR="00B14497" w:rsidRDefault="000142EE">
      <w:pPr>
        <w:jc w:val="both"/>
        <w:rPr>
          <w:rFonts w:ascii="Arial" w:eastAsia="Arial" w:hAnsi="Arial" w:cs="Arial"/>
        </w:rPr>
      </w:pPr>
      <w:r>
        <w:rPr>
          <w:vertAlign w:val="superscript"/>
        </w:rPr>
        <w:footnoteRef/>
      </w:r>
      <w:r>
        <w:t xml:space="preserve"> </w:t>
      </w:r>
      <w:r>
        <w:rPr>
          <w:rFonts w:ascii="Arial" w:eastAsia="Arial" w:hAnsi="Arial" w:cs="Arial"/>
        </w:rPr>
        <w:t xml:space="preserve">La identificación de las publicaciones se realiza a partir de la tabla insertada en el apartado de “Hechos acreditados” de la presente sentencia. </w:t>
      </w:r>
    </w:p>
  </w:footnote>
  <w:footnote w:id="26">
    <w:p w14:paraId="63A87986" w14:textId="77777777" w:rsidR="00B14497" w:rsidRDefault="000142EE">
      <w:pPr>
        <w:jc w:val="both"/>
        <w:rPr>
          <w:rFonts w:ascii="Arial" w:eastAsia="Arial" w:hAnsi="Arial" w:cs="Arial"/>
        </w:rPr>
      </w:pPr>
      <w:r>
        <w:rPr>
          <w:vertAlign w:val="superscript"/>
        </w:rPr>
        <w:footnoteRef/>
      </w:r>
      <w:r>
        <w:t xml:space="preserve"> </w:t>
      </w:r>
      <w:r>
        <w:rPr>
          <w:rFonts w:ascii="Arial" w:eastAsia="Arial" w:hAnsi="Arial" w:cs="Arial"/>
        </w:rPr>
        <w:t>Encuestas identificadas con los numerales 1 y 7.</w:t>
      </w:r>
    </w:p>
  </w:footnote>
  <w:footnote w:id="27">
    <w:p w14:paraId="514B0071" w14:textId="77777777" w:rsidR="00B14497" w:rsidRDefault="000142EE">
      <w:pPr>
        <w:jc w:val="both"/>
        <w:rPr>
          <w:rFonts w:ascii="Arial" w:eastAsia="Arial" w:hAnsi="Arial" w:cs="Arial"/>
        </w:rPr>
      </w:pPr>
      <w:r>
        <w:rPr>
          <w:vertAlign w:val="superscript"/>
        </w:rPr>
        <w:footnoteRef/>
      </w:r>
      <w:r>
        <w:rPr>
          <w:rFonts w:ascii="Arial" w:eastAsia="Arial" w:hAnsi="Arial" w:cs="Arial"/>
        </w:rPr>
        <w:t xml:space="preserve"> Encuestas identificadas con los numerales 3, 4, 5, 6, 8 y 10.</w:t>
      </w:r>
    </w:p>
  </w:footnote>
  <w:footnote w:id="28">
    <w:p w14:paraId="455CC512" w14:textId="77777777" w:rsidR="00B14497" w:rsidRDefault="000142EE">
      <w:pPr>
        <w:jc w:val="both"/>
        <w:rPr>
          <w:rFonts w:ascii="Arial" w:eastAsia="Arial" w:hAnsi="Arial" w:cs="Arial"/>
        </w:rPr>
      </w:pPr>
      <w:r>
        <w:rPr>
          <w:vertAlign w:val="superscript"/>
        </w:rPr>
        <w:footnoteRef/>
      </w:r>
      <w:r>
        <w:t xml:space="preserve"> </w:t>
      </w:r>
      <w:r>
        <w:rPr>
          <w:rFonts w:ascii="Arial" w:eastAsia="Arial" w:hAnsi="Arial" w:cs="Arial"/>
        </w:rPr>
        <w:t xml:space="preserve">Encuestas identificadas con los numerales 11, 12, 13, 14,15,16, 17 y 18. </w:t>
      </w:r>
    </w:p>
  </w:footnote>
  <w:footnote w:id="29">
    <w:p w14:paraId="13010B19" w14:textId="77777777" w:rsidR="00B14497" w:rsidRDefault="000142EE">
      <w:pPr>
        <w:jc w:val="both"/>
        <w:rPr>
          <w:rFonts w:ascii="Arial" w:eastAsia="Arial" w:hAnsi="Arial" w:cs="Arial"/>
        </w:rPr>
      </w:pPr>
      <w:r>
        <w:rPr>
          <w:vertAlign w:val="superscript"/>
        </w:rPr>
        <w:footnoteRef/>
      </w:r>
      <w:r>
        <w:t xml:space="preserve"> </w:t>
      </w:r>
      <w:proofErr w:type="spellStart"/>
      <w:r>
        <w:rPr>
          <w:rFonts w:ascii="Arial" w:eastAsia="Arial" w:hAnsi="Arial" w:cs="Arial"/>
        </w:rPr>
        <w:t>Vease</w:t>
      </w:r>
      <w:proofErr w:type="spellEnd"/>
      <w:r>
        <w:rPr>
          <w:rFonts w:ascii="Arial" w:eastAsia="Arial" w:hAnsi="Arial" w:cs="Arial"/>
        </w:rPr>
        <w:t xml:space="preserve"> las resoluciones </w:t>
      </w:r>
      <w:r>
        <w:rPr>
          <w:rFonts w:ascii="Arial" w:eastAsia="Arial" w:hAnsi="Arial" w:cs="Arial"/>
          <w:highlight w:val="white"/>
        </w:rPr>
        <w:t>SRE-PSD-209/2018, SRE-PSD-104/2021 y SUP-REP-713/2018.</w:t>
      </w:r>
    </w:p>
  </w:footnote>
  <w:footnote w:id="30">
    <w:p w14:paraId="2A138378" w14:textId="77777777" w:rsidR="00B14497" w:rsidRDefault="000142EE">
      <w:pPr>
        <w:jc w:val="both"/>
        <w:rPr>
          <w:rFonts w:ascii="Arial" w:eastAsia="Arial" w:hAnsi="Arial" w:cs="Arial"/>
        </w:rPr>
      </w:pPr>
      <w:r>
        <w:rPr>
          <w:vertAlign w:val="superscript"/>
        </w:rPr>
        <w:footnoteRef/>
      </w:r>
      <w:r>
        <w:rPr>
          <w:rFonts w:ascii="Arial" w:eastAsia="Arial" w:hAnsi="Arial" w:cs="Arial"/>
        </w:rPr>
        <w:t xml:space="preserve"> Artículo 251.- Para la individualización de las sanciones a que se refiere este Libro, una vez acreditada plenamente la existencia de una infracción y su imputación, la autoridad electoral deberá tomar en cuenta las circunstancias que rodean la contravención de la norma administrativa, entre otras, las siguientes: I. La gravedad de la responsabilidad en que se incurra y la conveniencia de suprimir prácticas que infrinjan, en cualquier forma, las disposiciones de este Código, en atención al bien jurídico tutelado, o las que se dicten con base en él; II. Las circunstancias de modo, tiempo y lugar de la infracción; III. Las condiciones socioeconómicas del infractor; IV. Las condiciones externas y los medios de ejecución; V. La reincidencia en el incumplimiento de obligaciones, y VI. En su caso, el monto del beneficio, lucro, daño o perjuicio derivado del incumplimiento de obligaciones.</w:t>
      </w:r>
    </w:p>
  </w:footnote>
  <w:footnote w:id="31">
    <w:p w14:paraId="49A74DB6" w14:textId="77777777" w:rsidR="00B14497" w:rsidRDefault="000142EE">
      <w:pPr>
        <w:jc w:val="both"/>
        <w:rPr>
          <w:rFonts w:ascii="Arial" w:eastAsia="Arial" w:hAnsi="Arial" w:cs="Arial"/>
        </w:rPr>
      </w:pPr>
      <w:r>
        <w:rPr>
          <w:vertAlign w:val="superscript"/>
        </w:rPr>
        <w:footnoteRef/>
      </w:r>
      <w:r>
        <w:t xml:space="preserve"> </w:t>
      </w:r>
      <w:r>
        <w:rPr>
          <w:rFonts w:ascii="Arial" w:eastAsia="Arial" w:hAnsi="Arial" w:cs="Arial"/>
        </w:rPr>
        <w:t>Artículo 251.- [...]</w:t>
      </w:r>
    </w:p>
    <w:p w14:paraId="325D2505" w14:textId="77777777" w:rsidR="00B14497" w:rsidRDefault="000142EE">
      <w:pPr>
        <w:jc w:val="both"/>
        <w:rPr>
          <w:rFonts w:ascii="Arial" w:eastAsia="Arial" w:hAnsi="Arial" w:cs="Arial"/>
        </w:rPr>
      </w:pPr>
      <w:r>
        <w:rPr>
          <w:rFonts w:ascii="Arial" w:eastAsia="Arial" w:hAnsi="Arial" w:cs="Arial"/>
        </w:rPr>
        <w:t>Se considerará reincidente al infractor que habiendo sido declarado responsable mediante resolución firme del incumplimiento a alguna de las obligaciones a que se refiere el presente Código, incurra nuevamente en la misma conducta infractora al presente ordenamiento legal.</w:t>
      </w:r>
    </w:p>
  </w:footnote>
  <w:footnote w:id="32">
    <w:p w14:paraId="6FA7B420" w14:textId="2555A4EC" w:rsidR="00B14497" w:rsidRDefault="000142EE">
      <w:pPr>
        <w:jc w:val="both"/>
        <w:rPr>
          <w:rFonts w:ascii="Arial" w:eastAsia="Arial" w:hAnsi="Arial" w:cs="Arial"/>
        </w:rPr>
      </w:pPr>
      <w:r>
        <w:rPr>
          <w:vertAlign w:val="superscript"/>
        </w:rPr>
        <w:footnoteRef/>
      </w:r>
      <w:r>
        <w:t xml:space="preserve"> </w:t>
      </w:r>
      <w:r>
        <w:rPr>
          <w:rFonts w:ascii="Arial" w:eastAsia="Arial" w:hAnsi="Arial" w:cs="Arial"/>
        </w:rPr>
        <w:t>Artículo 456. [...]</w:t>
      </w:r>
      <w:r w:rsidR="0024375C">
        <w:rPr>
          <w:rFonts w:ascii="Arial" w:eastAsia="Arial" w:hAnsi="Arial" w:cs="Arial"/>
        </w:rPr>
        <w:t xml:space="preserve"> </w:t>
      </w:r>
      <w:r>
        <w:rPr>
          <w:rFonts w:ascii="Arial" w:eastAsia="Arial" w:hAnsi="Arial" w:cs="Arial"/>
        </w:rPr>
        <w:t>1. Las infracciones señaladas en los artículos anteriores serán sancionadas conforme a lo siguiente: [...]</w:t>
      </w:r>
      <w:r w:rsidR="0024375C">
        <w:rPr>
          <w:rFonts w:ascii="Arial" w:eastAsia="Arial" w:hAnsi="Arial" w:cs="Arial"/>
        </w:rPr>
        <w:t xml:space="preserve"> </w:t>
      </w:r>
      <w:r>
        <w:rPr>
          <w:rFonts w:ascii="Arial" w:eastAsia="Arial" w:hAnsi="Arial" w:cs="Arial"/>
        </w:rPr>
        <w:t>e) Respecto de los ciudadanos, de los dirigentes y afiliados a los partidos políticos, o de cualquier persona física o moral: [...]</w:t>
      </w:r>
      <w:r w:rsidR="0024375C">
        <w:rPr>
          <w:rFonts w:ascii="Arial" w:eastAsia="Arial" w:hAnsi="Arial" w:cs="Arial"/>
        </w:rPr>
        <w:t xml:space="preserve"> </w:t>
      </w:r>
      <w:r>
        <w:rPr>
          <w:rFonts w:ascii="Arial" w:eastAsia="Arial" w:hAnsi="Arial" w:cs="Arial"/>
        </w:rPr>
        <w:t>I. Con amonestación pública;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592762" w14:textId="354A1048" w:rsidR="00B14497" w:rsidRDefault="00000000">
    <w:pPr>
      <w:pBdr>
        <w:top w:val="nil"/>
        <w:left w:val="nil"/>
        <w:bottom w:val="nil"/>
        <w:right w:val="nil"/>
        <w:between w:val="nil"/>
      </w:pBdr>
      <w:tabs>
        <w:tab w:val="center" w:pos="4419"/>
        <w:tab w:val="right" w:pos="8838"/>
      </w:tabs>
      <w:rPr>
        <w:color w:val="000000"/>
      </w:rPr>
    </w:pPr>
    <w:r>
      <w:rPr>
        <w:noProof/>
      </w:rPr>
      <w:pict w14:anchorId="3E754E4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35966001" o:spid="_x0000_s1027" type="#_x0000_t136" style="position:absolute;margin-left:0;margin-top:0;width:591.9pt;height:91.05pt;rotation:315;z-index:-251652096;mso-position-horizontal:center;mso-position-horizontal-relative:margin;mso-position-vertical:center;mso-position-vertical-relative:margin" o:allowincell="f" fillcolor="silver" stroked="f">
          <v:fill opacity=".5"/>
          <v:textpath style="font-family:&quot;Times New Roman&quot;;font-size:1pt" string="Para consulta"/>
          <w10:wrap anchorx="margin" anchory="margin"/>
        </v:shape>
      </w:pict>
    </w:r>
    <w:r w:rsidR="000142EE">
      <w:rPr>
        <w:noProof/>
        <w:color w:val="000000"/>
      </w:rPr>
      <mc:AlternateContent>
        <mc:Choice Requires="wps">
          <w:drawing>
            <wp:anchor distT="0" distB="0" distL="0" distR="0" simplePos="0" relativeHeight="251658240" behindDoc="1" locked="0" layoutInCell="1" hidden="0" allowOverlap="1" wp14:anchorId="2BB6B80F" wp14:editId="1BBFF197">
              <wp:simplePos x="0" y="0"/>
              <wp:positionH relativeFrom="margin">
                <wp:align>center</wp:align>
              </wp:positionH>
              <wp:positionV relativeFrom="margin">
                <wp:align>center</wp:align>
              </wp:positionV>
              <wp:extent cx="22530235" cy="22530235"/>
              <wp:effectExtent l="0" t="0" r="0" b="0"/>
              <wp:wrapNone/>
              <wp:docPr id="294" name="Rectángulo 294"/>
              <wp:cNvGraphicFramePr/>
              <a:graphic xmlns:a="http://schemas.openxmlformats.org/drawingml/2006/main">
                <a:graphicData uri="http://schemas.microsoft.com/office/word/2010/wordprocessingShape">
                  <wps:wsp>
                    <wps:cNvSpPr/>
                    <wps:spPr>
                      <a:xfrm rot="-2700000">
                        <a:off x="1917318" y="3252633"/>
                        <a:ext cx="6857365" cy="1054735"/>
                      </a:xfrm>
                      <a:prstGeom prst="rect">
                        <a:avLst/>
                      </a:prstGeom>
                      <a:noFill/>
                      <a:ln>
                        <a:noFill/>
                      </a:ln>
                    </wps:spPr>
                    <wps:txbx>
                      <w:txbxContent>
                        <w:p w14:paraId="5687611D" w14:textId="77777777" w:rsidR="00B14497" w:rsidRDefault="000142EE">
                          <w:pPr>
                            <w:jc w:val="center"/>
                            <w:textDirection w:val="btLr"/>
                          </w:pPr>
                          <w:r>
                            <w:rPr>
                              <w:rFonts w:ascii="Arial" w:eastAsia="Arial" w:hAnsi="Arial" w:cs="Arial"/>
                              <w:color w:val="C0C0C0"/>
                              <w:sz w:val="144"/>
                            </w:rPr>
                            <w:t>PARA CONSULTA</w:t>
                          </w:r>
                        </w:p>
                      </w:txbxContent>
                    </wps:txbx>
                    <wps:bodyPr spcFirstLastPara="1" wrap="square" lIns="91425" tIns="91425" rIns="91425" bIns="91425" anchor="ctr" anchorCtr="0">
                      <a:noAutofit/>
                    </wps:bodyPr>
                  </wps:wsp>
                </a:graphicData>
              </a:graphic>
            </wp:anchor>
          </w:drawing>
        </mc:Choice>
        <mc:Fallback>
          <w:pict>
            <v:rect w14:anchorId="2BB6B80F" id="Rectángulo 294" o:spid="_x0000_s1026" style="position:absolute;margin-left:0;margin-top:0;width:1774.05pt;height:1774.05pt;rotation:-45;z-index:-251658240;visibility:visible;mso-wrap-style:square;mso-wrap-distance-left:0;mso-wrap-distance-top:0;mso-wrap-distance-right:0;mso-wrap-distance-bottom:0;mso-position-horizontal:center;mso-position-horizontal-relative:margin;mso-position-vertical:center;mso-position-vertical-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" filled="f" stroked="f">
              <v:textbox inset="2.53958mm,2.53958mm,2.53958mm,2.53958mm">
                <w:txbxContent>
                  <w:p w14:paraId="5687611D" w14:textId="77777777" w:rsidR="00B14497" w:rsidRDefault="00000000">
                    <w:pPr>
                      <w:jc w:val="center"/>
                      <w:textDirection w:val="btLr"/>
                    </w:pPr>
                    <w:r>
                      <w:rPr>
                        <w:rFonts w:ascii="Arial" w:eastAsia="Arial" w:hAnsi="Arial" w:cs="Arial"/>
                        <w:color w:val="C0C0C0"/>
                        <w:sz w:val="144"/>
                      </w:rPr>
                      <w:t>PARA CONSULTA</w:t>
                    </w:r>
                  </w:p>
                </w:txbxContent>
              </v:textbox>
              <w10:wrap anchorx="margin" anchory="margin"/>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208B35" w14:textId="0AAA45D7" w:rsidR="00B14497" w:rsidRDefault="00000000">
    <w:pPr>
      <w:pBdr>
        <w:top w:val="nil"/>
        <w:left w:val="nil"/>
        <w:bottom w:val="nil"/>
        <w:right w:val="nil"/>
        <w:between w:val="nil"/>
      </w:pBdr>
      <w:tabs>
        <w:tab w:val="center" w:pos="4419"/>
        <w:tab w:val="right" w:pos="8838"/>
      </w:tabs>
      <w:rPr>
        <w:color w:val="000000"/>
      </w:rPr>
    </w:pPr>
    <w:r>
      <w:rPr>
        <w:noProof/>
      </w:rPr>
      <w:pict w14:anchorId="149DF41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35966002" o:spid="_x0000_s1028" type="#_x0000_t136" style="position:absolute;margin-left:0;margin-top:0;width:591.9pt;height:91.05pt;rotation:315;z-index:-251650048;mso-position-horizontal:center;mso-position-horizontal-relative:margin;mso-position-vertical:center;mso-position-vertical-relative:margin" o:allowincell="f" fillcolor="silver" stroked="f">
          <v:fill opacity=".5"/>
          <v:textpath style="font-family:&quot;Times New Roman&quot;;font-size:1pt" string="Para consulta"/>
          <w10:wrap anchorx="margin" anchory="margin"/>
        </v:shape>
      </w:pict>
    </w:r>
    <w:sdt>
      <w:sdtPr>
        <w:rPr>
          <w:color w:val="000000"/>
        </w:rPr>
        <w:id w:val="1287475630"/>
        <w:docPartObj>
          <w:docPartGallery w:val="Page Numbers (Margins)"/>
          <w:docPartUnique/>
        </w:docPartObj>
      </w:sdtPr>
      <w:sdtContent>
        <w:r w:rsidR="0024375C" w:rsidRPr="0024375C">
          <w:rPr>
            <w:noProof/>
            <w:color w:val="000000"/>
          </w:rPr>
          <mc:AlternateContent>
            <mc:Choice Requires="wps">
              <w:drawing>
                <wp:anchor distT="0" distB="0" distL="114300" distR="114300" simplePos="0" relativeHeight="251660288" behindDoc="0" locked="0" layoutInCell="0" allowOverlap="1" wp14:anchorId="12641F85" wp14:editId="66B96A73">
                  <wp:simplePos x="0" y="0"/>
                  <wp:positionH relativeFrom="rightMargin">
                    <wp:align>right</wp:align>
                  </wp:positionH>
                  <wp:positionV relativeFrom="margin">
                    <wp:align>center</wp:align>
                  </wp:positionV>
                  <wp:extent cx="727710" cy="329565"/>
                  <wp:effectExtent l="0" t="0" r="0" b="3810"/>
                  <wp:wrapNone/>
                  <wp:docPr id="2" name="Rectángulo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7710" cy="329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619E53E" w14:textId="77777777" w:rsidR="0024375C" w:rsidRDefault="0024375C">
                              <w:pPr>
                                <w:pBdr>
                                  <w:bottom w:val="single" w:sz="4" w:space="1" w:color="auto"/>
                                </w:pBdr>
                              </w:pPr>
                              <w:r>
                                <w:fldChar w:fldCharType="begin"/>
                              </w:r>
                              <w:r>
                                <w:instrText>PAGE   \* MERGEFORMAT</w:instrText>
                              </w:r>
                              <w:r>
                                <w:fldChar w:fldCharType="separate"/>
                              </w:r>
                              <w:r>
                                <w:rPr>
                                  <w:lang w:val="es-ES"/>
                                </w:rPr>
                                <w:t>2</w:t>
                              </w:r>
                              <w:r>
                                <w:fldChar w:fldCharType="end"/>
                              </w:r>
                            </w:p>
                          </w:txbxContent>
                        </wps:txbx>
                        <wps:bodyPr rot="0" vert="horz" wrap="square" lIns="91440" tIns="45720" rIns="91440" bIns="45720" anchor="t" anchorCtr="0" upright="1">
                          <a:noAutofit/>
                        </wps:bodyPr>
                      </wps:wsp>
                    </a:graphicData>
                  </a:graphic>
                  <wp14:sizeRelH relativeFrom="rightMargin">
                    <wp14:pctWidth>80000</wp14:pctWidth>
                  </wp14:sizeRelH>
                  <wp14:sizeRelV relativeFrom="page">
                    <wp14:pctHeight>0</wp14:pctHeight>
                  </wp14:sizeRelV>
                </wp:anchor>
              </w:drawing>
            </mc:Choice>
            <mc:Fallback>
              <w:pict>
                <v:rect w14:anchorId="12641F85" id="Rectángulo 2" o:spid="_x0000_s1027" style="position:absolute;margin-left:6.1pt;margin-top:0;width:57.3pt;height:25.95pt;z-index:251660288;visibility:visible;mso-wrap-style:square;mso-width-percent:800;mso-height-percent:0;mso-wrap-distance-left:9pt;mso-wrap-distance-top:0;mso-wrap-distance-right:9pt;mso-wrap-distance-bottom:0;mso-position-horizontal:right;mso-position-horizontal-relative:right-margin-area;mso-position-vertical:center;mso-position-vertical-relative:margin;mso-width-percent:80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" o:allowincell="f" stroked="f">
                  <v:textbox>
                    <w:txbxContent>
                      <w:p w14:paraId="2619E53E" w14:textId="77777777" w:rsidR="0024375C" w:rsidRDefault="0024375C">
                        <w:pPr>
                          <w:pBdr>
                            <w:bottom w:val="single" w:sz="4" w:space="1" w:color="auto"/>
                          </w:pBdr>
                        </w:pPr>
                        <w:r>
                          <w:fldChar w:fldCharType="begin"/>
                        </w:r>
                        <w:r>
                          <w:instrText>PAGE   \* MERGEFORMAT</w:instrText>
                        </w:r>
                        <w:r>
                          <w:fldChar w:fldCharType="separate"/>
                        </w:r>
                        <w:r>
                          <w:rPr>
                            <w:lang w:val="es-ES"/>
                          </w:rPr>
                          <w:t>2</w:t>
                        </w:r>
                        <w:r>
                          <w:fldChar w:fldCharType="end"/>
                        </w:r>
                      </w:p>
                    </w:txbxContent>
                  </v:textbox>
                  <w10:wrap anchorx="margin" anchory="margin"/>
                </v:rect>
              </w:pict>
            </mc:Fallback>
          </mc:AlternateContent>
        </w:r>
      </w:sdtContent>
    </w:sdt>
    <w:r w:rsidR="00360362">
      <w:rPr>
        <w:noProof/>
        <w:color w:val="000000"/>
      </w:rPr>
      <w:drawing>
        <wp:inline distT="0" distB="0" distL="0" distR="0" wp14:anchorId="2DA3F50A" wp14:editId="05FC498B">
          <wp:extent cx="995527" cy="1154534"/>
          <wp:effectExtent l="0" t="0" r="0" b="0"/>
          <wp:docPr id="295"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
                  <a:srcRect/>
                  <a:stretch>
                    <a:fillRect/>
                  </a:stretch>
                </pic:blipFill>
                <pic:spPr>
                  <a:xfrm>
                    <a:off x="0" y="0"/>
                    <a:ext cx="995527" cy="1154534"/>
                  </a:xfrm>
                  <a:prstGeom prst="rect">
                    <a:avLst/>
                  </a:prstGeom>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438A5D" w14:textId="7296C999" w:rsidR="00B14497" w:rsidRDefault="00000000">
    <w:pPr>
      <w:pBdr>
        <w:top w:val="nil"/>
        <w:left w:val="nil"/>
        <w:bottom w:val="nil"/>
        <w:right w:val="nil"/>
        <w:between w:val="nil"/>
      </w:pBdr>
      <w:tabs>
        <w:tab w:val="center" w:pos="4419"/>
        <w:tab w:val="right" w:pos="8838"/>
      </w:tabs>
      <w:rPr>
        <w:color w:val="000000"/>
      </w:rPr>
    </w:pPr>
    <w:r>
      <w:rPr>
        <w:noProof/>
      </w:rPr>
      <w:pict w14:anchorId="7173628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35966000" o:spid="_x0000_s1026" type="#_x0000_t136" style="position:absolute;margin-left:0;margin-top:0;width:591.9pt;height:91.05pt;rotation:315;z-index:-251654144;mso-position-horizontal:center;mso-position-horizontal-relative:margin;mso-position-vertical:center;mso-position-vertical-relative:margin" o:allowincell="f" fillcolor="silver" stroked="f">
          <v:fill opacity=".5"/>
          <v:textpath style="font-family:&quot;Times New Roman&quot;;font-size:1pt" string="Para consulta"/>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A4015"/>
    <w:multiLevelType w:val="multilevel"/>
    <w:tmpl w:val="2B2A6D1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59B43A2"/>
    <w:multiLevelType w:val="multilevel"/>
    <w:tmpl w:val="A78C527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152739FE"/>
    <w:multiLevelType w:val="hybridMultilevel"/>
    <w:tmpl w:val="04FCB69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220D7740"/>
    <w:multiLevelType w:val="hybridMultilevel"/>
    <w:tmpl w:val="6E52A77A"/>
    <w:lvl w:ilvl="0" w:tplc="080A0017">
      <w:start w:val="1"/>
      <w:numFmt w:val="lowerLetter"/>
      <w:lvlText w:val="%1)"/>
      <w:lvlJc w:val="left"/>
      <w:pPr>
        <w:ind w:left="1571" w:hanging="360"/>
      </w:pPr>
    </w:lvl>
    <w:lvl w:ilvl="1" w:tplc="080A0019" w:tentative="1">
      <w:start w:val="1"/>
      <w:numFmt w:val="lowerLetter"/>
      <w:lvlText w:val="%2."/>
      <w:lvlJc w:val="left"/>
      <w:pPr>
        <w:ind w:left="2291" w:hanging="360"/>
      </w:pPr>
    </w:lvl>
    <w:lvl w:ilvl="2" w:tplc="080A001B" w:tentative="1">
      <w:start w:val="1"/>
      <w:numFmt w:val="lowerRoman"/>
      <w:lvlText w:val="%3."/>
      <w:lvlJc w:val="right"/>
      <w:pPr>
        <w:ind w:left="3011" w:hanging="180"/>
      </w:pPr>
    </w:lvl>
    <w:lvl w:ilvl="3" w:tplc="080A000F">
      <w:start w:val="1"/>
      <w:numFmt w:val="decimal"/>
      <w:lvlText w:val="%4."/>
      <w:lvlJc w:val="left"/>
      <w:pPr>
        <w:ind w:left="3731" w:hanging="360"/>
      </w:pPr>
    </w:lvl>
    <w:lvl w:ilvl="4" w:tplc="080A0019" w:tentative="1">
      <w:start w:val="1"/>
      <w:numFmt w:val="lowerLetter"/>
      <w:lvlText w:val="%5."/>
      <w:lvlJc w:val="left"/>
      <w:pPr>
        <w:ind w:left="4451" w:hanging="360"/>
      </w:pPr>
    </w:lvl>
    <w:lvl w:ilvl="5" w:tplc="080A001B" w:tentative="1">
      <w:start w:val="1"/>
      <w:numFmt w:val="lowerRoman"/>
      <w:lvlText w:val="%6."/>
      <w:lvlJc w:val="right"/>
      <w:pPr>
        <w:ind w:left="5171" w:hanging="180"/>
      </w:pPr>
    </w:lvl>
    <w:lvl w:ilvl="6" w:tplc="080A000F" w:tentative="1">
      <w:start w:val="1"/>
      <w:numFmt w:val="decimal"/>
      <w:lvlText w:val="%7."/>
      <w:lvlJc w:val="left"/>
      <w:pPr>
        <w:ind w:left="5891" w:hanging="360"/>
      </w:pPr>
    </w:lvl>
    <w:lvl w:ilvl="7" w:tplc="080A0019" w:tentative="1">
      <w:start w:val="1"/>
      <w:numFmt w:val="lowerLetter"/>
      <w:lvlText w:val="%8."/>
      <w:lvlJc w:val="left"/>
      <w:pPr>
        <w:ind w:left="6611" w:hanging="360"/>
      </w:pPr>
    </w:lvl>
    <w:lvl w:ilvl="8" w:tplc="080A001B" w:tentative="1">
      <w:start w:val="1"/>
      <w:numFmt w:val="lowerRoman"/>
      <w:lvlText w:val="%9."/>
      <w:lvlJc w:val="right"/>
      <w:pPr>
        <w:ind w:left="7331" w:hanging="180"/>
      </w:pPr>
    </w:lvl>
  </w:abstractNum>
  <w:abstractNum w:abstractNumId="4" w15:restartNumberingAfterBreak="0">
    <w:nsid w:val="2275252C"/>
    <w:multiLevelType w:val="hybridMultilevel"/>
    <w:tmpl w:val="AD88BCE2"/>
    <w:lvl w:ilvl="0" w:tplc="FFFFFFFF">
      <w:start w:val="1"/>
      <w:numFmt w:val="upperRoman"/>
      <w:lvlText w:val="%1."/>
      <w:lvlJc w:val="right"/>
      <w:pPr>
        <w:ind w:left="1429" w:hanging="360"/>
      </w:pPr>
    </w:lvl>
    <w:lvl w:ilvl="1" w:tplc="080A0013">
      <w:start w:val="1"/>
      <w:numFmt w:val="upperRoman"/>
      <w:lvlText w:val="%2."/>
      <w:lvlJc w:val="righ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5" w15:restartNumberingAfterBreak="0">
    <w:nsid w:val="2827274C"/>
    <w:multiLevelType w:val="multilevel"/>
    <w:tmpl w:val="95B004EC"/>
    <w:lvl w:ilvl="0">
      <w:start w:val="1"/>
      <w:numFmt w:val="upperRoman"/>
      <w:lvlText w:val="%1."/>
      <w:lvlJc w:val="right"/>
      <w:pPr>
        <w:ind w:left="720" w:hanging="360"/>
      </w:pPr>
      <w:rPr>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15:restartNumberingAfterBreak="0">
    <w:nsid w:val="2BF927DC"/>
    <w:multiLevelType w:val="hybridMultilevel"/>
    <w:tmpl w:val="ADEA9B9C"/>
    <w:lvl w:ilvl="0" w:tplc="080A0017">
      <w:start w:val="1"/>
      <w:numFmt w:val="lowerLetter"/>
      <w:lvlText w:val="%1)"/>
      <w:lvlJc w:val="left"/>
      <w:pPr>
        <w:ind w:left="1428" w:hanging="360"/>
      </w:pPr>
    </w:lvl>
    <w:lvl w:ilvl="1" w:tplc="080A0019" w:tentative="1">
      <w:start w:val="1"/>
      <w:numFmt w:val="lowerLetter"/>
      <w:lvlText w:val="%2."/>
      <w:lvlJc w:val="left"/>
      <w:pPr>
        <w:ind w:left="2148" w:hanging="360"/>
      </w:pPr>
    </w:lvl>
    <w:lvl w:ilvl="2" w:tplc="080A001B" w:tentative="1">
      <w:start w:val="1"/>
      <w:numFmt w:val="lowerRoman"/>
      <w:lvlText w:val="%3."/>
      <w:lvlJc w:val="right"/>
      <w:pPr>
        <w:ind w:left="2868" w:hanging="180"/>
      </w:pPr>
    </w:lvl>
    <w:lvl w:ilvl="3" w:tplc="080A000F">
      <w:start w:val="1"/>
      <w:numFmt w:val="decimal"/>
      <w:lvlText w:val="%4."/>
      <w:lvlJc w:val="left"/>
      <w:pPr>
        <w:ind w:left="3588" w:hanging="360"/>
      </w:pPr>
    </w:lvl>
    <w:lvl w:ilvl="4" w:tplc="080A0019" w:tentative="1">
      <w:start w:val="1"/>
      <w:numFmt w:val="lowerLetter"/>
      <w:lvlText w:val="%5."/>
      <w:lvlJc w:val="left"/>
      <w:pPr>
        <w:ind w:left="4308" w:hanging="360"/>
      </w:pPr>
    </w:lvl>
    <w:lvl w:ilvl="5" w:tplc="080A001B" w:tentative="1">
      <w:start w:val="1"/>
      <w:numFmt w:val="lowerRoman"/>
      <w:lvlText w:val="%6."/>
      <w:lvlJc w:val="right"/>
      <w:pPr>
        <w:ind w:left="5028" w:hanging="180"/>
      </w:pPr>
    </w:lvl>
    <w:lvl w:ilvl="6" w:tplc="080A000F" w:tentative="1">
      <w:start w:val="1"/>
      <w:numFmt w:val="decimal"/>
      <w:lvlText w:val="%7."/>
      <w:lvlJc w:val="left"/>
      <w:pPr>
        <w:ind w:left="5748" w:hanging="360"/>
      </w:pPr>
    </w:lvl>
    <w:lvl w:ilvl="7" w:tplc="080A0019" w:tentative="1">
      <w:start w:val="1"/>
      <w:numFmt w:val="lowerLetter"/>
      <w:lvlText w:val="%8."/>
      <w:lvlJc w:val="left"/>
      <w:pPr>
        <w:ind w:left="6468" w:hanging="360"/>
      </w:pPr>
    </w:lvl>
    <w:lvl w:ilvl="8" w:tplc="080A001B" w:tentative="1">
      <w:start w:val="1"/>
      <w:numFmt w:val="lowerRoman"/>
      <w:lvlText w:val="%9."/>
      <w:lvlJc w:val="right"/>
      <w:pPr>
        <w:ind w:left="7188" w:hanging="180"/>
      </w:pPr>
    </w:lvl>
  </w:abstractNum>
  <w:abstractNum w:abstractNumId="7" w15:restartNumberingAfterBreak="0">
    <w:nsid w:val="322E4AF4"/>
    <w:multiLevelType w:val="hybridMultilevel"/>
    <w:tmpl w:val="454C091E"/>
    <w:lvl w:ilvl="0" w:tplc="FFFFFFFF">
      <w:start w:val="1"/>
      <w:numFmt w:val="lowerLetter"/>
      <w:lvlText w:val="%1)"/>
      <w:lvlJc w:val="left"/>
      <w:pPr>
        <w:ind w:left="1428" w:hanging="360"/>
      </w:pPr>
    </w:lvl>
    <w:lvl w:ilvl="1" w:tplc="FFFFFFFF" w:tentative="1">
      <w:start w:val="1"/>
      <w:numFmt w:val="lowerLetter"/>
      <w:lvlText w:val="%2."/>
      <w:lvlJc w:val="left"/>
      <w:pPr>
        <w:ind w:left="2148" w:hanging="360"/>
      </w:pPr>
    </w:lvl>
    <w:lvl w:ilvl="2" w:tplc="FFFFFFFF" w:tentative="1">
      <w:start w:val="1"/>
      <w:numFmt w:val="lowerRoman"/>
      <w:lvlText w:val="%3."/>
      <w:lvlJc w:val="right"/>
      <w:pPr>
        <w:ind w:left="2868" w:hanging="180"/>
      </w:pPr>
    </w:lvl>
    <w:lvl w:ilvl="3" w:tplc="080A0017">
      <w:start w:val="1"/>
      <w:numFmt w:val="lowerLetter"/>
      <w:lvlText w:val="%4)"/>
      <w:lvlJc w:val="left"/>
      <w:pPr>
        <w:ind w:left="3588" w:hanging="360"/>
      </w:pPr>
    </w:lvl>
    <w:lvl w:ilvl="4" w:tplc="FFFFFFFF" w:tentative="1">
      <w:start w:val="1"/>
      <w:numFmt w:val="lowerLetter"/>
      <w:lvlText w:val="%5."/>
      <w:lvlJc w:val="left"/>
      <w:pPr>
        <w:ind w:left="4308" w:hanging="360"/>
      </w:pPr>
    </w:lvl>
    <w:lvl w:ilvl="5" w:tplc="FFFFFFFF" w:tentative="1">
      <w:start w:val="1"/>
      <w:numFmt w:val="lowerRoman"/>
      <w:lvlText w:val="%6."/>
      <w:lvlJc w:val="right"/>
      <w:pPr>
        <w:ind w:left="5028" w:hanging="180"/>
      </w:pPr>
    </w:lvl>
    <w:lvl w:ilvl="6" w:tplc="FFFFFFFF" w:tentative="1">
      <w:start w:val="1"/>
      <w:numFmt w:val="decimal"/>
      <w:lvlText w:val="%7."/>
      <w:lvlJc w:val="left"/>
      <w:pPr>
        <w:ind w:left="5748" w:hanging="360"/>
      </w:pPr>
    </w:lvl>
    <w:lvl w:ilvl="7" w:tplc="FFFFFFFF" w:tentative="1">
      <w:start w:val="1"/>
      <w:numFmt w:val="lowerLetter"/>
      <w:lvlText w:val="%8."/>
      <w:lvlJc w:val="left"/>
      <w:pPr>
        <w:ind w:left="6468" w:hanging="360"/>
      </w:pPr>
    </w:lvl>
    <w:lvl w:ilvl="8" w:tplc="FFFFFFFF" w:tentative="1">
      <w:start w:val="1"/>
      <w:numFmt w:val="lowerRoman"/>
      <w:lvlText w:val="%9."/>
      <w:lvlJc w:val="right"/>
      <w:pPr>
        <w:ind w:left="7188" w:hanging="180"/>
      </w:pPr>
    </w:lvl>
  </w:abstractNum>
  <w:abstractNum w:abstractNumId="8" w15:restartNumberingAfterBreak="0">
    <w:nsid w:val="350E1B84"/>
    <w:multiLevelType w:val="hybridMultilevel"/>
    <w:tmpl w:val="400ED004"/>
    <w:lvl w:ilvl="0" w:tplc="FFFFFFFF">
      <w:start w:val="1"/>
      <w:numFmt w:val="lowerLetter"/>
      <w:lvlText w:val="%1)"/>
      <w:lvlJc w:val="left"/>
      <w:pPr>
        <w:ind w:left="1571" w:hanging="360"/>
      </w:pPr>
    </w:lvl>
    <w:lvl w:ilvl="1" w:tplc="FFFFFFFF" w:tentative="1">
      <w:start w:val="1"/>
      <w:numFmt w:val="lowerLetter"/>
      <w:lvlText w:val="%2."/>
      <w:lvlJc w:val="left"/>
      <w:pPr>
        <w:ind w:left="2291" w:hanging="360"/>
      </w:pPr>
    </w:lvl>
    <w:lvl w:ilvl="2" w:tplc="FFFFFFFF" w:tentative="1">
      <w:start w:val="1"/>
      <w:numFmt w:val="lowerRoman"/>
      <w:lvlText w:val="%3."/>
      <w:lvlJc w:val="right"/>
      <w:pPr>
        <w:ind w:left="3011" w:hanging="180"/>
      </w:pPr>
    </w:lvl>
    <w:lvl w:ilvl="3" w:tplc="080A0017">
      <w:start w:val="1"/>
      <w:numFmt w:val="lowerLetter"/>
      <w:lvlText w:val="%4)"/>
      <w:lvlJc w:val="left"/>
      <w:pPr>
        <w:ind w:left="3588" w:hanging="360"/>
      </w:pPr>
    </w:lvl>
    <w:lvl w:ilvl="4" w:tplc="FFFFFFFF" w:tentative="1">
      <w:start w:val="1"/>
      <w:numFmt w:val="lowerLetter"/>
      <w:lvlText w:val="%5."/>
      <w:lvlJc w:val="left"/>
      <w:pPr>
        <w:ind w:left="4451" w:hanging="360"/>
      </w:pPr>
    </w:lvl>
    <w:lvl w:ilvl="5" w:tplc="FFFFFFFF" w:tentative="1">
      <w:start w:val="1"/>
      <w:numFmt w:val="lowerRoman"/>
      <w:lvlText w:val="%6."/>
      <w:lvlJc w:val="right"/>
      <w:pPr>
        <w:ind w:left="5171" w:hanging="180"/>
      </w:pPr>
    </w:lvl>
    <w:lvl w:ilvl="6" w:tplc="FFFFFFFF" w:tentative="1">
      <w:start w:val="1"/>
      <w:numFmt w:val="decimal"/>
      <w:lvlText w:val="%7."/>
      <w:lvlJc w:val="left"/>
      <w:pPr>
        <w:ind w:left="5891" w:hanging="360"/>
      </w:pPr>
    </w:lvl>
    <w:lvl w:ilvl="7" w:tplc="FFFFFFFF" w:tentative="1">
      <w:start w:val="1"/>
      <w:numFmt w:val="lowerLetter"/>
      <w:lvlText w:val="%8."/>
      <w:lvlJc w:val="left"/>
      <w:pPr>
        <w:ind w:left="6611" w:hanging="360"/>
      </w:pPr>
    </w:lvl>
    <w:lvl w:ilvl="8" w:tplc="FFFFFFFF" w:tentative="1">
      <w:start w:val="1"/>
      <w:numFmt w:val="lowerRoman"/>
      <w:lvlText w:val="%9."/>
      <w:lvlJc w:val="right"/>
      <w:pPr>
        <w:ind w:left="7331" w:hanging="180"/>
      </w:pPr>
    </w:lvl>
  </w:abstractNum>
  <w:abstractNum w:abstractNumId="9" w15:restartNumberingAfterBreak="0">
    <w:nsid w:val="352E5C6C"/>
    <w:multiLevelType w:val="multilevel"/>
    <w:tmpl w:val="BADC1C60"/>
    <w:lvl w:ilvl="0">
      <w:start w:val="3"/>
      <w:numFmt w:val="upperRoman"/>
      <w:lvlText w:val="%1."/>
      <w:lvlJc w:val="left"/>
      <w:pPr>
        <w:ind w:left="862" w:hanging="720"/>
      </w:pPr>
      <w:rPr>
        <w:b/>
      </w:rPr>
    </w:lvl>
    <w:lvl w:ilvl="1">
      <w:start w:val="1"/>
      <w:numFmt w:val="lowerLetter"/>
      <w:lvlText w:val="%2."/>
      <w:lvlJc w:val="left"/>
      <w:pPr>
        <w:ind w:left="1222" w:hanging="360"/>
      </w:pPr>
    </w:lvl>
    <w:lvl w:ilvl="2">
      <w:start w:val="1"/>
      <w:numFmt w:val="lowerRoman"/>
      <w:lvlText w:val="%3."/>
      <w:lvlJc w:val="right"/>
      <w:pPr>
        <w:ind w:left="1942" w:hanging="180"/>
      </w:pPr>
    </w:lvl>
    <w:lvl w:ilvl="3">
      <w:start w:val="1"/>
      <w:numFmt w:val="decimal"/>
      <w:lvlText w:val="%4."/>
      <w:lvlJc w:val="left"/>
      <w:pPr>
        <w:ind w:left="2662" w:hanging="360"/>
      </w:pPr>
    </w:lvl>
    <w:lvl w:ilvl="4">
      <w:start w:val="1"/>
      <w:numFmt w:val="lowerLetter"/>
      <w:lvlText w:val="%5."/>
      <w:lvlJc w:val="left"/>
      <w:pPr>
        <w:ind w:left="3382" w:hanging="360"/>
      </w:pPr>
    </w:lvl>
    <w:lvl w:ilvl="5">
      <w:start w:val="1"/>
      <w:numFmt w:val="lowerRoman"/>
      <w:lvlText w:val="%6."/>
      <w:lvlJc w:val="right"/>
      <w:pPr>
        <w:ind w:left="4102" w:hanging="180"/>
      </w:pPr>
    </w:lvl>
    <w:lvl w:ilvl="6">
      <w:start w:val="1"/>
      <w:numFmt w:val="decimal"/>
      <w:lvlText w:val="%7."/>
      <w:lvlJc w:val="left"/>
      <w:pPr>
        <w:ind w:left="4822" w:hanging="360"/>
      </w:pPr>
    </w:lvl>
    <w:lvl w:ilvl="7">
      <w:start w:val="1"/>
      <w:numFmt w:val="lowerLetter"/>
      <w:lvlText w:val="%8."/>
      <w:lvlJc w:val="left"/>
      <w:pPr>
        <w:ind w:left="5542" w:hanging="360"/>
      </w:pPr>
    </w:lvl>
    <w:lvl w:ilvl="8">
      <w:start w:val="1"/>
      <w:numFmt w:val="lowerRoman"/>
      <w:lvlText w:val="%9."/>
      <w:lvlJc w:val="right"/>
      <w:pPr>
        <w:ind w:left="6262" w:hanging="180"/>
      </w:pPr>
    </w:lvl>
  </w:abstractNum>
  <w:abstractNum w:abstractNumId="10" w15:restartNumberingAfterBreak="0">
    <w:nsid w:val="4AC35428"/>
    <w:multiLevelType w:val="multilevel"/>
    <w:tmpl w:val="1ECAB194"/>
    <w:lvl w:ilvl="0">
      <w:start w:val="1"/>
      <w:numFmt w:val="upperRoman"/>
      <w:lvlText w:val="%1."/>
      <w:lvlJc w:val="right"/>
      <w:pPr>
        <w:ind w:left="720" w:hanging="360"/>
      </w:pPr>
      <w:rPr>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 w15:restartNumberingAfterBreak="0">
    <w:nsid w:val="4B490253"/>
    <w:multiLevelType w:val="multilevel"/>
    <w:tmpl w:val="997211E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4D7D6F32"/>
    <w:multiLevelType w:val="multilevel"/>
    <w:tmpl w:val="1ECAB194"/>
    <w:lvl w:ilvl="0">
      <w:start w:val="1"/>
      <w:numFmt w:val="upperRoman"/>
      <w:lvlText w:val="%1."/>
      <w:lvlJc w:val="right"/>
      <w:pPr>
        <w:ind w:left="720" w:hanging="360"/>
      </w:pPr>
      <w:rPr>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 w15:restartNumberingAfterBreak="0">
    <w:nsid w:val="51433A3F"/>
    <w:multiLevelType w:val="multilevel"/>
    <w:tmpl w:val="959C2254"/>
    <w:lvl w:ilvl="0">
      <w:start w:val="1"/>
      <w:numFmt w:val="decimal"/>
      <w:lvlText w:val="%1."/>
      <w:lvlJc w:val="left"/>
      <w:pPr>
        <w:ind w:left="2375" w:hanging="390"/>
      </w:pPr>
      <w:rPr>
        <w:rFonts w:ascii="Arial" w:eastAsia="Arial" w:hAnsi="Arial" w:cs="Arial"/>
        <w:b/>
        <w:sz w:val="24"/>
        <w:szCs w:val="24"/>
        <w:shd w:val="clear" w:color="auto" w:fill="auto"/>
      </w:r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14" w15:restartNumberingAfterBreak="0">
    <w:nsid w:val="56345D42"/>
    <w:multiLevelType w:val="multilevel"/>
    <w:tmpl w:val="10E8D89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5EC029D1"/>
    <w:multiLevelType w:val="multilevel"/>
    <w:tmpl w:val="C9E03AC6"/>
    <w:lvl w:ilvl="0">
      <w:start w:val="1"/>
      <w:numFmt w:val="upperRoman"/>
      <w:lvlText w:val="%1."/>
      <w:lvlJc w:val="left"/>
      <w:pPr>
        <w:ind w:left="862" w:hanging="720"/>
      </w:pPr>
      <w:rPr>
        <w:b/>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16" w15:restartNumberingAfterBreak="0">
    <w:nsid w:val="608927A5"/>
    <w:multiLevelType w:val="hybridMultilevel"/>
    <w:tmpl w:val="0D5256DE"/>
    <w:lvl w:ilvl="0" w:tplc="080A0017">
      <w:start w:val="1"/>
      <w:numFmt w:val="lowerLetter"/>
      <w:lvlText w:val="%1)"/>
      <w:lvlJc w:val="left"/>
      <w:pPr>
        <w:ind w:left="1429" w:hanging="360"/>
      </w:pPr>
    </w:lvl>
    <w:lvl w:ilvl="1" w:tplc="E06661B6">
      <w:start w:val="1"/>
      <w:numFmt w:val="upperRoman"/>
      <w:lvlText w:val="%2."/>
      <w:lvlJc w:val="left"/>
      <w:pPr>
        <w:ind w:left="2509" w:hanging="720"/>
      </w:pPr>
      <w:rPr>
        <w:rFonts w:hint="default"/>
      </w:rPr>
    </w:lvl>
    <w:lvl w:ilvl="2" w:tplc="080A001B" w:tentative="1">
      <w:start w:val="1"/>
      <w:numFmt w:val="lowerRoman"/>
      <w:lvlText w:val="%3."/>
      <w:lvlJc w:val="right"/>
      <w:pPr>
        <w:ind w:left="2869" w:hanging="180"/>
      </w:pPr>
    </w:lvl>
    <w:lvl w:ilvl="3" w:tplc="080A0017">
      <w:start w:val="1"/>
      <w:numFmt w:val="lowerLetter"/>
      <w:lvlText w:val="%4)"/>
      <w:lvlJc w:val="left"/>
      <w:pPr>
        <w:ind w:left="3588"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17" w15:restartNumberingAfterBreak="0">
    <w:nsid w:val="697C0E9A"/>
    <w:multiLevelType w:val="multilevel"/>
    <w:tmpl w:val="A64C626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6A1A3377"/>
    <w:multiLevelType w:val="hybridMultilevel"/>
    <w:tmpl w:val="C14ADF7A"/>
    <w:lvl w:ilvl="0" w:tplc="FFFFFFFF">
      <w:start w:val="1"/>
      <w:numFmt w:val="upperRoman"/>
      <w:lvlText w:val="%1."/>
      <w:lvlJc w:val="right"/>
      <w:pPr>
        <w:ind w:left="1429" w:hanging="360"/>
      </w:pPr>
    </w:lvl>
    <w:lvl w:ilvl="1" w:tplc="080A001B">
      <w:start w:val="1"/>
      <w:numFmt w:val="lowerRoman"/>
      <w:lvlText w:val="%2."/>
      <w:lvlJc w:val="righ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19" w15:restartNumberingAfterBreak="0">
    <w:nsid w:val="6D4427B2"/>
    <w:multiLevelType w:val="hybridMultilevel"/>
    <w:tmpl w:val="5FB4F170"/>
    <w:lvl w:ilvl="0" w:tplc="FFFFFFFF">
      <w:start w:val="1"/>
      <w:numFmt w:val="upperRoman"/>
      <w:lvlText w:val="%1."/>
      <w:lvlJc w:val="right"/>
      <w:pPr>
        <w:ind w:left="1429" w:hanging="360"/>
      </w:pPr>
    </w:lvl>
    <w:lvl w:ilvl="1" w:tplc="080A000F">
      <w:start w:val="1"/>
      <w:numFmt w:val="decimal"/>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20" w15:restartNumberingAfterBreak="0">
    <w:nsid w:val="70344D36"/>
    <w:multiLevelType w:val="hybridMultilevel"/>
    <w:tmpl w:val="9D7E6800"/>
    <w:lvl w:ilvl="0" w:tplc="080A0013">
      <w:start w:val="1"/>
      <w:numFmt w:val="upperRoman"/>
      <w:lvlText w:val="%1."/>
      <w:lvlJc w:val="right"/>
      <w:pPr>
        <w:ind w:left="1429" w:hanging="360"/>
      </w:pPr>
    </w:lvl>
    <w:lvl w:ilvl="1" w:tplc="080A0019">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21" w15:restartNumberingAfterBreak="0">
    <w:nsid w:val="74830977"/>
    <w:multiLevelType w:val="multilevel"/>
    <w:tmpl w:val="8A7AE4E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2" w15:restartNumberingAfterBreak="0">
    <w:nsid w:val="7B0B23BC"/>
    <w:multiLevelType w:val="multilevel"/>
    <w:tmpl w:val="481E2D4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31199254">
    <w:abstractNumId w:val="15"/>
  </w:num>
  <w:num w:numId="2" w16cid:durableId="1665353876">
    <w:abstractNumId w:val="1"/>
  </w:num>
  <w:num w:numId="3" w16cid:durableId="1777797235">
    <w:abstractNumId w:val="17"/>
  </w:num>
  <w:num w:numId="4" w16cid:durableId="502401581">
    <w:abstractNumId w:val="12"/>
  </w:num>
  <w:num w:numId="5" w16cid:durableId="380399501">
    <w:abstractNumId w:val="14"/>
  </w:num>
  <w:num w:numId="6" w16cid:durableId="1606838403">
    <w:abstractNumId w:val="0"/>
  </w:num>
  <w:num w:numId="7" w16cid:durableId="1008023217">
    <w:abstractNumId w:val="11"/>
  </w:num>
  <w:num w:numId="8" w16cid:durableId="479885735">
    <w:abstractNumId w:val="22"/>
  </w:num>
  <w:num w:numId="9" w16cid:durableId="73941051">
    <w:abstractNumId w:val="9"/>
  </w:num>
  <w:num w:numId="10" w16cid:durableId="1048727787">
    <w:abstractNumId w:val="13"/>
  </w:num>
  <w:num w:numId="11" w16cid:durableId="1438795622">
    <w:abstractNumId w:val="21"/>
  </w:num>
  <w:num w:numId="12" w16cid:durableId="439185865">
    <w:abstractNumId w:val="2"/>
  </w:num>
  <w:num w:numId="13" w16cid:durableId="2106025963">
    <w:abstractNumId w:val="10"/>
  </w:num>
  <w:num w:numId="14" w16cid:durableId="708184948">
    <w:abstractNumId w:val="5"/>
  </w:num>
  <w:num w:numId="15" w16cid:durableId="640622525">
    <w:abstractNumId w:val="6"/>
  </w:num>
  <w:num w:numId="16" w16cid:durableId="654644301">
    <w:abstractNumId w:val="7"/>
  </w:num>
  <w:num w:numId="17" w16cid:durableId="893812657">
    <w:abstractNumId w:val="16"/>
  </w:num>
  <w:num w:numId="18" w16cid:durableId="1707678825">
    <w:abstractNumId w:val="20"/>
  </w:num>
  <w:num w:numId="19" w16cid:durableId="72555853">
    <w:abstractNumId w:val="4"/>
  </w:num>
  <w:num w:numId="20" w16cid:durableId="2038043718">
    <w:abstractNumId w:val="18"/>
  </w:num>
  <w:num w:numId="21" w16cid:durableId="518809838">
    <w:abstractNumId w:val="19"/>
  </w:num>
  <w:num w:numId="22" w16cid:durableId="1811632636">
    <w:abstractNumId w:val="3"/>
  </w:num>
  <w:num w:numId="23" w16cid:durableId="48917924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4497"/>
    <w:rsid w:val="000142EE"/>
    <w:rsid w:val="00101FAC"/>
    <w:rsid w:val="0024375C"/>
    <w:rsid w:val="00360362"/>
    <w:rsid w:val="0070254A"/>
    <w:rsid w:val="008235D9"/>
    <w:rsid w:val="0089247F"/>
    <w:rsid w:val="00A47533"/>
    <w:rsid w:val="00A76CC2"/>
    <w:rsid w:val="00B14497"/>
    <w:rsid w:val="00B144EF"/>
    <w:rsid w:val="00D177C2"/>
    <w:rsid w:val="00E70F88"/>
    <w:rsid w:val="00ED485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E6E7B0"/>
  <w15:docId w15:val="{44F31811-6248-4451-9D66-99382EF800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MX"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7243"/>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sz w:val="22"/>
      <w:szCs w:val="22"/>
    </w:rPr>
  </w:style>
  <w:style w:type="paragraph" w:styleId="Ttulo6">
    <w:name w:val="heading 6"/>
    <w:basedOn w:val="Normal"/>
    <w:next w:val="Normal"/>
    <w:uiPriority w:val="9"/>
    <w:semiHidden/>
    <w:unhideWhenUsed/>
    <w:qFormat/>
    <w:pPr>
      <w:keepNext/>
      <w:keepLines/>
      <w:spacing w:before="200" w:after="40"/>
      <w:outlineLvl w:val="5"/>
    </w:pPr>
    <w:rPr>
      <w:b/>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table" w:customStyle="1" w:styleId="TableNormal3">
    <w:name w:val="Table Normal"/>
    <w:tblPr>
      <w:tblCellMar>
        <w:top w:w="0" w:type="dxa"/>
        <w:left w:w="0" w:type="dxa"/>
        <w:bottom w:w="0" w:type="dxa"/>
        <w:right w:w="0" w:type="dxa"/>
      </w:tblCellMar>
    </w:tblPr>
  </w:style>
  <w:style w:type="table" w:customStyle="1" w:styleId="TableNormal4">
    <w:name w:val="Table Normal"/>
    <w:tblPr>
      <w:tblCellMar>
        <w:top w:w="0" w:type="dxa"/>
        <w:left w:w="0" w:type="dxa"/>
        <w:bottom w:w="0" w:type="dxa"/>
        <w:right w:w="0" w:type="dxa"/>
      </w:tblCellMar>
    </w:tbl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4"/>
    <w:rPr>
      <w:color w:val="000000"/>
    </w:rPr>
    <w:tblPr>
      <w:tblStyleRowBandSize w:val="1"/>
      <w:tblStyleColBandSize w:val="1"/>
      <w:tblCellMar>
        <w:left w:w="108" w:type="dxa"/>
        <w:right w:w="108" w:type="dxa"/>
      </w:tblCellMar>
    </w:tblPr>
  </w:style>
  <w:style w:type="table" w:customStyle="1" w:styleId="a0">
    <w:basedOn w:val="TableNormal4"/>
    <w:rPr>
      <w:color w:val="000000"/>
    </w:rPr>
    <w:tblPr>
      <w:tblStyleRowBandSize w:val="1"/>
      <w:tblStyleColBandSize w:val="1"/>
      <w:tblCellMar>
        <w:left w:w="108" w:type="dxa"/>
        <w:right w:w="108" w:type="dxa"/>
      </w:tblCellMar>
    </w:tblPr>
    <w:tblStylePr w:type="firstRow">
      <w:rPr>
        <w:b/>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rPr>
      <w:tblPr/>
      <w:tcPr>
        <w:tcBorders>
          <w:top w:val="single" w:sz="4" w:space="0" w:color="A5A5A5"/>
        </w:tcBorders>
      </w:tcPr>
    </w:tblStylePr>
    <w:tblStylePr w:type="firstCol">
      <w:rPr>
        <w:b/>
      </w:rPr>
    </w:tblStylePr>
    <w:tblStylePr w:type="lastCol">
      <w:rPr>
        <w:b/>
      </w:rPr>
    </w:tblStylePr>
    <w:tblStylePr w:type="band1Vert">
      <w:tblPr/>
      <w:tcPr>
        <w:shd w:val="clear" w:color="auto" w:fill="EDEDED"/>
      </w:tcPr>
    </w:tblStylePr>
    <w:tblStylePr w:type="band1Horz">
      <w:tblPr/>
      <w:tcPr>
        <w:shd w:val="clear" w:color="auto" w:fill="EDEDED"/>
      </w:tcPr>
    </w:tblStylePr>
  </w:style>
  <w:style w:type="table" w:customStyle="1" w:styleId="a1">
    <w:basedOn w:val="TableNormal4"/>
    <w:rPr>
      <w:color w:val="000000"/>
    </w:rPr>
    <w:tblPr>
      <w:tblStyleRowBandSize w:val="1"/>
      <w:tblStyleColBandSize w:val="1"/>
      <w:tblCellMar>
        <w:left w:w="108" w:type="dxa"/>
        <w:right w:w="108" w:type="dxa"/>
      </w:tblCellMar>
    </w:tblPr>
    <w:tblStylePr w:type="firstRow">
      <w:rPr>
        <w:b/>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rPr>
      <w:tblPr/>
      <w:tcPr>
        <w:tcBorders>
          <w:top w:val="single" w:sz="4" w:space="0" w:color="A5A5A5"/>
        </w:tcBorders>
      </w:tcPr>
    </w:tblStylePr>
    <w:tblStylePr w:type="firstCol">
      <w:rPr>
        <w:b/>
      </w:rPr>
    </w:tblStylePr>
    <w:tblStylePr w:type="lastCol">
      <w:rPr>
        <w:b/>
      </w:rPr>
    </w:tblStylePr>
    <w:tblStylePr w:type="band1Vert">
      <w:tblPr/>
      <w:tcPr>
        <w:shd w:val="clear" w:color="auto" w:fill="EDEDED"/>
      </w:tcPr>
    </w:tblStylePr>
    <w:tblStylePr w:type="band1Horz">
      <w:tblPr/>
      <w:tcPr>
        <w:shd w:val="clear" w:color="auto" w:fill="EDEDED"/>
      </w:tcPr>
    </w:tblStylePr>
  </w:style>
  <w:style w:type="table" w:customStyle="1" w:styleId="a2">
    <w:basedOn w:val="TableNormal4"/>
    <w:rPr>
      <w:color w:val="000000"/>
    </w:rPr>
    <w:tblPr>
      <w:tblStyleRowBandSize w:val="1"/>
      <w:tblStyleColBandSize w:val="1"/>
      <w:tblCellMar>
        <w:left w:w="108" w:type="dxa"/>
        <w:right w:w="108" w:type="dxa"/>
      </w:tblCellMar>
    </w:tblPr>
    <w:tblStylePr w:type="firstRow">
      <w:rPr>
        <w:b/>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rPr>
      <w:tblPr/>
      <w:tcPr>
        <w:tcBorders>
          <w:top w:val="single" w:sz="4" w:space="0" w:color="A5A5A5"/>
        </w:tcBorders>
      </w:tcPr>
    </w:tblStylePr>
    <w:tblStylePr w:type="firstCol">
      <w:rPr>
        <w:b/>
      </w:rPr>
    </w:tblStylePr>
    <w:tblStylePr w:type="lastCol">
      <w:rPr>
        <w:b/>
      </w:rPr>
    </w:tblStylePr>
    <w:tblStylePr w:type="band1Vert">
      <w:tblPr/>
      <w:tcPr>
        <w:shd w:val="clear" w:color="auto" w:fill="EDEDED"/>
      </w:tcPr>
    </w:tblStylePr>
    <w:tblStylePr w:type="band1Horz">
      <w:tblPr/>
      <w:tcPr>
        <w:shd w:val="clear" w:color="auto" w:fill="EDEDED"/>
      </w:tcPr>
    </w:tblStylePr>
  </w:style>
  <w:style w:type="table" w:customStyle="1" w:styleId="a3">
    <w:basedOn w:val="TableNormal4"/>
    <w:tblPr>
      <w:tblStyleRowBandSize w:val="1"/>
      <w:tblStyleColBandSize w:val="1"/>
      <w:tblCellMar>
        <w:left w:w="115" w:type="dxa"/>
        <w:right w:w="115" w:type="dxa"/>
      </w:tblCellMar>
    </w:tblPr>
  </w:style>
  <w:style w:type="paragraph" w:styleId="Sinespaciado">
    <w:name w:val="No Spacing"/>
    <w:uiPriority w:val="1"/>
    <w:qFormat/>
    <w:rsid w:val="00424E9E"/>
  </w:style>
  <w:style w:type="paragraph" w:styleId="Prrafodelista">
    <w:name w:val="List Paragraph"/>
    <w:aliases w:val="CNBV Parrafo1,Cita texto,Párrafo de lista1,Parrafo 1,Lista multicolor - Énfasis 11,Lista vistosa - Énfasis 11,Cuadrícula media 1 - Énfasis 21,Listas,List Paragraph-Thesis,Footnote,List Paragraph2,List Paragraph1,Colorful List - Accent 1"/>
    <w:basedOn w:val="Normal"/>
    <w:link w:val="PrrafodelistaCar"/>
    <w:uiPriority w:val="34"/>
    <w:qFormat/>
    <w:rsid w:val="00AD65B3"/>
    <w:pPr>
      <w:ind w:left="720"/>
      <w:contextualSpacing/>
    </w:pPr>
  </w:style>
  <w:style w:type="paragraph" w:styleId="Textonotapie">
    <w:name w:val="footnote text"/>
    <w:aliases w:val="FA Fu,Footnote reference,Footnote Text Char Char Char Char Char,Footnote Text Char Char Char Char,Footnote Text Char Char Char Char Car,Footnote Text Char Char Char,Footnote Text Cha,FA Fußnotentext,FA Fuﬂnotentext,Footnote Text Char Char"/>
    <w:basedOn w:val="Normal"/>
    <w:link w:val="TextonotapieCar"/>
    <w:uiPriority w:val="99"/>
    <w:unhideWhenUsed/>
    <w:qFormat/>
    <w:rsid w:val="004E11D2"/>
  </w:style>
  <w:style w:type="character" w:customStyle="1" w:styleId="TextonotapieCar">
    <w:name w:val="Texto nota pie Car"/>
    <w:aliases w:val="FA Fu Car,Footnote reference Car,Footnote Text Char Char Char Char Char Car,Footnote Text Char Char Char Char Car1,Footnote Text Char Char Char Char Car Car,Footnote Text Char Char Char Car,Footnote Text Cha Car,FA Fußnotentext Car"/>
    <w:basedOn w:val="Fuentedeprrafopredeter"/>
    <w:link w:val="Textonotapie"/>
    <w:uiPriority w:val="99"/>
    <w:qFormat/>
    <w:rsid w:val="004E11D2"/>
  </w:style>
  <w:style w:type="character" w:styleId="Refdenotaalpie">
    <w:name w:val="footnote reference"/>
    <w:aliases w:val="Texto de nota al pie,Appel note de bas de page,Ref. de nota al pie 2,Footnotes refss,Footnote number,referencia nota al pie,BVI fnr,4_G,16 Point,Superscript 6 Point,Texto nota al pie,f,Footnote Reference Char3,Footnote Reference,ftre"/>
    <w:basedOn w:val="Fuentedeprrafopredeter"/>
    <w:link w:val="4GChar"/>
    <w:uiPriority w:val="99"/>
    <w:unhideWhenUsed/>
    <w:qFormat/>
    <w:rsid w:val="004E11D2"/>
    <w:rPr>
      <w:vertAlign w:val="superscript"/>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4E11D2"/>
    <w:pPr>
      <w:jc w:val="both"/>
    </w:pPr>
    <w:rPr>
      <w:vertAlign w:val="superscript"/>
    </w:rPr>
  </w:style>
  <w:style w:type="character" w:customStyle="1" w:styleId="PrrafodelistaCar">
    <w:name w:val="Párrafo de lista Car"/>
    <w:aliases w:val="CNBV Parrafo1 Car,Cita texto Car,Párrafo de lista1 Car,Parrafo 1 Car,Lista multicolor - Énfasis 11 Car,Lista vistosa - Énfasis 11 Car,Cuadrícula media 1 - Énfasis 21 Car,Listas Car,List Paragraph-Thesis Car,Footnote Car"/>
    <w:link w:val="Prrafodelista"/>
    <w:uiPriority w:val="34"/>
    <w:qFormat/>
    <w:locked/>
    <w:rsid w:val="00E70665"/>
  </w:style>
  <w:style w:type="character" w:styleId="Hipervnculo">
    <w:name w:val="Hyperlink"/>
    <w:basedOn w:val="Fuentedeprrafopredeter"/>
    <w:uiPriority w:val="99"/>
    <w:unhideWhenUsed/>
    <w:rsid w:val="00C655DE"/>
    <w:rPr>
      <w:color w:val="0000FF" w:themeColor="hyperlink"/>
      <w:u w:val="single"/>
    </w:rPr>
  </w:style>
  <w:style w:type="paragraph" w:styleId="NormalWeb">
    <w:name w:val="Normal (Web)"/>
    <w:basedOn w:val="Normal"/>
    <w:uiPriority w:val="99"/>
    <w:unhideWhenUsed/>
    <w:rsid w:val="006752DC"/>
    <w:pPr>
      <w:spacing w:before="100" w:beforeAutospacing="1" w:after="100" w:afterAutospacing="1"/>
    </w:pPr>
    <w:rPr>
      <w:sz w:val="24"/>
      <w:szCs w:val="24"/>
    </w:rPr>
  </w:style>
  <w:style w:type="character" w:styleId="Mencinsinresolver">
    <w:name w:val="Unresolved Mention"/>
    <w:basedOn w:val="Fuentedeprrafopredeter"/>
    <w:uiPriority w:val="99"/>
    <w:semiHidden/>
    <w:unhideWhenUsed/>
    <w:rsid w:val="00ED06C0"/>
    <w:rPr>
      <w:color w:val="605E5C"/>
      <w:shd w:val="clear" w:color="auto" w:fill="E1DFDD"/>
    </w:rPr>
  </w:style>
  <w:style w:type="table" w:customStyle="1" w:styleId="a4">
    <w:basedOn w:val="TableNormal4"/>
    <w:rPr>
      <w:color w:val="000000"/>
    </w:rPr>
    <w:tblPr>
      <w:tblStyleRowBandSize w:val="1"/>
      <w:tblStyleColBandSize w:val="1"/>
      <w:tblCellMar>
        <w:left w:w="115" w:type="dxa"/>
        <w:right w:w="115" w:type="dxa"/>
      </w:tblCellMar>
    </w:tblPr>
  </w:style>
  <w:style w:type="table" w:customStyle="1" w:styleId="a5">
    <w:basedOn w:val="TableNormal4"/>
    <w:rPr>
      <w:color w:val="000000"/>
    </w:rPr>
    <w:tblPr>
      <w:tblStyleRowBandSize w:val="1"/>
      <w:tblStyleColBandSize w:val="1"/>
      <w:tblCellMar>
        <w:left w:w="115" w:type="dxa"/>
        <w:right w:w="115" w:type="dxa"/>
      </w:tblCellMar>
    </w:tblPr>
    <w:tblStylePr w:type="firstRow">
      <w:rPr>
        <w:b/>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rPr>
      <w:tblPr/>
      <w:tcPr>
        <w:tcBorders>
          <w:top w:val="single" w:sz="4" w:space="0" w:color="A5A5A5"/>
        </w:tcBorders>
      </w:tcPr>
    </w:tblStylePr>
    <w:tblStylePr w:type="firstCol">
      <w:rPr>
        <w:b/>
      </w:rPr>
    </w:tblStylePr>
    <w:tblStylePr w:type="lastCol">
      <w:rPr>
        <w:b/>
      </w:rPr>
    </w:tblStylePr>
    <w:tblStylePr w:type="band1Vert">
      <w:tblPr/>
      <w:tcPr>
        <w:shd w:val="clear" w:color="auto" w:fill="EDEDED"/>
      </w:tcPr>
    </w:tblStylePr>
    <w:tblStylePr w:type="band1Horz">
      <w:tblPr/>
      <w:tcPr>
        <w:shd w:val="clear" w:color="auto" w:fill="EDEDED"/>
      </w:tcPr>
    </w:tblStylePr>
  </w:style>
  <w:style w:type="table" w:customStyle="1" w:styleId="a6">
    <w:basedOn w:val="TableNormal4"/>
    <w:rPr>
      <w:color w:val="000000"/>
    </w:rPr>
    <w:tblPr>
      <w:tblStyleRowBandSize w:val="1"/>
      <w:tblStyleColBandSize w:val="1"/>
      <w:tblCellMar>
        <w:left w:w="115" w:type="dxa"/>
        <w:right w:w="115" w:type="dxa"/>
      </w:tblCellMar>
    </w:tblPr>
  </w:style>
  <w:style w:type="table" w:styleId="Tablaconcuadrcula">
    <w:name w:val="Table Grid"/>
    <w:basedOn w:val="Tablanormal"/>
    <w:uiPriority w:val="39"/>
    <w:rsid w:val="00E303B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decuadrcula4">
    <w:name w:val="Grid Table 4"/>
    <w:basedOn w:val="Tablanormal"/>
    <w:uiPriority w:val="49"/>
    <w:rsid w:val="004052AB"/>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a7">
    <w:basedOn w:val="TableNormal3"/>
    <w:rPr>
      <w:color w:val="000000"/>
    </w:rPr>
    <w:tblPr>
      <w:tblStyleRowBandSize w:val="1"/>
      <w:tblStyleColBandSize w:val="1"/>
      <w:tblCellMar>
        <w:left w:w="115" w:type="dxa"/>
        <w:right w:w="115" w:type="dxa"/>
      </w:tblCellMar>
    </w:tblPr>
  </w:style>
  <w:style w:type="table" w:customStyle="1" w:styleId="a8">
    <w:basedOn w:val="TableNormal3"/>
    <w:tblPr>
      <w:tblStyleRowBandSize w:val="1"/>
      <w:tblStyleColBandSize w:val="1"/>
      <w:tblCellMar>
        <w:left w:w="108" w:type="dxa"/>
        <w:right w:w="108" w:type="dxa"/>
      </w:tblCellMar>
    </w:tblPr>
    <w:tblStylePr w:type="firstRow">
      <w:rPr>
        <w:b/>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rPr>
      <w:tblPr/>
      <w:tcPr>
        <w:tcBorders>
          <w:top w:val="single" w:sz="4" w:space="0" w:color="000000"/>
        </w:tcBorders>
      </w:tcPr>
    </w:tblStylePr>
    <w:tblStylePr w:type="firstCol">
      <w:rPr>
        <w:b/>
      </w:rPr>
    </w:tblStylePr>
    <w:tblStylePr w:type="lastCol">
      <w:rPr>
        <w:b/>
      </w:rPr>
    </w:tblStylePr>
    <w:tblStylePr w:type="band1Vert">
      <w:tblPr/>
      <w:tcPr>
        <w:shd w:val="clear" w:color="auto" w:fill="CCCCCC"/>
      </w:tcPr>
    </w:tblStylePr>
    <w:tblStylePr w:type="band1Horz">
      <w:tblPr/>
      <w:tcPr>
        <w:shd w:val="clear" w:color="auto" w:fill="CCCCCC"/>
      </w:tcPr>
    </w:tblStylePr>
  </w:style>
  <w:style w:type="table" w:customStyle="1" w:styleId="a9">
    <w:basedOn w:val="TableNormal3"/>
    <w:tblPr>
      <w:tblStyleRowBandSize w:val="1"/>
      <w:tblStyleColBandSize w:val="1"/>
      <w:tblCellMar>
        <w:left w:w="108" w:type="dxa"/>
        <w:right w:w="108" w:type="dxa"/>
      </w:tblCellMar>
    </w:tblPr>
    <w:tblStylePr w:type="firstRow">
      <w:rPr>
        <w:b/>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rPr>
      <w:tblPr/>
      <w:tcPr>
        <w:tcBorders>
          <w:top w:val="single" w:sz="4" w:space="0" w:color="000000"/>
        </w:tcBorders>
      </w:tcPr>
    </w:tblStylePr>
    <w:tblStylePr w:type="firstCol">
      <w:rPr>
        <w:b/>
      </w:rPr>
    </w:tblStylePr>
    <w:tblStylePr w:type="lastCol">
      <w:rPr>
        <w:b/>
      </w:rPr>
    </w:tblStylePr>
    <w:tblStylePr w:type="band1Vert">
      <w:tblPr/>
      <w:tcPr>
        <w:shd w:val="clear" w:color="auto" w:fill="CCCCCC"/>
      </w:tcPr>
    </w:tblStylePr>
    <w:tblStylePr w:type="band1Horz">
      <w:tblPr/>
      <w:tcPr>
        <w:shd w:val="clear" w:color="auto" w:fill="CCCCCC"/>
      </w:tcPr>
    </w:tblStylePr>
  </w:style>
  <w:style w:type="table" w:customStyle="1" w:styleId="aa">
    <w:basedOn w:val="TableNormal3"/>
    <w:rPr>
      <w:color w:val="000000"/>
    </w:rPr>
    <w:tblPr>
      <w:tblStyleRowBandSize w:val="1"/>
      <w:tblStyleColBandSize w:val="1"/>
      <w:tblCellMar>
        <w:left w:w="115" w:type="dxa"/>
        <w:right w:w="115" w:type="dxa"/>
      </w:tblCellMar>
    </w:tblPr>
    <w:tblStylePr w:type="firstRow">
      <w:rPr>
        <w:b/>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rPr>
      <w:tblPr/>
      <w:tcPr>
        <w:tcBorders>
          <w:top w:val="single" w:sz="4" w:space="0" w:color="A5A5A5"/>
        </w:tcBorders>
      </w:tcPr>
    </w:tblStylePr>
    <w:tblStylePr w:type="firstCol">
      <w:rPr>
        <w:b/>
      </w:rPr>
    </w:tblStylePr>
    <w:tblStylePr w:type="lastCol">
      <w:rPr>
        <w:b/>
      </w:rPr>
    </w:tblStylePr>
    <w:tblStylePr w:type="band1Vert">
      <w:tblPr/>
      <w:tcPr>
        <w:shd w:val="clear" w:color="auto" w:fill="EDEDED"/>
      </w:tcPr>
    </w:tblStylePr>
    <w:tblStylePr w:type="band1Horz">
      <w:tblPr/>
      <w:tcPr>
        <w:shd w:val="clear" w:color="auto" w:fill="EDEDED"/>
      </w:tcPr>
    </w:tblStylePr>
  </w:style>
  <w:style w:type="table" w:customStyle="1" w:styleId="ab">
    <w:basedOn w:val="TableNormal3"/>
    <w:tblPr>
      <w:tblStyleRowBandSize w:val="1"/>
      <w:tblStyleColBandSize w:val="1"/>
      <w:tblCellMar>
        <w:left w:w="108" w:type="dxa"/>
        <w:right w:w="108" w:type="dxa"/>
      </w:tblCellMar>
    </w:tblPr>
    <w:tblStylePr w:type="firstRow">
      <w:rPr>
        <w:b/>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rPr>
      <w:tblPr/>
      <w:tcPr>
        <w:tcBorders>
          <w:top w:val="single" w:sz="4" w:space="0" w:color="000000"/>
        </w:tcBorders>
      </w:tcPr>
    </w:tblStylePr>
    <w:tblStylePr w:type="firstCol">
      <w:rPr>
        <w:b/>
      </w:rPr>
    </w:tblStylePr>
    <w:tblStylePr w:type="lastCol">
      <w:rPr>
        <w:b/>
      </w:rPr>
    </w:tblStylePr>
    <w:tblStylePr w:type="band1Vert">
      <w:tblPr/>
      <w:tcPr>
        <w:shd w:val="clear" w:color="auto" w:fill="CCCCCC"/>
      </w:tcPr>
    </w:tblStylePr>
    <w:tblStylePr w:type="band1Horz">
      <w:tblPr/>
      <w:tcPr>
        <w:shd w:val="clear" w:color="auto" w:fill="CCCCCC"/>
      </w:tcPr>
    </w:tblStylePr>
  </w:style>
  <w:style w:type="table" w:customStyle="1" w:styleId="ac">
    <w:basedOn w:val="TableNormal3"/>
    <w:tblPr>
      <w:tblStyleRowBandSize w:val="1"/>
      <w:tblStyleColBandSize w:val="1"/>
      <w:tblCellMar>
        <w:left w:w="115" w:type="dxa"/>
        <w:right w:w="115" w:type="dxa"/>
      </w:tblCellMar>
    </w:tblPr>
  </w:style>
  <w:style w:type="table" w:customStyle="1" w:styleId="ad">
    <w:basedOn w:val="TableNormal2"/>
    <w:rPr>
      <w:color w:val="000000"/>
    </w:rPr>
    <w:tblPr>
      <w:tblStyleRowBandSize w:val="1"/>
      <w:tblStyleColBandSize w:val="1"/>
      <w:tblCellMar>
        <w:left w:w="115" w:type="dxa"/>
        <w:right w:w="115" w:type="dxa"/>
      </w:tblCellMar>
    </w:tblPr>
  </w:style>
  <w:style w:type="table" w:customStyle="1" w:styleId="ae">
    <w:basedOn w:val="TableNormal2"/>
    <w:rPr>
      <w:color w:val="000000"/>
    </w:rPr>
    <w:tblPr>
      <w:tblStyleRowBandSize w:val="1"/>
      <w:tblStyleColBandSize w:val="1"/>
      <w:tblCellMar>
        <w:left w:w="115" w:type="dxa"/>
        <w:right w:w="115" w:type="dxa"/>
      </w:tblCellMar>
    </w:tblPr>
    <w:tblStylePr w:type="firstRow">
      <w:rPr>
        <w:b/>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rPr>
      <w:tblPr/>
      <w:tcPr>
        <w:tcBorders>
          <w:top w:val="single" w:sz="4" w:space="0" w:color="000000"/>
        </w:tcBorders>
      </w:tcPr>
    </w:tblStylePr>
    <w:tblStylePr w:type="firstCol">
      <w:rPr>
        <w:b/>
      </w:rPr>
    </w:tblStylePr>
    <w:tblStylePr w:type="lastCol">
      <w:rPr>
        <w:b/>
      </w:rPr>
    </w:tblStylePr>
    <w:tblStylePr w:type="band1Vert">
      <w:tblPr/>
      <w:tcPr>
        <w:shd w:val="clear" w:color="auto" w:fill="CCCCCC"/>
      </w:tcPr>
    </w:tblStylePr>
    <w:tblStylePr w:type="band1Horz">
      <w:tblPr/>
      <w:tcPr>
        <w:shd w:val="clear" w:color="auto" w:fill="CCCCCC"/>
      </w:tcPr>
    </w:tblStylePr>
  </w:style>
  <w:style w:type="table" w:customStyle="1" w:styleId="af">
    <w:basedOn w:val="TableNormal2"/>
    <w:rPr>
      <w:color w:val="000000"/>
    </w:rPr>
    <w:tblPr>
      <w:tblStyleRowBandSize w:val="1"/>
      <w:tblStyleColBandSize w:val="1"/>
      <w:tblCellMar>
        <w:left w:w="115" w:type="dxa"/>
        <w:right w:w="115" w:type="dxa"/>
      </w:tblCellMar>
    </w:tblPr>
    <w:tblStylePr w:type="firstRow">
      <w:rPr>
        <w:b/>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rPr>
      <w:tblPr/>
      <w:tcPr>
        <w:tcBorders>
          <w:top w:val="single" w:sz="4" w:space="0" w:color="000000"/>
        </w:tcBorders>
      </w:tcPr>
    </w:tblStylePr>
    <w:tblStylePr w:type="firstCol">
      <w:rPr>
        <w:b/>
      </w:rPr>
    </w:tblStylePr>
    <w:tblStylePr w:type="lastCol">
      <w:rPr>
        <w:b/>
      </w:rPr>
    </w:tblStylePr>
    <w:tblStylePr w:type="band1Vert">
      <w:tblPr/>
      <w:tcPr>
        <w:shd w:val="clear" w:color="auto" w:fill="CCCCCC"/>
      </w:tcPr>
    </w:tblStylePr>
    <w:tblStylePr w:type="band1Horz">
      <w:tblPr/>
      <w:tcPr>
        <w:shd w:val="clear" w:color="auto" w:fill="CCCCCC"/>
      </w:tcPr>
    </w:tblStylePr>
  </w:style>
  <w:style w:type="table" w:customStyle="1" w:styleId="af0">
    <w:basedOn w:val="TableNormal2"/>
    <w:tblPr>
      <w:tblStyleRowBandSize w:val="1"/>
      <w:tblStyleColBandSize w:val="1"/>
      <w:tblCellMar>
        <w:left w:w="115" w:type="dxa"/>
        <w:right w:w="115" w:type="dxa"/>
      </w:tblCellMar>
    </w:tblPr>
  </w:style>
  <w:style w:type="table" w:customStyle="1" w:styleId="af1">
    <w:basedOn w:val="TableNormal2"/>
    <w:tblPr>
      <w:tblStyleRowBandSize w:val="1"/>
      <w:tblStyleColBandSize w:val="1"/>
      <w:tblCellMar>
        <w:left w:w="115" w:type="dxa"/>
        <w:right w:w="115" w:type="dxa"/>
      </w:tblCellMar>
    </w:tblPr>
  </w:style>
  <w:style w:type="table" w:customStyle="1" w:styleId="af2">
    <w:basedOn w:val="TableNormal2"/>
    <w:rPr>
      <w:color w:val="000000"/>
    </w:rPr>
    <w:tblPr>
      <w:tblStyleRowBandSize w:val="1"/>
      <w:tblStyleColBandSize w:val="1"/>
      <w:tblCellMar>
        <w:left w:w="115" w:type="dxa"/>
        <w:right w:w="115" w:type="dxa"/>
      </w:tblCellMar>
    </w:tblPr>
    <w:tblStylePr w:type="firstRow">
      <w:rPr>
        <w:b/>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rPr>
      <w:tblPr/>
      <w:tcPr>
        <w:tcBorders>
          <w:top w:val="single" w:sz="4" w:space="0" w:color="A5A5A5"/>
        </w:tcBorders>
      </w:tcPr>
    </w:tblStylePr>
    <w:tblStylePr w:type="firstCol">
      <w:rPr>
        <w:b/>
      </w:rPr>
    </w:tblStylePr>
    <w:tblStylePr w:type="lastCol">
      <w:rPr>
        <w:b/>
      </w:rPr>
    </w:tblStylePr>
    <w:tblStylePr w:type="band1Vert">
      <w:tblPr/>
      <w:tcPr>
        <w:shd w:val="clear" w:color="auto" w:fill="EDEDED"/>
      </w:tcPr>
    </w:tblStylePr>
    <w:tblStylePr w:type="band1Horz">
      <w:tblPr/>
      <w:tcPr>
        <w:shd w:val="clear" w:color="auto" w:fill="EDEDED"/>
      </w:tcPr>
    </w:tblStylePr>
  </w:style>
  <w:style w:type="table" w:customStyle="1" w:styleId="af3">
    <w:basedOn w:val="TableNormal2"/>
    <w:rPr>
      <w:color w:val="000000"/>
    </w:rPr>
    <w:tblPr>
      <w:tblStyleRowBandSize w:val="1"/>
      <w:tblStyleColBandSize w:val="1"/>
      <w:tblCellMar>
        <w:left w:w="115" w:type="dxa"/>
        <w:right w:w="115" w:type="dxa"/>
      </w:tblCellMar>
    </w:tblPr>
  </w:style>
  <w:style w:type="table" w:customStyle="1" w:styleId="af4">
    <w:basedOn w:val="TableNormal1"/>
    <w:rPr>
      <w:color w:val="000000"/>
    </w:rPr>
    <w:tblPr>
      <w:tblStyleRowBandSize w:val="1"/>
      <w:tblStyleColBandSize w:val="1"/>
      <w:tblCellMar>
        <w:left w:w="115" w:type="dxa"/>
        <w:right w:w="115" w:type="dxa"/>
      </w:tblCellMar>
    </w:tblPr>
  </w:style>
  <w:style w:type="table" w:customStyle="1" w:styleId="af5">
    <w:basedOn w:val="TableNormal1"/>
    <w:rPr>
      <w:color w:val="000000"/>
    </w:rPr>
    <w:tblPr>
      <w:tblStyleRowBandSize w:val="1"/>
      <w:tblStyleColBandSize w:val="1"/>
      <w:tblCellMar>
        <w:left w:w="115" w:type="dxa"/>
        <w:right w:w="115" w:type="dxa"/>
      </w:tblCellMar>
    </w:tblPr>
    <w:tblStylePr w:type="firstRow">
      <w:rPr>
        <w:b/>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rPr>
      <w:tblPr/>
      <w:tcPr>
        <w:tcBorders>
          <w:top w:val="single" w:sz="4" w:space="0" w:color="000000"/>
        </w:tcBorders>
      </w:tcPr>
    </w:tblStylePr>
    <w:tblStylePr w:type="firstCol">
      <w:rPr>
        <w:b/>
      </w:rPr>
    </w:tblStylePr>
    <w:tblStylePr w:type="lastCol">
      <w:rPr>
        <w:b/>
      </w:rPr>
    </w:tblStylePr>
    <w:tblStylePr w:type="band1Vert">
      <w:tblPr/>
      <w:tcPr>
        <w:shd w:val="clear" w:color="auto" w:fill="CCCCCC"/>
      </w:tcPr>
    </w:tblStylePr>
    <w:tblStylePr w:type="band1Horz">
      <w:tblPr/>
      <w:tcPr>
        <w:shd w:val="clear" w:color="auto" w:fill="CCCCCC"/>
      </w:tcPr>
    </w:tblStylePr>
  </w:style>
  <w:style w:type="table" w:customStyle="1" w:styleId="af6">
    <w:basedOn w:val="TableNormal1"/>
    <w:rPr>
      <w:color w:val="000000"/>
    </w:rPr>
    <w:tblPr>
      <w:tblStyleRowBandSize w:val="1"/>
      <w:tblStyleColBandSize w:val="1"/>
      <w:tblCellMar>
        <w:left w:w="115" w:type="dxa"/>
        <w:right w:w="115" w:type="dxa"/>
      </w:tblCellMar>
    </w:tblPr>
    <w:tblStylePr w:type="firstRow">
      <w:rPr>
        <w:b/>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rPr>
      <w:tblPr/>
      <w:tcPr>
        <w:tcBorders>
          <w:top w:val="single" w:sz="4" w:space="0" w:color="000000"/>
        </w:tcBorders>
      </w:tcPr>
    </w:tblStylePr>
    <w:tblStylePr w:type="firstCol">
      <w:rPr>
        <w:b/>
      </w:rPr>
    </w:tblStylePr>
    <w:tblStylePr w:type="lastCol">
      <w:rPr>
        <w:b/>
      </w:rPr>
    </w:tblStylePr>
    <w:tblStylePr w:type="band1Vert">
      <w:tblPr/>
      <w:tcPr>
        <w:shd w:val="clear" w:color="auto" w:fill="CCCCCC"/>
      </w:tcPr>
    </w:tblStylePr>
    <w:tblStylePr w:type="band1Horz">
      <w:tblPr/>
      <w:tcPr>
        <w:shd w:val="clear" w:color="auto" w:fill="CCCCCC"/>
      </w:tcPr>
    </w:tblStylePr>
  </w:style>
  <w:style w:type="table" w:customStyle="1" w:styleId="af7">
    <w:basedOn w:val="TableNormal1"/>
    <w:rPr>
      <w:color w:val="000000"/>
    </w:rPr>
    <w:tblPr>
      <w:tblStyleRowBandSize w:val="1"/>
      <w:tblStyleColBandSize w:val="1"/>
      <w:tblCellMar>
        <w:left w:w="115" w:type="dxa"/>
        <w:right w:w="115" w:type="dxa"/>
      </w:tblCellMar>
    </w:tblPr>
  </w:style>
  <w:style w:type="table" w:customStyle="1" w:styleId="af8">
    <w:basedOn w:val="TableNormal1"/>
    <w:rPr>
      <w:color w:val="000000"/>
    </w:rPr>
    <w:tblPr>
      <w:tblStyleRowBandSize w:val="1"/>
      <w:tblStyleColBandSize w:val="1"/>
      <w:tblCellMar>
        <w:left w:w="115" w:type="dxa"/>
        <w:right w:w="115" w:type="dxa"/>
      </w:tblCellMar>
    </w:tblPr>
  </w:style>
  <w:style w:type="table" w:customStyle="1" w:styleId="af9">
    <w:basedOn w:val="TableNormal1"/>
    <w:tblPr>
      <w:tblStyleRowBandSize w:val="1"/>
      <w:tblStyleColBandSize w:val="1"/>
      <w:tblCellMar>
        <w:left w:w="108" w:type="dxa"/>
        <w:right w:w="108" w:type="dxa"/>
      </w:tblCellMar>
    </w:tblPr>
    <w:tblStylePr w:type="firstRow">
      <w:rPr>
        <w:b/>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rPr>
      <w:tblPr/>
      <w:tcPr>
        <w:tcBorders>
          <w:top w:val="single" w:sz="4" w:space="0" w:color="000000"/>
        </w:tcBorders>
      </w:tcPr>
    </w:tblStylePr>
    <w:tblStylePr w:type="firstCol">
      <w:rPr>
        <w:b/>
      </w:rPr>
    </w:tblStylePr>
    <w:tblStylePr w:type="lastCol">
      <w:rPr>
        <w:b/>
      </w:rPr>
    </w:tblStylePr>
    <w:tblStylePr w:type="band1Vert">
      <w:tblPr/>
      <w:tcPr>
        <w:shd w:val="clear" w:color="auto" w:fill="CCCCCC"/>
      </w:tcPr>
    </w:tblStylePr>
    <w:tblStylePr w:type="band1Horz">
      <w:tblPr/>
      <w:tcPr>
        <w:shd w:val="clear" w:color="auto" w:fill="CCCCCC"/>
      </w:tcPr>
    </w:tblStylePr>
  </w:style>
  <w:style w:type="table" w:customStyle="1" w:styleId="afa">
    <w:basedOn w:val="TableNormal1"/>
    <w:rPr>
      <w:color w:val="000000"/>
    </w:rPr>
    <w:tblPr>
      <w:tblStyleRowBandSize w:val="1"/>
      <w:tblStyleColBandSize w:val="1"/>
      <w:tblCellMar>
        <w:left w:w="115" w:type="dxa"/>
        <w:right w:w="115" w:type="dxa"/>
      </w:tblCellMar>
    </w:tblPr>
  </w:style>
  <w:style w:type="table" w:customStyle="1" w:styleId="afb">
    <w:basedOn w:val="TableNormal0"/>
    <w:rPr>
      <w:color w:val="000000"/>
    </w:rPr>
    <w:tblPr>
      <w:tblStyleRowBandSize w:val="1"/>
      <w:tblStyleColBandSize w:val="1"/>
      <w:tblCellMar>
        <w:left w:w="115" w:type="dxa"/>
        <w:right w:w="115" w:type="dxa"/>
      </w:tblCellMar>
    </w:tblPr>
  </w:style>
  <w:style w:type="table" w:customStyle="1" w:styleId="afc">
    <w:basedOn w:val="TableNormal0"/>
    <w:rPr>
      <w:color w:val="000000"/>
    </w:rPr>
    <w:tblPr>
      <w:tblStyleRowBandSize w:val="1"/>
      <w:tblStyleColBandSize w:val="1"/>
      <w:tblCellMar>
        <w:left w:w="115" w:type="dxa"/>
        <w:right w:w="115" w:type="dxa"/>
      </w:tblCellMar>
    </w:tblPr>
    <w:tblStylePr w:type="firstRow">
      <w:rPr>
        <w:b/>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rPr>
      <w:tblPr/>
      <w:tcPr>
        <w:tcBorders>
          <w:top w:val="single" w:sz="4" w:space="0" w:color="000000"/>
        </w:tcBorders>
      </w:tcPr>
    </w:tblStylePr>
    <w:tblStylePr w:type="firstCol">
      <w:rPr>
        <w:b/>
      </w:rPr>
    </w:tblStylePr>
    <w:tblStylePr w:type="lastCol">
      <w:rPr>
        <w:b/>
      </w:rPr>
    </w:tblStylePr>
    <w:tblStylePr w:type="band1Vert">
      <w:tblPr/>
      <w:tcPr>
        <w:shd w:val="clear" w:color="auto" w:fill="CCCCCC"/>
      </w:tcPr>
    </w:tblStylePr>
    <w:tblStylePr w:type="band1Horz">
      <w:tblPr/>
      <w:tcPr>
        <w:shd w:val="clear" w:color="auto" w:fill="CCCCCC"/>
      </w:tcPr>
    </w:tblStylePr>
  </w:style>
  <w:style w:type="table" w:customStyle="1" w:styleId="afd">
    <w:basedOn w:val="TableNormal0"/>
    <w:rPr>
      <w:color w:val="000000"/>
    </w:rPr>
    <w:tblPr>
      <w:tblStyleRowBandSize w:val="1"/>
      <w:tblStyleColBandSize w:val="1"/>
      <w:tblCellMar>
        <w:left w:w="115" w:type="dxa"/>
        <w:right w:w="115" w:type="dxa"/>
      </w:tblCellMar>
    </w:tblPr>
    <w:tblStylePr w:type="firstRow">
      <w:rPr>
        <w:b/>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rPr>
      <w:tblPr/>
      <w:tcPr>
        <w:tcBorders>
          <w:top w:val="single" w:sz="4" w:space="0" w:color="000000"/>
        </w:tcBorders>
      </w:tcPr>
    </w:tblStylePr>
    <w:tblStylePr w:type="firstCol">
      <w:rPr>
        <w:b/>
      </w:rPr>
    </w:tblStylePr>
    <w:tblStylePr w:type="lastCol">
      <w:rPr>
        <w:b/>
      </w:rPr>
    </w:tblStylePr>
    <w:tblStylePr w:type="band1Vert">
      <w:tblPr/>
      <w:tcPr>
        <w:shd w:val="clear" w:color="auto" w:fill="CCCCCC"/>
      </w:tcPr>
    </w:tblStylePr>
    <w:tblStylePr w:type="band1Horz">
      <w:tblPr/>
      <w:tcPr>
        <w:shd w:val="clear" w:color="auto" w:fill="CCCCCC"/>
      </w:tcPr>
    </w:tblStylePr>
  </w:style>
  <w:style w:type="table" w:customStyle="1" w:styleId="afe">
    <w:basedOn w:val="TableNormal0"/>
    <w:rPr>
      <w:color w:val="000000"/>
    </w:rPr>
    <w:tblPr>
      <w:tblStyleRowBandSize w:val="1"/>
      <w:tblStyleColBandSize w:val="1"/>
      <w:tblCellMar>
        <w:left w:w="115" w:type="dxa"/>
        <w:right w:w="115" w:type="dxa"/>
      </w:tblCellMar>
    </w:tblPr>
  </w:style>
  <w:style w:type="table" w:customStyle="1" w:styleId="aff">
    <w:basedOn w:val="TableNormal0"/>
    <w:rPr>
      <w:color w:val="000000"/>
    </w:rPr>
    <w:tblPr>
      <w:tblStyleRowBandSize w:val="1"/>
      <w:tblStyleColBandSize w:val="1"/>
      <w:tblCellMar>
        <w:left w:w="115" w:type="dxa"/>
        <w:right w:w="115" w:type="dxa"/>
      </w:tblCellMar>
    </w:tblPr>
  </w:style>
  <w:style w:type="table" w:customStyle="1" w:styleId="aff0">
    <w:basedOn w:val="TableNormal0"/>
    <w:rPr>
      <w:color w:val="000000"/>
    </w:rPr>
    <w:tblPr>
      <w:tblStyleRowBandSize w:val="1"/>
      <w:tblStyleColBandSize w:val="1"/>
      <w:tblCellMar>
        <w:left w:w="115" w:type="dxa"/>
        <w:right w:w="115" w:type="dxa"/>
      </w:tblCellMar>
    </w:tblPr>
    <w:tblStylePr w:type="firstRow">
      <w:rPr>
        <w:b/>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rPr>
      <w:tblPr/>
      <w:tcPr>
        <w:tcBorders>
          <w:top w:val="single" w:sz="4" w:space="0" w:color="000000"/>
        </w:tcBorders>
      </w:tcPr>
    </w:tblStylePr>
    <w:tblStylePr w:type="firstCol">
      <w:rPr>
        <w:b/>
      </w:rPr>
    </w:tblStylePr>
    <w:tblStylePr w:type="lastCol">
      <w:rPr>
        <w:b/>
      </w:rPr>
    </w:tblStylePr>
    <w:tblStylePr w:type="band1Vert">
      <w:tblPr/>
      <w:tcPr>
        <w:shd w:val="clear" w:color="auto" w:fill="CCCCCC"/>
      </w:tcPr>
    </w:tblStylePr>
    <w:tblStylePr w:type="band1Horz">
      <w:tblPr/>
      <w:tcPr>
        <w:shd w:val="clear" w:color="auto" w:fill="CCCCCC"/>
      </w:tcPr>
    </w:tblStylePr>
  </w:style>
  <w:style w:type="table" w:customStyle="1" w:styleId="aff1">
    <w:basedOn w:val="TableNormal0"/>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 Type="http://schemas.openxmlformats.org/officeDocument/2006/relationships/numbering" Target="numbering.xml"/><Relationship Id="rId21" Type="http://schemas.openxmlformats.org/officeDocument/2006/relationships/image" Target="media/image13.png"/><Relationship Id="rId34" Type="http://schemas.openxmlformats.org/officeDocument/2006/relationships/footer" Target="footer2.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footer" Target="footer1.xm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image" Target="media/image21.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header" Target="header2.xml"/><Relationship Id="rId37"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footer" Target="footer3.xml"/><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2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QYyoOI5Bn/yA0WtCvFcMllUuNvQ==">AMUW2mXGBsmCILGhnywqvMC9IoRLJ39tRu4RTvuVRuQgi3bBp7yuk2FIkz+oL4PUhM0WK4wr0s84KefshjLc3cT1jnhEu2sGX306MpQeB+JiO0HK6nj6FZVHSjOSwr/z4wJDgCvV2jMXwEb1cIu0YDTCzx0JMM4DLYY7oUwjXfeK2NUsu6Fbb2M=</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A54C3D6A-402F-4C63-A42B-3CE9BCDCB1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26</Pages>
  <Words>8278</Words>
  <Characters>45533</Characters>
  <Application>Microsoft Office Word</Application>
  <DocSecurity>0</DocSecurity>
  <Lines>379</Lines>
  <Paragraphs>107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53704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Auxiliar Juridico</dc:creator>
  <cp:lastModifiedBy>Secretario Gral</cp:lastModifiedBy>
  <cp:revision>2</cp:revision>
  <cp:lastPrinted>2022-08-16T16:27:00Z</cp:lastPrinted>
  <dcterms:created xsi:type="dcterms:W3CDTF">2022-08-21T18:43:00Z</dcterms:created>
  <dcterms:modified xsi:type="dcterms:W3CDTF">2022-08-21T18:43:00Z</dcterms:modified>
</cp:coreProperties>
</file>