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AA2A3" w14:textId="77777777" w:rsidR="00C300AB" w:rsidRDefault="00E27DA4">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688E1224" w14:textId="77777777" w:rsidR="00C300AB" w:rsidRDefault="00C300AB">
      <w:pPr>
        <w:pBdr>
          <w:top w:val="nil"/>
          <w:left w:val="nil"/>
          <w:bottom w:val="nil"/>
          <w:right w:val="nil"/>
          <w:between w:val="nil"/>
        </w:pBdr>
        <w:ind w:left="3828"/>
        <w:rPr>
          <w:rFonts w:ascii="Arial" w:eastAsia="Arial" w:hAnsi="Arial" w:cs="Arial"/>
          <w:color w:val="000000"/>
          <w:sz w:val="14"/>
          <w:szCs w:val="14"/>
        </w:rPr>
      </w:pPr>
    </w:p>
    <w:p w14:paraId="2D5AE17F" w14:textId="77777777" w:rsidR="00C300AB" w:rsidRDefault="00E27DA4">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TEEA-PES-074/2022.</w:t>
      </w:r>
      <w:r>
        <w:rPr>
          <w:rFonts w:ascii="Arial" w:eastAsia="Arial" w:hAnsi="Arial" w:cs="Arial"/>
          <w:b/>
          <w:sz w:val="24"/>
          <w:szCs w:val="24"/>
        </w:rPr>
        <w:t xml:space="preserve"> </w:t>
      </w:r>
    </w:p>
    <w:p w14:paraId="128986A1" w14:textId="77777777" w:rsidR="00C300AB" w:rsidRDefault="00C300AB">
      <w:pPr>
        <w:ind w:left="3828" w:right="36"/>
        <w:jc w:val="both"/>
        <w:rPr>
          <w:rFonts w:ascii="Arial" w:eastAsia="Arial" w:hAnsi="Arial" w:cs="Arial"/>
          <w:b/>
          <w:sz w:val="14"/>
          <w:szCs w:val="14"/>
        </w:rPr>
      </w:pPr>
    </w:p>
    <w:p w14:paraId="40FE7886" w14:textId="77777777" w:rsidR="00C300AB" w:rsidRDefault="00E27DA4">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PAN.</w:t>
      </w:r>
    </w:p>
    <w:p w14:paraId="7D6282B2" w14:textId="77777777" w:rsidR="00C300AB" w:rsidRDefault="00C300AB">
      <w:pPr>
        <w:ind w:left="3828" w:right="36"/>
        <w:jc w:val="both"/>
        <w:rPr>
          <w:rFonts w:ascii="Arial" w:eastAsia="Arial" w:hAnsi="Arial" w:cs="Arial"/>
          <w:sz w:val="14"/>
          <w:szCs w:val="14"/>
        </w:rPr>
      </w:pPr>
    </w:p>
    <w:p w14:paraId="473CD495" w14:textId="77777777" w:rsidR="00C300AB" w:rsidRDefault="00E27DA4">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NORA RUVALCABA GÁMEZ, ENTONCES CANDIDATA DE MORENA A LA GUBERNATURA DEL ESTADO Y OTROS.</w:t>
      </w:r>
    </w:p>
    <w:p w14:paraId="03B443F4" w14:textId="77777777" w:rsidR="00C300AB" w:rsidRDefault="00C300AB">
      <w:pPr>
        <w:pBdr>
          <w:top w:val="nil"/>
          <w:left w:val="nil"/>
          <w:bottom w:val="nil"/>
          <w:right w:val="nil"/>
          <w:between w:val="nil"/>
        </w:pBdr>
        <w:ind w:left="3828"/>
        <w:rPr>
          <w:rFonts w:ascii="Arial" w:eastAsia="Arial" w:hAnsi="Arial" w:cs="Arial"/>
          <w:color w:val="000000"/>
          <w:sz w:val="14"/>
          <w:szCs w:val="14"/>
        </w:rPr>
      </w:pPr>
    </w:p>
    <w:p w14:paraId="359FA9BA" w14:textId="77777777" w:rsidR="00C300AB" w:rsidRDefault="00E27DA4">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493F265A" w14:textId="77777777" w:rsidR="00C300AB" w:rsidRDefault="00C300AB">
      <w:pPr>
        <w:pBdr>
          <w:top w:val="nil"/>
          <w:left w:val="nil"/>
          <w:bottom w:val="nil"/>
          <w:right w:val="nil"/>
          <w:between w:val="nil"/>
        </w:pBdr>
        <w:ind w:left="3828"/>
        <w:rPr>
          <w:rFonts w:ascii="Arial" w:eastAsia="Arial" w:hAnsi="Arial" w:cs="Arial"/>
          <w:color w:val="000000"/>
          <w:sz w:val="14"/>
          <w:szCs w:val="14"/>
        </w:rPr>
      </w:pPr>
    </w:p>
    <w:p w14:paraId="16AF261C" w14:textId="77777777" w:rsidR="00C300AB" w:rsidRDefault="00E27DA4">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855CAB9" w14:textId="77777777" w:rsidR="00C300AB" w:rsidRDefault="00C300AB">
      <w:pPr>
        <w:ind w:left="3828" w:right="36"/>
        <w:jc w:val="both"/>
        <w:rPr>
          <w:rFonts w:ascii="Arial" w:eastAsia="Arial" w:hAnsi="Arial" w:cs="Arial"/>
          <w:sz w:val="14"/>
          <w:szCs w:val="14"/>
        </w:rPr>
      </w:pPr>
    </w:p>
    <w:p w14:paraId="6E4F1124" w14:textId="77777777" w:rsidR="00C300AB" w:rsidRDefault="00E27DA4">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6A518E88" w14:textId="77777777" w:rsidR="00C300AB" w:rsidRDefault="00C300AB">
      <w:pPr>
        <w:pBdr>
          <w:top w:val="nil"/>
          <w:left w:val="nil"/>
          <w:bottom w:val="nil"/>
          <w:right w:val="nil"/>
          <w:between w:val="nil"/>
        </w:pBdr>
        <w:rPr>
          <w:color w:val="000000"/>
        </w:rPr>
      </w:pPr>
    </w:p>
    <w:p w14:paraId="55D5EC5E" w14:textId="2830CB66" w:rsidR="00C300AB" w:rsidRDefault="00E27DA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707F06">
        <w:rPr>
          <w:rFonts w:ascii="Arial" w:eastAsia="Arial" w:hAnsi="Arial" w:cs="Arial"/>
          <w:sz w:val="24"/>
          <w:szCs w:val="24"/>
        </w:rPr>
        <w:t>30</w:t>
      </w:r>
      <w:r>
        <w:rPr>
          <w:rFonts w:ascii="Arial" w:eastAsia="Arial" w:hAnsi="Arial" w:cs="Arial"/>
          <w:sz w:val="24"/>
          <w:szCs w:val="24"/>
        </w:rPr>
        <w:t xml:space="preserve"> </w:t>
      </w:r>
      <w:r>
        <w:rPr>
          <w:rFonts w:ascii="Arial" w:eastAsia="Arial" w:hAnsi="Arial" w:cs="Arial"/>
          <w:color w:val="000000"/>
          <w:sz w:val="24"/>
          <w:szCs w:val="24"/>
        </w:rPr>
        <w:t>de junio de 2022</w:t>
      </w:r>
      <w:r>
        <w:rPr>
          <w:rFonts w:ascii="Arial" w:eastAsia="Arial" w:hAnsi="Arial" w:cs="Arial"/>
          <w:sz w:val="24"/>
          <w:szCs w:val="24"/>
        </w:rPr>
        <w:t>.</w:t>
      </w:r>
    </w:p>
    <w:p w14:paraId="0AD9C0BF" w14:textId="77777777" w:rsidR="00C300AB" w:rsidRDefault="00C300AB">
      <w:pPr>
        <w:pBdr>
          <w:top w:val="nil"/>
          <w:left w:val="nil"/>
          <w:bottom w:val="nil"/>
          <w:right w:val="nil"/>
          <w:between w:val="nil"/>
        </w:pBdr>
        <w:rPr>
          <w:color w:val="000000"/>
        </w:rPr>
      </w:pPr>
    </w:p>
    <w:p w14:paraId="5EC416C2" w14:textId="77777777" w:rsidR="00C300AB" w:rsidRDefault="00E27DA4">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Nora Ruvalcaba Gámez, al ciudadano Aldo Emmanuel Ruiz Sánchez, y a la Diputada de la LXV Legislatura del Congreso, Ana Laura Gómez Calzada, consistente en la vulneración a los principios de equidad e imparcialidad en la contienda, derivado de su aparición en una serie de fotografías que promovieron la candidatura de la entonces contendiente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Morena.</w:t>
      </w:r>
    </w:p>
    <w:p w14:paraId="23A9F33C" w14:textId="77777777" w:rsidR="00C300AB" w:rsidRDefault="00C300AB">
      <w:pPr>
        <w:pBdr>
          <w:top w:val="nil"/>
          <w:left w:val="nil"/>
          <w:bottom w:val="nil"/>
          <w:right w:val="nil"/>
          <w:between w:val="nil"/>
        </w:pBdr>
        <w:rPr>
          <w:color w:val="000000"/>
        </w:rPr>
      </w:pPr>
    </w:p>
    <w:p w14:paraId="49E507B5"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Tribunal Electoral considera</w:t>
      </w:r>
      <w:r>
        <w:rPr>
          <w:rFonts w:ascii="Arial" w:eastAsia="Arial" w:hAnsi="Arial" w:cs="Arial"/>
          <w:sz w:val="24"/>
          <w:szCs w:val="24"/>
        </w:rPr>
        <w:t xml:space="preserve"> que, </w:t>
      </w:r>
      <w:r>
        <w:rPr>
          <w:rFonts w:ascii="Arial" w:eastAsia="Arial" w:hAnsi="Arial" w:cs="Arial"/>
          <w:color w:val="000000"/>
          <w:sz w:val="24"/>
          <w:szCs w:val="24"/>
        </w:rPr>
        <w:t>del análisis de los hechos denunciados y del material probatorio que obra en el expediente</w:t>
      </w:r>
      <w:r>
        <w:rPr>
          <w:rFonts w:ascii="Arial" w:eastAsia="Arial" w:hAnsi="Arial" w:cs="Arial"/>
          <w:sz w:val="24"/>
          <w:szCs w:val="24"/>
        </w:rPr>
        <w:t xml:space="preserve">, se advierte </w:t>
      </w:r>
      <w:r>
        <w:rPr>
          <w:rFonts w:ascii="Arial" w:eastAsia="Arial" w:hAnsi="Arial" w:cs="Arial"/>
          <w:color w:val="000000"/>
          <w:sz w:val="24"/>
          <w:szCs w:val="24"/>
        </w:rPr>
        <w:t xml:space="preserve">que: </w:t>
      </w:r>
      <w:r>
        <w:rPr>
          <w:rFonts w:ascii="Arial" w:eastAsia="Arial" w:hAnsi="Arial" w:cs="Arial"/>
          <w:b/>
          <w:i/>
          <w:color w:val="000000"/>
          <w:sz w:val="24"/>
          <w:szCs w:val="24"/>
        </w:rPr>
        <w:t>i)</w:t>
      </w:r>
      <w:r>
        <w:rPr>
          <w:rFonts w:ascii="Arial" w:eastAsia="Arial" w:hAnsi="Arial" w:cs="Arial"/>
          <w:color w:val="000000"/>
          <w:sz w:val="24"/>
          <w:szCs w:val="24"/>
        </w:rPr>
        <w:t xml:space="preserve"> el s</w:t>
      </w:r>
      <w:r>
        <w:rPr>
          <w:rFonts w:ascii="Arial" w:eastAsia="Arial" w:hAnsi="Arial" w:cs="Arial"/>
          <w:sz w:val="24"/>
          <w:szCs w:val="24"/>
        </w:rPr>
        <w:t>o</w:t>
      </w:r>
      <w:r>
        <w:rPr>
          <w:rFonts w:ascii="Arial" w:eastAsia="Arial" w:hAnsi="Arial" w:cs="Arial"/>
          <w:color w:val="000000"/>
          <w:sz w:val="24"/>
          <w:szCs w:val="24"/>
        </w:rPr>
        <w:t xml:space="preserve">lo hecho de que la diputada cuestionada aparezca en fotografías con la entonces candidata Nora Ruvalcaba Gámez, no implica que se esté en presencia de una vulneración al principio alegado y,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w:t>
      </w:r>
      <w:r>
        <w:rPr>
          <w:rFonts w:ascii="Arial" w:eastAsia="Arial" w:hAnsi="Arial" w:cs="Arial"/>
          <w:sz w:val="24"/>
          <w:szCs w:val="24"/>
        </w:rPr>
        <w:t>no se logró comprobar que el denunciado Aldo Emmanuel Ruiz Sánchez, fungiera como funcionario público, ya que si bien se le denunció en su calidad de Delegado Estatal de Programas para el Desarrollo en el Estado de Aguascalientes, lo cierto es que tal carácter concluyó el 27 de agosto de 2021; por tanto</w:t>
      </w:r>
      <w:r>
        <w:rPr>
          <w:rFonts w:ascii="Arial" w:eastAsia="Arial" w:hAnsi="Arial" w:cs="Arial"/>
          <w:color w:val="000000"/>
          <w:sz w:val="24"/>
          <w:szCs w:val="24"/>
        </w:rPr>
        <w:t xml:space="preserve">, se estima que este órgano jurisdiccional no cuenta con elementos probatorios suficientes que adminiculados entre sí, permitan advertir alguna vulneración al artículo 134 </w:t>
      </w:r>
      <w:r>
        <w:rPr>
          <w:rFonts w:ascii="Arial" w:eastAsia="Arial" w:hAnsi="Arial" w:cs="Arial"/>
          <w:sz w:val="24"/>
          <w:szCs w:val="24"/>
        </w:rPr>
        <w:t>c</w:t>
      </w:r>
      <w:r>
        <w:rPr>
          <w:rFonts w:ascii="Arial" w:eastAsia="Arial" w:hAnsi="Arial" w:cs="Arial"/>
          <w:color w:val="000000"/>
          <w:sz w:val="24"/>
          <w:szCs w:val="24"/>
        </w:rPr>
        <w:t xml:space="preserve">onstitucional. </w:t>
      </w:r>
    </w:p>
    <w:p w14:paraId="72658C75"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 </w:t>
      </w:r>
    </w:p>
    <w:p w14:paraId="3CCA5F50" w14:textId="77777777" w:rsidR="00C300AB" w:rsidRPr="00957EB1" w:rsidRDefault="00E27DA4">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sidRPr="00957EB1">
        <w:rPr>
          <w:rFonts w:ascii="Arial" w:eastAsia="Arial" w:hAnsi="Arial" w:cs="Arial"/>
          <w:b/>
          <w:color w:val="000000"/>
          <w:sz w:val="16"/>
          <w:szCs w:val="16"/>
        </w:rPr>
        <w:t>Índice</w:t>
      </w:r>
    </w:p>
    <w:p w14:paraId="3AB74ED0" w14:textId="4E4F7083" w:rsidR="00C300AB" w:rsidRPr="00957EB1" w:rsidRDefault="00E27DA4">
      <w:pPr>
        <w:tabs>
          <w:tab w:val="left" w:pos="3402"/>
        </w:tabs>
        <w:ind w:left="1488" w:right="-518"/>
        <w:rPr>
          <w:rFonts w:ascii="Arial" w:eastAsia="Arial" w:hAnsi="Arial" w:cs="Arial"/>
          <w:b/>
          <w:bCs/>
          <w:sz w:val="16"/>
          <w:szCs w:val="16"/>
        </w:rPr>
      </w:pPr>
      <w:r w:rsidRPr="00957EB1">
        <w:rPr>
          <w:rFonts w:ascii="Arial" w:eastAsia="Arial" w:hAnsi="Arial" w:cs="Arial"/>
          <w:b/>
          <w:bCs/>
          <w:sz w:val="16"/>
          <w:szCs w:val="16"/>
        </w:rPr>
        <w:t>Antecedentes del caso …………………………………………………………………………...</w:t>
      </w:r>
      <w:r w:rsidR="00957EB1" w:rsidRPr="00957EB1">
        <w:rPr>
          <w:rFonts w:ascii="Arial" w:eastAsia="Arial" w:hAnsi="Arial" w:cs="Arial"/>
          <w:b/>
          <w:bCs/>
          <w:sz w:val="16"/>
          <w:szCs w:val="16"/>
        </w:rPr>
        <w:t>........</w:t>
      </w:r>
      <w:r w:rsidR="00957EB1" w:rsidRPr="00957EB1">
        <w:rPr>
          <w:rFonts w:ascii="Arial" w:eastAsia="Arial" w:hAnsi="Arial" w:cs="Arial"/>
          <w:b/>
          <w:bCs/>
          <w:sz w:val="10"/>
          <w:szCs w:val="10"/>
        </w:rPr>
        <w:t>.</w:t>
      </w:r>
      <w:r w:rsidRPr="00957EB1">
        <w:rPr>
          <w:rFonts w:ascii="Arial" w:eastAsia="Arial" w:hAnsi="Arial" w:cs="Arial"/>
          <w:b/>
          <w:bCs/>
          <w:sz w:val="16"/>
          <w:szCs w:val="16"/>
        </w:rPr>
        <w:t>2</w:t>
      </w:r>
    </w:p>
    <w:p w14:paraId="255757BB" w14:textId="134D28EB" w:rsidR="00C300AB" w:rsidRPr="00957EB1" w:rsidRDefault="00E27DA4">
      <w:pPr>
        <w:tabs>
          <w:tab w:val="left" w:pos="3402"/>
        </w:tabs>
        <w:ind w:left="1488" w:right="-518"/>
        <w:rPr>
          <w:rFonts w:ascii="Arial" w:eastAsia="Arial" w:hAnsi="Arial" w:cs="Arial"/>
          <w:b/>
          <w:bCs/>
          <w:sz w:val="16"/>
          <w:szCs w:val="16"/>
        </w:rPr>
      </w:pPr>
      <w:r w:rsidRPr="00957EB1">
        <w:rPr>
          <w:rFonts w:ascii="Arial" w:eastAsia="Arial" w:hAnsi="Arial" w:cs="Arial"/>
          <w:b/>
          <w:bCs/>
          <w:sz w:val="16"/>
          <w:szCs w:val="16"/>
        </w:rPr>
        <w:t>Competencia ……………………………………………………………………………………</w:t>
      </w:r>
      <w:r w:rsidR="00957EB1" w:rsidRPr="00957EB1">
        <w:rPr>
          <w:rFonts w:ascii="Arial" w:eastAsia="Arial" w:hAnsi="Arial" w:cs="Arial"/>
          <w:b/>
          <w:bCs/>
          <w:sz w:val="16"/>
          <w:szCs w:val="16"/>
        </w:rPr>
        <w:t>..........</w:t>
      </w:r>
      <w:r w:rsidRPr="00957EB1">
        <w:rPr>
          <w:rFonts w:ascii="Arial" w:eastAsia="Arial" w:hAnsi="Arial" w:cs="Arial"/>
          <w:b/>
          <w:bCs/>
          <w:sz w:val="16"/>
          <w:szCs w:val="16"/>
        </w:rPr>
        <w:t>…2</w:t>
      </w:r>
    </w:p>
    <w:p w14:paraId="22CD766E" w14:textId="589C38FD" w:rsidR="00C300AB" w:rsidRPr="00957EB1" w:rsidRDefault="00E27DA4">
      <w:pPr>
        <w:tabs>
          <w:tab w:val="left" w:pos="3402"/>
        </w:tabs>
        <w:ind w:left="1488" w:right="-518"/>
        <w:rPr>
          <w:rFonts w:ascii="Arial" w:eastAsia="Arial" w:hAnsi="Arial" w:cs="Arial"/>
          <w:b/>
          <w:bCs/>
          <w:sz w:val="16"/>
          <w:szCs w:val="16"/>
        </w:rPr>
      </w:pPr>
      <w:r w:rsidRPr="00957EB1">
        <w:rPr>
          <w:rFonts w:ascii="Arial" w:eastAsia="Arial" w:hAnsi="Arial" w:cs="Arial"/>
          <w:b/>
          <w:bCs/>
          <w:sz w:val="16"/>
          <w:szCs w:val="16"/>
        </w:rPr>
        <w:t>Personería ………………………………………………………………………………………</w:t>
      </w:r>
      <w:proofErr w:type="gramStart"/>
      <w:r w:rsidR="00957EB1" w:rsidRPr="00957EB1">
        <w:rPr>
          <w:rFonts w:ascii="Arial" w:eastAsia="Arial" w:hAnsi="Arial" w:cs="Arial"/>
          <w:b/>
          <w:bCs/>
          <w:sz w:val="16"/>
          <w:szCs w:val="16"/>
        </w:rPr>
        <w:t>.........</w:t>
      </w:r>
      <w:r w:rsidRPr="00957EB1">
        <w:rPr>
          <w:rFonts w:ascii="Arial" w:eastAsia="Arial" w:hAnsi="Arial" w:cs="Arial"/>
          <w:b/>
          <w:bCs/>
          <w:sz w:val="16"/>
          <w:szCs w:val="16"/>
        </w:rPr>
        <w:t>…</w:t>
      </w:r>
      <w:r w:rsidR="00957EB1" w:rsidRPr="00957EB1">
        <w:rPr>
          <w:rFonts w:ascii="Arial" w:eastAsia="Arial" w:hAnsi="Arial" w:cs="Arial"/>
          <w:b/>
          <w:bCs/>
          <w:sz w:val="16"/>
          <w:szCs w:val="16"/>
        </w:rPr>
        <w:t>.</w:t>
      </w:r>
      <w:proofErr w:type="gramEnd"/>
      <w:r w:rsidR="00957EB1" w:rsidRPr="00957EB1">
        <w:rPr>
          <w:rFonts w:ascii="Arial" w:eastAsia="Arial" w:hAnsi="Arial" w:cs="Arial"/>
          <w:b/>
          <w:bCs/>
          <w:sz w:val="6"/>
          <w:szCs w:val="6"/>
        </w:rPr>
        <w:t>.</w:t>
      </w:r>
      <w:r w:rsidRPr="00957EB1">
        <w:rPr>
          <w:rFonts w:ascii="Arial" w:eastAsia="Arial" w:hAnsi="Arial" w:cs="Arial"/>
          <w:b/>
          <w:bCs/>
          <w:sz w:val="16"/>
          <w:szCs w:val="16"/>
        </w:rPr>
        <w:t>2</w:t>
      </w:r>
    </w:p>
    <w:p w14:paraId="3F45171A" w14:textId="26969A5D" w:rsidR="00C300AB" w:rsidRPr="00957EB1" w:rsidRDefault="00E27DA4">
      <w:pPr>
        <w:tabs>
          <w:tab w:val="left" w:pos="3402"/>
        </w:tabs>
        <w:ind w:left="1488" w:right="-518"/>
        <w:rPr>
          <w:rFonts w:ascii="Arial" w:eastAsia="Arial" w:hAnsi="Arial" w:cs="Arial"/>
          <w:b/>
          <w:bCs/>
          <w:sz w:val="16"/>
          <w:szCs w:val="16"/>
        </w:rPr>
      </w:pPr>
      <w:r w:rsidRPr="00957EB1">
        <w:rPr>
          <w:rFonts w:ascii="Arial" w:eastAsia="Arial" w:hAnsi="Arial" w:cs="Arial"/>
          <w:b/>
          <w:bCs/>
          <w:sz w:val="16"/>
          <w:szCs w:val="16"/>
        </w:rPr>
        <w:t>Estudio de fondo……………………………………………………………………………….</w:t>
      </w:r>
      <w:r w:rsidR="00957EB1" w:rsidRPr="00957EB1">
        <w:rPr>
          <w:rFonts w:ascii="Arial" w:eastAsia="Arial" w:hAnsi="Arial" w:cs="Arial"/>
          <w:b/>
          <w:bCs/>
          <w:sz w:val="16"/>
          <w:szCs w:val="16"/>
        </w:rPr>
        <w:t>...</w:t>
      </w:r>
      <w:r w:rsidRPr="00957EB1">
        <w:rPr>
          <w:rFonts w:ascii="Arial" w:eastAsia="Arial" w:hAnsi="Arial" w:cs="Arial"/>
          <w:b/>
          <w:bCs/>
          <w:sz w:val="16"/>
          <w:szCs w:val="16"/>
        </w:rPr>
        <w:t>.</w:t>
      </w:r>
      <w:r w:rsidR="00957EB1" w:rsidRPr="00957EB1">
        <w:rPr>
          <w:rFonts w:ascii="Arial" w:eastAsia="Arial" w:hAnsi="Arial" w:cs="Arial"/>
          <w:b/>
          <w:bCs/>
          <w:sz w:val="16"/>
          <w:szCs w:val="16"/>
        </w:rPr>
        <w:t>......</w:t>
      </w:r>
      <w:r w:rsidRPr="00957EB1">
        <w:rPr>
          <w:rFonts w:ascii="Arial" w:eastAsia="Arial" w:hAnsi="Arial" w:cs="Arial"/>
          <w:b/>
          <w:bCs/>
          <w:sz w:val="16"/>
          <w:szCs w:val="16"/>
        </w:rPr>
        <w:t>....3</w:t>
      </w:r>
    </w:p>
    <w:p w14:paraId="589422AD" w14:textId="17AFC0FF" w:rsidR="00C300AB" w:rsidRPr="00957EB1" w:rsidRDefault="00E27DA4">
      <w:pPr>
        <w:tabs>
          <w:tab w:val="left" w:pos="3402"/>
        </w:tabs>
        <w:ind w:left="1488" w:right="-518"/>
        <w:rPr>
          <w:rFonts w:ascii="Arial" w:eastAsia="Arial" w:hAnsi="Arial" w:cs="Arial"/>
          <w:b/>
          <w:bCs/>
          <w:sz w:val="16"/>
          <w:szCs w:val="16"/>
        </w:rPr>
      </w:pPr>
      <w:r w:rsidRPr="00957EB1">
        <w:rPr>
          <w:rFonts w:ascii="Arial" w:eastAsia="Arial" w:hAnsi="Arial" w:cs="Arial"/>
          <w:b/>
          <w:bCs/>
          <w:sz w:val="16"/>
          <w:szCs w:val="16"/>
        </w:rPr>
        <w:t>Análisis de fondo ……………………………………………………………………………</w:t>
      </w:r>
      <w:r w:rsidR="00957EB1" w:rsidRPr="00957EB1">
        <w:rPr>
          <w:rFonts w:ascii="Arial" w:eastAsia="Arial" w:hAnsi="Arial" w:cs="Arial"/>
          <w:b/>
          <w:bCs/>
          <w:sz w:val="16"/>
          <w:szCs w:val="16"/>
        </w:rPr>
        <w:t>...</w:t>
      </w:r>
      <w:r w:rsidRPr="00957EB1">
        <w:rPr>
          <w:rFonts w:ascii="Arial" w:eastAsia="Arial" w:hAnsi="Arial" w:cs="Arial"/>
          <w:b/>
          <w:bCs/>
          <w:sz w:val="16"/>
          <w:szCs w:val="16"/>
        </w:rPr>
        <w:t>…</w:t>
      </w:r>
      <w:proofErr w:type="gramStart"/>
      <w:r w:rsidR="00957EB1" w:rsidRPr="00957EB1">
        <w:rPr>
          <w:rFonts w:ascii="Arial" w:eastAsia="Arial" w:hAnsi="Arial" w:cs="Arial"/>
          <w:b/>
          <w:bCs/>
          <w:sz w:val="16"/>
          <w:szCs w:val="16"/>
        </w:rPr>
        <w:t>......</w:t>
      </w:r>
      <w:r w:rsidRPr="00957EB1">
        <w:rPr>
          <w:rFonts w:ascii="Arial" w:eastAsia="Arial" w:hAnsi="Arial" w:cs="Arial"/>
          <w:b/>
          <w:bCs/>
          <w:sz w:val="16"/>
          <w:szCs w:val="16"/>
        </w:rPr>
        <w:t>…</w:t>
      </w:r>
      <w:r w:rsidRPr="00957EB1">
        <w:rPr>
          <w:rFonts w:ascii="Arial" w:eastAsia="Arial" w:hAnsi="Arial" w:cs="Arial"/>
          <w:b/>
          <w:bCs/>
          <w:sz w:val="10"/>
          <w:szCs w:val="10"/>
        </w:rPr>
        <w:t>.</w:t>
      </w:r>
      <w:proofErr w:type="gramEnd"/>
      <w:r w:rsidRPr="00957EB1">
        <w:rPr>
          <w:rFonts w:ascii="Arial" w:eastAsia="Arial" w:hAnsi="Arial" w:cs="Arial"/>
          <w:b/>
          <w:bCs/>
          <w:sz w:val="16"/>
          <w:szCs w:val="16"/>
        </w:rPr>
        <w:t>5</w:t>
      </w:r>
    </w:p>
    <w:p w14:paraId="01CA68F3" w14:textId="3BA43281" w:rsidR="00C300AB" w:rsidRPr="00957EB1" w:rsidRDefault="00E27DA4">
      <w:pPr>
        <w:tabs>
          <w:tab w:val="left" w:pos="3402"/>
          <w:tab w:val="right" w:pos="8263"/>
        </w:tabs>
        <w:ind w:left="1488" w:right="-518"/>
        <w:rPr>
          <w:rFonts w:ascii="Arial" w:eastAsia="Arial" w:hAnsi="Arial" w:cs="Arial"/>
          <w:b/>
          <w:bCs/>
          <w:sz w:val="16"/>
          <w:szCs w:val="16"/>
        </w:rPr>
      </w:pPr>
      <w:r w:rsidRPr="00957EB1">
        <w:rPr>
          <w:rFonts w:ascii="Arial" w:eastAsia="Arial" w:hAnsi="Arial" w:cs="Arial"/>
          <w:b/>
          <w:bCs/>
          <w:sz w:val="16"/>
          <w:szCs w:val="16"/>
        </w:rPr>
        <w:t>Resolutivo …………………………………………………………………………………</w:t>
      </w:r>
      <w:r w:rsidR="00957EB1" w:rsidRPr="00957EB1">
        <w:rPr>
          <w:rFonts w:ascii="Arial" w:eastAsia="Arial" w:hAnsi="Arial" w:cs="Arial"/>
          <w:b/>
          <w:bCs/>
          <w:sz w:val="16"/>
          <w:szCs w:val="16"/>
        </w:rPr>
        <w:t>...</w:t>
      </w:r>
      <w:r w:rsidRPr="00957EB1">
        <w:rPr>
          <w:rFonts w:ascii="Arial" w:eastAsia="Arial" w:hAnsi="Arial" w:cs="Arial"/>
          <w:b/>
          <w:bCs/>
          <w:sz w:val="16"/>
          <w:szCs w:val="16"/>
        </w:rPr>
        <w:t>……...</w:t>
      </w:r>
      <w:r w:rsidR="00957EB1" w:rsidRPr="00957EB1">
        <w:rPr>
          <w:rFonts w:ascii="Arial" w:eastAsia="Arial" w:hAnsi="Arial" w:cs="Arial"/>
          <w:b/>
          <w:bCs/>
          <w:sz w:val="16"/>
          <w:szCs w:val="16"/>
        </w:rPr>
        <w:t>......</w:t>
      </w:r>
      <w:r w:rsidRPr="00957EB1">
        <w:rPr>
          <w:rFonts w:ascii="Arial" w:eastAsia="Arial" w:hAnsi="Arial" w:cs="Arial"/>
          <w:b/>
          <w:bCs/>
          <w:sz w:val="16"/>
          <w:szCs w:val="16"/>
        </w:rPr>
        <w:t>16</w:t>
      </w:r>
    </w:p>
    <w:p w14:paraId="54E7D2D6" w14:textId="77777777" w:rsidR="00A714FF" w:rsidRDefault="00E27DA4">
      <w:pPr>
        <w:tabs>
          <w:tab w:val="left" w:pos="4320"/>
        </w:tabs>
        <w:spacing w:line="360" w:lineRule="auto"/>
        <w:ind w:right="2324"/>
        <w:rPr>
          <w:rFonts w:ascii="Arial" w:eastAsia="Arial" w:hAnsi="Arial" w:cs="Arial"/>
          <w:b/>
          <w:sz w:val="16"/>
          <w:szCs w:val="16"/>
        </w:rPr>
      </w:pPr>
      <w:r w:rsidRPr="00957EB1">
        <w:rPr>
          <w:rFonts w:ascii="Arial" w:eastAsia="Arial" w:hAnsi="Arial" w:cs="Arial"/>
          <w:b/>
          <w:sz w:val="16"/>
          <w:szCs w:val="16"/>
        </w:rPr>
        <w:t xml:space="preserve">                                                                                                   </w:t>
      </w:r>
    </w:p>
    <w:p w14:paraId="4D28DDBC" w14:textId="24C5D778" w:rsidR="00C300AB" w:rsidRDefault="00E27DA4" w:rsidP="00A714FF">
      <w:pPr>
        <w:tabs>
          <w:tab w:val="left" w:pos="4320"/>
        </w:tabs>
        <w:spacing w:line="360" w:lineRule="auto"/>
        <w:ind w:left="1985" w:right="2324"/>
        <w:jc w:val="center"/>
        <w:rPr>
          <w:rFonts w:ascii="Arial" w:eastAsia="Arial" w:hAnsi="Arial" w:cs="Arial"/>
          <w:b/>
          <w:sz w:val="16"/>
          <w:szCs w:val="16"/>
        </w:rPr>
      </w:pPr>
      <w:r w:rsidRPr="00957EB1">
        <w:rPr>
          <w:rFonts w:ascii="Arial" w:eastAsia="Arial" w:hAnsi="Arial" w:cs="Arial"/>
          <w:b/>
          <w:sz w:val="16"/>
          <w:szCs w:val="16"/>
        </w:rPr>
        <w:t>Glosario</w:t>
      </w:r>
    </w:p>
    <w:tbl>
      <w:tblPr>
        <w:tblStyle w:val="ad"/>
        <w:tblW w:w="6947" w:type="dxa"/>
        <w:jc w:val="center"/>
        <w:tblInd w:w="0" w:type="dxa"/>
        <w:tblLayout w:type="fixed"/>
        <w:tblLook w:val="0400" w:firstRow="0" w:lastRow="0" w:firstColumn="0" w:lastColumn="0" w:noHBand="0" w:noVBand="1"/>
      </w:tblPr>
      <w:tblGrid>
        <w:gridCol w:w="142"/>
        <w:gridCol w:w="1701"/>
        <w:gridCol w:w="142"/>
        <w:gridCol w:w="4962"/>
      </w:tblGrid>
      <w:tr w:rsidR="00C300AB" w14:paraId="20C57DDB" w14:textId="77777777" w:rsidTr="00957EB1">
        <w:trPr>
          <w:trHeight w:val="578"/>
          <w:jc w:val="center"/>
        </w:trPr>
        <w:tc>
          <w:tcPr>
            <w:tcW w:w="1843" w:type="dxa"/>
            <w:gridSpan w:val="2"/>
          </w:tcPr>
          <w:p w14:paraId="33CF5CA0" w14:textId="77777777" w:rsidR="00C300AB" w:rsidRDefault="00E27DA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3521431D" w14:textId="77777777" w:rsidR="00C300AB" w:rsidRDefault="00E27DA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Denunciados: </w:t>
            </w:r>
          </w:p>
          <w:p w14:paraId="581872F8" w14:textId="77777777" w:rsidR="00C300AB" w:rsidRDefault="00C300AB">
            <w:pPr>
              <w:tabs>
                <w:tab w:val="left" w:pos="4320"/>
              </w:tabs>
              <w:spacing w:line="276" w:lineRule="auto"/>
              <w:jc w:val="both"/>
              <w:rPr>
                <w:rFonts w:ascii="Arial" w:eastAsia="Arial" w:hAnsi="Arial" w:cs="Arial"/>
                <w:b/>
                <w:sz w:val="16"/>
                <w:szCs w:val="16"/>
              </w:rPr>
            </w:pPr>
          </w:p>
          <w:p w14:paraId="3CFF8037" w14:textId="77777777" w:rsidR="00C300AB" w:rsidRDefault="00C300AB">
            <w:pPr>
              <w:tabs>
                <w:tab w:val="left" w:pos="4320"/>
              </w:tabs>
              <w:spacing w:line="276" w:lineRule="auto"/>
              <w:jc w:val="both"/>
              <w:rPr>
                <w:rFonts w:ascii="Arial" w:eastAsia="Arial" w:hAnsi="Arial" w:cs="Arial"/>
                <w:b/>
                <w:sz w:val="16"/>
                <w:szCs w:val="16"/>
              </w:rPr>
            </w:pPr>
          </w:p>
          <w:p w14:paraId="30E69BF1" w14:textId="77777777" w:rsidR="00C300AB" w:rsidRDefault="00C300AB">
            <w:pPr>
              <w:tabs>
                <w:tab w:val="left" w:pos="4320"/>
              </w:tabs>
              <w:spacing w:line="276" w:lineRule="auto"/>
              <w:jc w:val="both"/>
              <w:rPr>
                <w:rFonts w:ascii="Arial" w:eastAsia="Arial" w:hAnsi="Arial" w:cs="Arial"/>
                <w:b/>
                <w:sz w:val="16"/>
                <w:szCs w:val="16"/>
              </w:rPr>
            </w:pPr>
          </w:p>
        </w:tc>
        <w:tc>
          <w:tcPr>
            <w:tcW w:w="5104" w:type="dxa"/>
            <w:gridSpan w:val="2"/>
          </w:tcPr>
          <w:p w14:paraId="19F93DDA" w14:textId="77777777" w:rsidR="00C300AB" w:rsidRDefault="00E27DA4">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lastRenderedPageBreak/>
              <w:t>Partido Acción Nacional.</w:t>
            </w:r>
          </w:p>
          <w:p w14:paraId="09C68ABF" w14:textId="77777777" w:rsidR="00C300AB" w:rsidRDefault="00E27DA4">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Nora Ruvalcaba Gámez, entonces candidata de Morena a la gubernatura del estado, el propio instituto político, así como a Aldo Emmanuel Ruiz Sánchez y Ana Laura Calzada Gómez.</w:t>
            </w:r>
          </w:p>
        </w:tc>
      </w:tr>
      <w:tr w:rsidR="00C300AB" w14:paraId="3120CE74" w14:textId="77777777" w:rsidTr="00957EB1">
        <w:trPr>
          <w:gridBefore w:val="1"/>
          <w:wBefore w:w="142" w:type="dxa"/>
          <w:trHeight w:val="129"/>
          <w:jc w:val="center"/>
        </w:trPr>
        <w:tc>
          <w:tcPr>
            <w:tcW w:w="1843" w:type="dxa"/>
            <w:gridSpan w:val="2"/>
          </w:tcPr>
          <w:p w14:paraId="537A0470" w14:textId="77777777" w:rsidR="00C300AB" w:rsidRDefault="00E27DA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0B091A47" w14:textId="77777777" w:rsidR="00C300AB" w:rsidRDefault="00E27DA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Congreso Local:</w:t>
            </w:r>
          </w:p>
        </w:tc>
        <w:tc>
          <w:tcPr>
            <w:tcW w:w="4962" w:type="dxa"/>
          </w:tcPr>
          <w:p w14:paraId="7741C43F" w14:textId="77777777" w:rsidR="00C300AB" w:rsidRDefault="00E27DA4">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Código Electoral del Estado de Aguascalientes Consejo. </w:t>
            </w:r>
          </w:p>
          <w:p w14:paraId="31129668" w14:textId="77777777" w:rsidR="00C300AB" w:rsidRDefault="00E27DA4">
            <w:pPr>
              <w:rPr>
                <w:rFonts w:ascii="Arial" w:eastAsia="Arial" w:hAnsi="Arial" w:cs="Arial"/>
                <w:sz w:val="16"/>
                <w:szCs w:val="16"/>
              </w:rPr>
            </w:pPr>
            <w:r>
              <w:rPr>
                <w:rFonts w:ascii="Arial" w:eastAsia="Arial" w:hAnsi="Arial" w:cs="Arial"/>
                <w:sz w:val="16"/>
                <w:szCs w:val="16"/>
              </w:rPr>
              <w:t xml:space="preserve">Congreso del Estado de Aguascalientes. </w:t>
            </w:r>
          </w:p>
        </w:tc>
      </w:tr>
      <w:tr w:rsidR="00C300AB" w14:paraId="7780C35A" w14:textId="77777777" w:rsidTr="00957EB1">
        <w:trPr>
          <w:gridBefore w:val="1"/>
          <w:wBefore w:w="142" w:type="dxa"/>
          <w:trHeight w:val="184"/>
          <w:jc w:val="center"/>
        </w:trPr>
        <w:tc>
          <w:tcPr>
            <w:tcW w:w="1843" w:type="dxa"/>
            <w:gridSpan w:val="2"/>
          </w:tcPr>
          <w:p w14:paraId="529CF43B" w14:textId="77777777" w:rsidR="00C300AB" w:rsidRDefault="00E27DA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4962" w:type="dxa"/>
          </w:tcPr>
          <w:p w14:paraId="6A526F32" w14:textId="77777777" w:rsidR="00C300AB" w:rsidRDefault="00E27DA4">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General del Instituto Estatal Electoral.</w:t>
            </w:r>
          </w:p>
        </w:tc>
      </w:tr>
      <w:tr w:rsidR="00C300AB" w14:paraId="19104E68" w14:textId="77777777" w:rsidTr="00957EB1">
        <w:trPr>
          <w:gridBefore w:val="1"/>
          <w:wBefore w:w="142" w:type="dxa"/>
          <w:trHeight w:val="184"/>
          <w:jc w:val="center"/>
        </w:trPr>
        <w:tc>
          <w:tcPr>
            <w:tcW w:w="1843" w:type="dxa"/>
            <w:gridSpan w:val="2"/>
          </w:tcPr>
          <w:p w14:paraId="21D34D02" w14:textId="77777777" w:rsidR="00C300AB" w:rsidRDefault="00E27DA4">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423DFC33" w14:textId="77777777" w:rsidR="00C300AB" w:rsidRDefault="00E27DA4">
            <w:pPr>
              <w:spacing w:line="276" w:lineRule="auto"/>
              <w:jc w:val="both"/>
              <w:rPr>
                <w:rFonts w:ascii="Arial" w:eastAsia="Arial" w:hAnsi="Arial" w:cs="Arial"/>
                <w:b/>
                <w:sz w:val="16"/>
                <w:szCs w:val="16"/>
              </w:rPr>
            </w:pPr>
            <w:r>
              <w:rPr>
                <w:rFonts w:ascii="Arial" w:eastAsia="Arial" w:hAnsi="Arial" w:cs="Arial"/>
                <w:b/>
                <w:sz w:val="16"/>
                <w:szCs w:val="16"/>
              </w:rPr>
              <w:t>LEGIPE:</w:t>
            </w:r>
          </w:p>
          <w:p w14:paraId="5F010C63" w14:textId="77777777" w:rsidR="00C300AB" w:rsidRDefault="00E27DA4">
            <w:pPr>
              <w:spacing w:line="276" w:lineRule="auto"/>
              <w:jc w:val="both"/>
              <w:rPr>
                <w:rFonts w:ascii="Arial" w:eastAsia="Arial" w:hAnsi="Arial" w:cs="Arial"/>
                <w:b/>
                <w:sz w:val="16"/>
                <w:szCs w:val="16"/>
              </w:rPr>
            </w:pPr>
            <w:r>
              <w:rPr>
                <w:rFonts w:ascii="Arial" w:eastAsia="Arial" w:hAnsi="Arial" w:cs="Arial"/>
                <w:b/>
                <w:sz w:val="16"/>
                <w:szCs w:val="16"/>
              </w:rPr>
              <w:t>Morena:</w:t>
            </w:r>
          </w:p>
        </w:tc>
        <w:tc>
          <w:tcPr>
            <w:tcW w:w="4962" w:type="dxa"/>
          </w:tcPr>
          <w:p w14:paraId="46452654" w14:textId="77777777" w:rsidR="00C300AB" w:rsidRDefault="00E27DA4">
            <w:pPr>
              <w:spacing w:line="276" w:lineRule="auto"/>
              <w:ind w:right="-95"/>
              <w:jc w:val="both"/>
              <w:rPr>
                <w:rFonts w:ascii="Arial" w:eastAsia="Arial" w:hAnsi="Arial" w:cs="Arial"/>
                <w:sz w:val="16"/>
                <w:szCs w:val="16"/>
              </w:rPr>
            </w:pPr>
            <w:r>
              <w:rPr>
                <w:rFonts w:ascii="Arial" w:eastAsia="Arial" w:hAnsi="Arial" w:cs="Arial"/>
                <w:sz w:val="16"/>
                <w:szCs w:val="16"/>
              </w:rPr>
              <w:t>Instituto Estatal Electoral de Aguascalientes.</w:t>
            </w:r>
          </w:p>
          <w:p w14:paraId="65DC41B9" w14:textId="77777777" w:rsidR="00C300AB" w:rsidRDefault="00E27DA4">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4DD254E9" w14:textId="77777777" w:rsidR="00C300AB" w:rsidRDefault="00E27DA4">
            <w:pPr>
              <w:spacing w:line="276" w:lineRule="auto"/>
              <w:ind w:right="-95"/>
              <w:jc w:val="both"/>
              <w:rPr>
                <w:rFonts w:ascii="Arial" w:eastAsia="Arial" w:hAnsi="Arial" w:cs="Arial"/>
                <w:sz w:val="16"/>
                <w:szCs w:val="16"/>
              </w:rPr>
            </w:pPr>
            <w:r>
              <w:rPr>
                <w:rFonts w:ascii="Arial" w:eastAsia="Arial" w:hAnsi="Arial" w:cs="Arial"/>
                <w:sz w:val="16"/>
                <w:szCs w:val="16"/>
              </w:rPr>
              <w:t xml:space="preserve">Movimiento de Regeneración Nacional. </w:t>
            </w:r>
          </w:p>
        </w:tc>
      </w:tr>
      <w:tr w:rsidR="00C300AB" w14:paraId="1E80C56A" w14:textId="77777777" w:rsidTr="00957EB1">
        <w:trPr>
          <w:gridBefore w:val="1"/>
          <w:wBefore w:w="142" w:type="dxa"/>
          <w:trHeight w:val="184"/>
          <w:jc w:val="center"/>
        </w:trPr>
        <w:tc>
          <w:tcPr>
            <w:tcW w:w="1843" w:type="dxa"/>
            <w:gridSpan w:val="2"/>
          </w:tcPr>
          <w:p w14:paraId="219CA481" w14:textId="77777777" w:rsidR="00C300AB" w:rsidRDefault="00E27DA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p w14:paraId="115FAF99" w14:textId="77777777" w:rsidR="00C300AB" w:rsidRDefault="00C300AB">
            <w:pPr>
              <w:spacing w:line="276" w:lineRule="auto"/>
              <w:jc w:val="both"/>
              <w:rPr>
                <w:rFonts w:ascii="Arial" w:eastAsia="Arial" w:hAnsi="Arial" w:cs="Arial"/>
                <w:b/>
                <w:sz w:val="16"/>
                <w:szCs w:val="16"/>
              </w:rPr>
            </w:pPr>
          </w:p>
        </w:tc>
        <w:tc>
          <w:tcPr>
            <w:tcW w:w="4962" w:type="dxa"/>
          </w:tcPr>
          <w:p w14:paraId="1EE0460B" w14:textId="77777777" w:rsidR="00C300AB" w:rsidRDefault="00E27DA4">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1CEBD616" w14:textId="77777777" w:rsidR="00C300AB" w:rsidRDefault="00C300AB">
            <w:pPr>
              <w:spacing w:line="276" w:lineRule="auto"/>
              <w:ind w:right="-95"/>
              <w:jc w:val="both"/>
              <w:rPr>
                <w:rFonts w:ascii="Arial" w:eastAsia="Arial" w:hAnsi="Arial" w:cs="Arial"/>
                <w:sz w:val="16"/>
                <w:szCs w:val="16"/>
              </w:rPr>
            </w:pPr>
          </w:p>
        </w:tc>
      </w:tr>
    </w:tbl>
    <w:p w14:paraId="4D22288E" w14:textId="77777777" w:rsidR="00C300AB" w:rsidRDefault="00C300AB">
      <w:pPr>
        <w:pBdr>
          <w:top w:val="nil"/>
          <w:left w:val="nil"/>
          <w:bottom w:val="nil"/>
          <w:right w:val="nil"/>
          <w:between w:val="nil"/>
        </w:pBdr>
        <w:rPr>
          <w:color w:val="000000"/>
        </w:rPr>
      </w:pPr>
    </w:p>
    <w:p w14:paraId="327AC081" w14:textId="77777777" w:rsidR="00C300AB" w:rsidRDefault="00E27DA4">
      <w:pPr>
        <w:numPr>
          <w:ilvl w:val="0"/>
          <w:numId w:val="7"/>
        </w:numPr>
        <w:pBdr>
          <w:top w:val="nil"/>
          <w:left w:val="nil"/>
          <w:bottom w:val="nil"/>
          <w:right w:val="nil"/>
          <w:between w:val="nil"/>
        </w:pBdr>
        <w:tabs>
          <w:tab w:val="left" w:pos="284"/>
        </w:tabs>
        <w:spacing w:line="360" w:lineRule="auto"/>
        <w:ind w:left="425" w:right="36" w:hanging="425"/>
        <w:jc w:val="both"/>
        <w:rPr>
          <w:rFonts w:ascii="Arial" w:eastAsia="Arial" w:hAnsi="Arial" w:cs="Arial"/>
          <w:color w:val="000000"/>
          <w:sz w:val="24"/>
          <w:szCs w:val="24"/>
        </w:rPr>
      </w:pPr>
      <w:r>
        <w:rPr>
          <w:rFonts w:ascii="Arial" w:eastAsia="Arial" w:hAnsi="Arial" w:cs="Arial"/>
          <w:b/>
          <w:color w:val="000000"/>
          <w:sz w:val="24"/>
          <w:szCs w:val="24"/>
        </w:rPr>
        <w:t>Contexto del caso</w:t>
      </w:r>
      <w:r>
        <w:rPr>
          <w:rFonts w:ascii="Arial" w:eastAsia="Arial" w:hAnsi="Arial" w:cs="Arial"/>
          <w:b/>
          <w:color w:val="000000"/>
          <w:sz w:val="24"/>
          <w:szCs w:val="24"/>
          <w:vertAlign w:val="superscript"/>
        </w:rPr>
        <w:footnoteReference w:id="2"/>
      </w:r>
    </w:p>
    <w:p w14:paraId="2A37E470" w14:textId="77777777" w:rsidR="00C300AB" w:rsidRDefault="00C300AB">
      <w:pPr>
        <w:pBdr>
          <w:top w:val="nil"/>
          <w:left w:val="nil"/>
          <w:bottom w:val="nil"/>
          <w:right w:val="nil"/>
          <w:between w:val="nil"/>
        </w:pBdr>
        <w:rPr>
          <w:color w:val="000000"/>
        </w:rPr>
      </w:pPr>
    </w:p>
    <w:p w14:paraId="3D4372C8" w14:textId="77777777" w:rsidR="00C300AB" w:rsidRDefault="00E27DA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5F97312E" w14:textId="77777777" w:rsidR="00C300AB" w:rsidRDefault="00C300AB">
      <w:pPr>
        <w:pBdr>
          <w:top w:val="nil"/>
          <w:left w:val="nil"/>
          <w:bottom w:val="nil"/>
          <w:right w:val="nil"/>
          <w:between w:val="nil"/>
        </w:pBdr>
        <w:rPr>
          <w:color w:val="000000"/>
        </w:rPr>
      </w:pPr>
    </w:p>
    <w:p w14:paraId="46469956" w14:textId="77777777" w:rsidR="00C300AB" w:rsidRDefault="00E27DA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2. Denuncia. </w:t>
      </w:r>
      <w:r>
        <w:rPr>
          <w:rFonts w:ascii="Arial" w:eastAsia="Arial" w:hAnsi="Arial" w:cs="Arial"/>
          <w:sz w:val="24"/>
          <w:szCs w:val="24"/>
        </w:rPr>
        <w:t>El 5 de junio, e</w:t>
      </w:r>
      <w:r>
        <w:rPr>
          <w:rFonts w:ascii="Arial" w:eastAsia="Arial" w:hAnsi="Arial" w:cs="Arial"/>
          <w:color w:val="000000"/>
          <w:sz w:val="24"/>
          <w:szCs w:val="24"/>
        </w:rPr>
        <w:t xml:space="preserve">l PAN presentó dos quejas ante el Instituto Local, en contra de: </w:t>
      </w:r>
      <w:r>
        <w:rPr>
          <w:rFonts w:ascii="Arial" w:eastAsia="Arial" w:hAnsi="Arial" w:cs="Arial"/>
          <w:b/>
          <w:i/>
          <w:sz w:val="24"/>
          <w:szCs w:val="24"/>
        </w:rPr>
        <w:t>i)</w:t>
      </w:r>
      <w:r>
        <w:rPr>
          <w:rFonts w:ascii="Arial" w:eastAsia="Arial" w:hAnsi="Arial" w:cs="Arial"/>
          <w:sz w:val="24"/>
          <w:szCs w:val="24"/>
        </w:rPr>
        <w:t xml:space="preserve"> el ciudadano Aldo Emmanuel Ruiz Sánchez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Ana Laura Gómez Calzada, en su carácter de Diputada Local, respectivamente, así como de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 xml:space="preserve">) </w:t>
      </w:r>
      <w:r>
        <w:rPr>
          <w:rFonts w:ascii="Arial" w:eastAsia="Arial" w:hAnsi="Arial" w:cs="Arial"/>
          <w:color w:val="000000"/>
          <w:sz w:val="24"/>
          <w:szCs w:val="24"/>
        </w:rPr>
        <w:t>Nora Ruvalcaba Gámez, entonces candidata de Morena a la gubernatura de la entidad</w:t>
      </w:r>
      <w:r>
        <w:rPr>
          <w:rFonts w:ascii="Arial" w:eastAsia="Arial" w:hAnsi="Arial" w:cs="Arial"/>
          <w:sz w:val="24"/>
          <w:szCs w:val="24"/>
        </w:rPr>
        <w:t xml:space="preserve">, por la supuesta vulneración a los principios de equidad, imparcialidad y neutralidad en la contienda, derivado del uso indebido de recursos públicos así como coacción en el voto de la ciudadanía en favor de la candidata cuestionada. A su vez, denunció a Morena por culpa </w:t>
      </w:r>
      <w:r>
        <w:rPr>
          <w:rFonts w:ascii="Arial" w:eastAsia="Arial" w:hAnsi="Arial" w:cs="Arial"/>
          <w:i/>
          <w:sz w:val="24"/>
          <w:szCs w:val="24"/>
        </w:rPr>
        <w:t>in vigilando</w:t>
      </w:r>
      <w:r>
        <w:rPr>
          <w:rFonts w:ascii="Arial" w:eastAsia="Arial" w:hAnsi="Arial" w:cs="Arial"/>
          <w:sz w:val="24"/>
          <w:szCs w:val="24"/>
        </w:rPr>
        <w:t>. Asimismo, solicitó la adopción de medidas cautelares.</w:t>
      </w:r>
    </w:p>
    <w:p w14:paraId="1D755A1A" w14:textId="77777777" w:rsidR="00C300AB" w:rsidRDefault="00C300AB">
      <w:pPr>
        <w:pBdr>
          <w:top w:val="nil"/>
          <w:left w:val="nil"/>
          <w:bottom w:val="nil"/>
          <w:right w:val="nil"/>
          <w:between w:val="nil"/>
        </w:pBdr>
        <w:rPr>
          <w:color w:val="000000"/>
        </w:rPr>
      </w:pPr>
    </w:p>
    <w:p w14:paraId="3A0E5377" w14:textId="77777777" w:rsidR="00C300AB" w:rsidRDefault="00E27DA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acumulación y admisión (IEE/PES/102/2022 y acumulado).</w:t>
      </w:r>
      <w:r>
        <w:rPr>
          <w:rFonts w:ascii="Arial" w:eastAsia="Arial" w:hAnsi="Arial" w:cs="Arial"/>
          <w:sz w:val="24"/>
          <w:szCs w:val="24"/>
        </w:rPr>
        <w:t xml:space="preserve">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las quejas con los números de expediente IEE/PES/102/2022 e IEE/PES/103/2022; acto seguido, determinó su acumulación al advertir la conexidad en la causa, dada la coincidencia de los hechos denunciados y en la mayoría de los sujetos involucrados. El 10 del mismo mes, la admitió a trámite y, además, fijó fecha para la celebración de la audiencia de pruebas y alegatos.  </w:t>
      </w:r>
    </w:p>
    <w:p w14:paraId="52A4C2AA" w14:textId="77777777" w:rsidR="00C300AB" w:rsidRDefault="00C300AB">
      <w:pPr>
        <w:pBdr>
          <w:top w:val="nil"/>
          <w:left w:val="nil"/>
          <w:bottom w:val="nil"/>
          <w:right w:val="nil"/>
          <w:between w:val="nil"/>
        </w:pBdr>
        <w:tabs>
          <w:tab w:val="left" w:pos="567"/>
        </w:tabs>
        <w:ind w:right="36"/>
        <w:jc w:val="both"/>
        <w:rPr>
          <w:rFonts w:ascii="Arial" w:eastAsia="Arial" w:hAnsi="Arial" w:cs="Arial"/>
          <w:sz w:val="24"/>
          <w:szCs w:val="24"/>
        </w:rPr>
      </w:pPr>
    </w:p>
    <w:p w14:paraId="15CCC3B6" w14:textId="370C8ED5" w:rsidR="00C300AB" w:rsidRDefault="00E27DA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957EB1">
        <w:rPr>
          <w:rFonts w:ascii="Arial" w:eastAsia="Arial" w:hAnsi="Arial" w:cs="Arial"/>
          <w:b/>
          <w:sz w:val="24"/>
          <w:szCs w:val="24"/>
        </w:rPr>
        <w:t>4. Valoración de las medidas cautelares.</w:t>
      </w:r>
      <w:r w:rsidRPr="00957EB1">
        <w:rPr>
          <w:rFonts w:ascii="Arial" w:eastAsia="Arial" w:hAnsi="Arial" w:cs="Arial"/>
          <w:sz w:val="24"/>
          <w:szCs w:val="24"/>
        </w:rPr>
        <w:t xml:space="preserve"> El </w:t>
      </w:r>
      <w:r w:rsidR="005A44F9">
        <w:rPr>
          <w:rFonts w:ascii="Arial" w:eastAsia="Arial" w:hAnsi="Arial" w:cs="Arial"/>
          <w:sz w:val="24"/>
          <w:szCs w:val="24"/>
        </w:rPr>
        <w:t>13</w:t>
      </w:r>
      <w:r>
        <w:rPr>
          <w:rFonts w:ascii="Arial" w:eastAsia="Arial" w:hAnsi="Arial" w:cs="Arial"/>
          <w:sz w:val="24"/>
          <w:szCs w:val="24"/>
        </w:rPr>
        <w:t xml:space="preserve"> del mismo mes,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determinó no proponer a la Comisión de Quejas y Denuncias, la adopción de las medidas cautelares solicitadas por el quejoso, en atención a que al momento de su valoración, no existía afectación alguna a un bien jurídico, dado que ya había concluido la etapa de la jornada electoral. </w:t>
      </w:r>
    </w:p>
    <w:p w14:paraId="6B7CC953" w14:textId="77777777" w:rsidR="00C300AB" w:rsidRDefault="00C300AB">
      <w:pPr>
        <w:pBdr>
          <w:top w:val="nil"/>
          <w:left w:val="nil"/>
          <w:bottom w:val="nil"/>
          <w:right w:val="nil"/>
          <w:between w:val="nil"/>
        </w:pBdr>
        <w:rPr>
          <w:color w:val="000000"/>
        </w:rPr>
      </w:pPr>
    </w:p>
    <w:p w14:paraId="2D445570" w14:textId="77777777" w:rsidR="00C300AB" w:rsidRDefault="00E27DA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Audiencia de pruebas y alegatos, y remisión del expediente.</w:t>
      </w:r>
      <w:r>
        <w:rPr>
          <w:rFonts w:ascii="Arial" w:eastAsia="Arial" w:hAnsi="Arial" w:cs="Arial"/>
          <w:sz w:val="24"/>
          <w:szCs w:val="24"/>
        </w:rPr>
        <w:t xml:space="preserve"> El 25 de junio, la Secretaría Ejecutiva celebró la audiencia de pruebas y alegatos, y a su vez, rindió el informe circunstanciado. Posterior a ello, remitió el expediente a este Tribunal. </w:t>
      </w:r>
    </w:p>
    <w:p w14:paraId="318E6CE6" w14:textId="77777777" w:rsidR="00C300AB" w:rsidRDefault="00C300AB">
      <w:pPr>
        <w:pBdr>
          <w:top w:val="nil"/>
          <w:left w:val="nil"/>
          <w:bottom w:val="nil"/>
          <w:right w:val="nil"/>
          <w:between w:val="nil"/>
        </w:pBdr>
        <w:rPr>
          <w:color w:val="000000"/>
        </w:rPr>
      </w:pPr>
    </w:p>
    <w:p w14:paraId="3FF48AC6" w14:textId="77777777" w:rsidR="00C300AB" w:rsidRDefault="00E27DA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 Turno y radicación del expediente (TEEA-PES-074/2022).</w:t>
      </w:r>
      <w:r>
        <w:rPr>
          <w:rFonts w:ascii="Arial" w:eastAsia="Arial" w:hAnsi="Arial" w:cs="Arial"/>
          <w:sz w:val="24"/>
          <w:szCs w:val="24"/>
        </w:rPr>
        <w:t xml:space="preserve"> En misma fecha,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w:t>
      </w:r>
      <w:r>
        <w:rPr>
          <w:rFonts w:ascii="Arial" w:eastAsia="Arial" w:hAnsi="Arial" w:cs="Arial"/>
          <w:sz w:val="24"/>
          <w:szCs w:val="24"/>
        </w:rPr>
        <w:lastRenderedPageBreak/>
        <w:t>PES-074/2022 y lo turnó a la Ponencia de la Magistrada Laura Hortensia Llamas Hernández, quien en su oportunidad lo radicó, y al no existir ningún trámite pendiente, ordenó la formulación del proyecto.</w:t>
      </w:r>
      <w:r>
        <w:rPr>
          <w:rFonts w:ascii="Arial" w:eastAsia="Arial" w:hAnsi="Arial" w:cs="Arial"/>
          <w:sz w:val="24"/>
          <w:szCs w:val="24"/>
          <w:vertAlign w:val="superscript"/>
        </w:rPr>
        <w:footnoteReference w:id="4"/>
      </w:r>
    </w:p>
    <w:p w14:paraId="237C91E4" w14:textId="77777777" w:rsidR="00C300AB" w:rsidRDefault="00C300AB">
      <w:pPr>
        <w:pBdr>
          <w:top w:val="nil"/>
          <w:left w:val="nil"/>
          <w:bottom w:val="nil"/>
          <w:right w:val="nil"/>
          <w:between w:val="nil"/>
        </w:pBdr>
        <w:rPr>
          <w:color w:val="000000"/>
        </w:rPr>
      </w:pPr>
    </w:p>
    <w:p w14:paraId="7CF5A7FF" w14:textId="77777777" w:rsidR="00C300AB" w:rsidRDefault="00E27DA4">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 los principios de equidad, neutralidad e imparcialidad en la contienda, obligación que se encuentra prevista en el artículo 248, fracción III, del Código Electoral, en relación con el diverso 134 de la Constitución general, por el supuesto uso indebido de recursos públicos derivado de la asistencia de una serie de servidores públicos, a actos proselitistas en días y horas hábiles, en favor de la entonces candidata Nora Ruvalcaba Gámez. Lo anterior, de conformidad con los artículos 252, fracción II, 268, fracción I, 274 y 275 del Código Electoral. </w:t>
      </w:r>
    </w:p>
    <w:p w14:paraId="773AEF79" w14:textId="77777777" w:rsidR="00C300AB" w:rsidRDefault="00C300AB">
      <w:pPr>
        <w:pBdr>
          <w:top w:val="nil"/>
          <w:left w:val="nil"/>
          <w:bottom w:val="nil"/>
          <w:right w:val="nil"/>
          <w:between w:val="nil"/>
        </w:pBdr>
        <w:rPr>
          <w:color w:val="000000"/>
        </w:rPr>
      </w:pPr>
    </w:p>
    <w:p w14:paraId="2B01EF51" w14:textId="77777777" w:rsidR="00C300AB" w:rsidRDefault="00E27DA4">
      <w:pPr>
        <w:numPr>
          <w:ilvl w:val="0"/>
          <w:numId w:val="4"/>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 xml:space="preserve">Personería. </w:t>
      </w:r>
      <w:r>
        <w:rPr>
          <w:rFonts w:ascii="Arial" w:eastAsia="Arial" w:hAnsi="Arial" w:cs="Arial"/>
          <w:color w:val="000000"/>
          <w:sz w:val="24"/>
          <w:szCs w:val="24"/>
        </w:rPr>
        <w:t>La autoridad instructora tuvo por acreditada la personería del denunciante y los denunciados.</w:t>
      </w:r>
    </w:p>
    <w:p w14:paraId="0446C1BC" w14:textId="77777777" w:rsidR="00C300AB" w:rsidRDefault="00C300AB">
      <w:pPr>
        <w:pBdr>
          <w:top w:val="nil"/>
          <w:left w:val="nil"/>
          <w:bottom w:val="nil"/>
          <w:right w:val="nil"/>
          <w:between w:val="nil"/>
        </w:pBdr>
        <w:rPr>
          <w:color w:val="000000"/>
        </w:rPr>
      </w:pPr>
    </w:p>
    <w:p w14:paraId="2982EB77" w14:textId="77777777" w:rsidR="00C300AB" w:rsidRDefault="00E27DA4">
      <w:pPr>
        <w:numPr>
          <w:ilvl w:val="0"/>
          <w:numId w:val="4"/>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Causales de improcedencia.</w:t>
      </w:r>
      <w:r>
        <w:rPr>
          <w:rFonts w:ascii="Arial" w:eastAsia="Arial" w:hAnsi="Arial" w:cs="Arial"/>
          <w:color w:val="000000"/>
          <w:sz w:val="24"/>
          <w:szCs w:val="24"/>
        </w:rPr>
        <w:t xml:space="preserve"> Las partes denunciadas, en sus escritos de contestación, refieren que la denuncia presentada en su contra es </w:t>
      </w:r>
      <w:r>
        <w:rPr>
          <w:rFonts w:ascii="Arial" w:eastAsia="Arial" w:hAnsi="Arial" w:cs="Arial"/>
          <w:b/>
          <w:color w:val="000000"/>
          <w:sz w:val="24"/>
          <w:szCs w:val="24"/>
        </w:rPr>
        <w:t xml:space="preserve">frívola </w:t>
      </w:r>
      <w:r>
        <w:rPr>
          <w:rFonts w:ascii="Arial" w:eastAsia="Arial" w:hAnsi="Arial" w:cs="Arial"/>
          <w:color w:val="000000"/>
          <w:sz w:val="24"/>
          <w:szCs w:val="24"/>
        </w:rPr>
        <w:t>y</w:t>
      </w:r>
      <w:r>
        <w:rPr>
          <w:rFonts w:ascii="Arial" w:eastAsia="Arial" w:hAnsi="Arial" w:cs="Arial"/>
          <w:b/>
          <w:color w:val="000000"/>
          <w:sz w:val="24"/>
          <w:szCs w:val="24"/>
        </w:rPr>
        <w:t xml:space="preserve"> oscura</w:t>
      </w:r>
      <w:r>
        <w:rPr>
          <w:rFonts w:ascii="Arial" w:eastAsia="Arial" w:hAnsi="Arial" w:cs="Arial"/>
          <w:color w:val="000000"/>
          <w:sz w:val="24"/>
          <w:szCs w:val="24"/>
        </w:rPr>
        <w:t>, ya que no se ofrecieron elementos de prueba que permitan acreditar los hechos denunciados.</w:t>
      </w:r>
    </w:p>
    <w:p w14:paraId="1E90077A" w14:textId="77777777" w:rsidR="00C300AB" w:rsidRDefault="00C300AB">
      <w:pPr>
        <w:pBdr>
          <w:top w:val="nil"/>
          <w:left w:val="nil"/>
          <w:bottom w:val="nil"/>
          <w:right w:val="nil"/>
          <w:between w:val="nil"/>
        </w:pBdr>
        <w:rPr>
          <w:color w:val="000000"/>
        </w:rPr>
      </w:pPr>
    </w:p>
    <w:p w14:paraId="167BA598" w14:textId="77777777" w:rsidR="00C300AB" w:rsidRDefault="00E27DA4">
      <w:pPr>
        <w:spacing w:line="360" w:lineRule="auto"/>
        <w:ind w:right="36"/>
        <w:jc w:val="both"/>
        <w:rPr>
          <w:sz w:val="24"/>
          <w:szCs w:val="24"/>
        </w:rPr>
      </w:pPr>
      <w:r>
        <w:rPr>
          <w:rFonts w:ascii="Arial" w:eastAsia="Arial" w:hAnsi="Arial" w:cs="Arial"/>
          <w:color w:val="000000"/>
          <w:sz w:val="24"/>
          <w:szCs w:val="24"/>
        </w:rPr>
        <w:t>El artículo 270, fracción V, del Código Electoral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208C7CA1" w14:textId="77777777" w:rsidR="00C300AB" w:rsidRDefault="00E27DA4">
      <w:pPr>
        <w:spacing w:before="240" w:line="360" w:lineRule="auto"/>
        <w:ind w:right="40"/>
        <w:jc w:val="both"/>
        <w:rPr>
          <w:rFonts w:ascii="Arial" w:eastAsia="Arial" w:hAnsi="Arial" w:cs="Arial"/>
          <w:color w:val="000000"/>
          <w:sz w:val="24"/>
          <w:szCs w:val="24"/>
        </w:rPr>
      </w:pPr>
      <w:r>
        <w:rPr>
          <w:rFonts w:ascii="Arial" w:eastAsia="Arial" w:hAnsi="Arial" w:cs="Arial"/>
          <w:color w:val="000000"/>
          <w:sz w:val="24"/>
          <w:szCs w:val="24"/>
        </w:rPr>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4896001C" w14:textId="77777777" w:rsidR="00C300AB" w:rsidRDefault="00C300AB">
      <w:pPr>
        <w:pBdr>
          <w:top w:val="nil"/>
          <w:left w:val="nil"/>
          <w:bottom w:val="nil"/>
          <w:right w:val="nil"/>
          <w:between w:val="nil"/>
        </w:pBdr>
        <w:rPr>
          <w:color w:val="000000"/>
        </w:rPr>
      </w:pPr>
    </w:p>
    <w:p w14:paraId="3D8F00EC" w14:textId="77777777" w:rsidR="00C300AB" w:rsidRDefault="00E27DA4">
      <w:pPr>
        <w:numPr>
          <w:ilvl w:val="0"/>
          <w:numId w:val="4"/>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 xml:space="preserve">Estudio de fondo </w:t>
      </w:r>
    </w:p>
    <w:p w14:paraId="322333E7" w14:textId="77777777" w:rsidR="00C300AB" w:rsidRDefault="00C300AB">
      <w:pPr>
        <w:pBdr>
          <w:top w:val="nil"/>
          <w:left w:val="nil"/>
          <w:bottom w:val="nil"/>
          <w:right w:val="nil"/>
          <w:between w:val="nil"/>
        </w:pBdr>
        <w:rPr>
          <w:color w:val="000000"/>
          <w:sz w:val="14"/>
          <w:szCs w:val="14"/>
        </w:rPr>
      </w:pPr>
    </w:p>
    <w:p w14:paraId="0B8AFA6A" w14:textId="77777777" w:rsidR="00C300AB" w:rsidRDefault="00E27DA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r>
        <w:rPr>
          <w:rFonts w:ascii="Arial" w:eastAsia="Arial" w:hAnsi="Arial" w:cs="Arial"/>
          <w:sz w:val="24"/>
          <w:szCs w:val="24"/>
        </w:rPr>
        <w:t xml:space="preserve">El PAN refiere que las partes denunciadas, vulneraron los principios de neutralidad, equidad e imparcialidad en la contienda, derivado de una serie de publicaciones en el perfil de Facebook de la entonces candidata Nora Ruvalcaba Gámez, donde se advierte la asistencia de diversos funcionarios públicos a eventos proselitistas en </w:t>
      </w:r>
      <w:r>
        <w:rPr>
          <w:rFonts w:ascii="Arial" w:eastAsia="Arial" w:hAnsi="Arial" w:cs="Arial"/>
          <w:sz w:val="24"/>
          <w:szCs w:val="24"/>
        </w:rPr>
        <w:lastRenderedPageBreak/>
        <w:t xml:space="preserve">favor de dicha candidatura, esto en el curso de días y horas hábiles, situación que implicó: </w:t>
      </w:r>
      <w:r>
        <w:rPr>
          <w:rFonts w:ascii="Arial" w:eastAsia="Arial" w:hAnsi="Arial" w:cs="Arial"/>
          <w:b/>
          <w:i/>
          <w:sz w:val="24"/>
          <w:szCs w:val="24"/>
        </w:rPr>
        <w:t>i)</w:t>
      </w:r>
      <w:r>
        <w:rPr>
          <w:rFonts w:ascii="Arial" w:eastAsia="Arial" w:hAnsi="Arial" w:cs="Arial"/>
          <w:sz w:val="24"/>
          <w:szCs w:val="24"/>
        </w:rPr>
        <w:t xml:space="preserve"> el uso indebido de recursos públicos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coacción en el voto de la ciudadanía. </w:t>
      </w:r>
    </w:p>
    <w:p w14:paraId="6DB571A6" w14:textId="77777777" w:rsidR="00C300AB" w:rsidRDefault="00C300AB">
      <w:pPr>
        <w:pBdr>
          <w:top w:val="nil"/>
          <w:left w:val="nil"/>
          <w:bottom w:val="nil"/>
          <w:right w:val="nil"/>
          <w:between w:val="nil"/>
        </w:pBdr>
        <w:rPr>
          <w:color w:val="000000"/>
        </w:rPr>
      </w:pPr>
    </w:p>
    <w:p w14:paraId="64D5CF89" w14:textId="77777777" w:rsidR="00C300AB" w:rsidRDefault="00E27DA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Las partes denunciadas -que a dicho del quejoso tienen carácter de servidores públicos-, así como las publicaciones cuestionadas, son las siguientes: </w:t>
      </w:r>
    </w:p>
    <w:p w14:paraId="798799B3" w14:textId="77777777" w:rsidR="00C300AB" w:rsidRDefault="00C300A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tbl>
      <w:tblPr>
        <w:tblStyle w:val="ae"/>
        <w:tblW w:w="967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980"/>
        <w:gridCol w:w="3260"/>
        <w:gridCol w:w="4436"/>
      </w:tblGrid>
      <w:tr w:rsidR="00C300AB" w14:paraId="05956EEF" w14:textId="77777777" w:rsidTr="00C300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2206D8C" w14:textId="77777777" w:rsidR="00C300AB" w:rsidRDefault="00E27DA4">
            <w:pPr>
              <w:tabs>
                <w:tab w:val="left" w:pos="426"/>
              </w:tabs>
              <w:spacing w:line="360" w:lineRule="auto"/>
              <w:ind w:right="36"/>
              <w:jc w:val="center"/>
              <w:rPr>
                <w:rFonts w:ascii="Arial" w:eastAsia="Arial" w:hAnsi="Arial" w:cs="Arial"/>
                <w:sz w:val="24"/>
                <w:szCs w:val="24"/>
                <w:u w:val="single"/>
              </w:rPr>
            </w:pPr>
            <w:r>
              <w:rPr>
                <w:rFonts w:ascii="Arial" w:eastAsia="Arial" w:hAnsi="Arial" w:cs="Arial"/>
                <w:sz w:val="24"/>
                <w:szCs w:val="24"/>
                <w:u w:val="single"/>
              </w:rPr>
              <w:t>Partes denunciadas</w:t>
            </w:r>
          </w:p>
        </w:tc>
        <w:tc>
          <w:tcPr>
            <w:tcW w:w="3260" w:type="dxa"/>
          </w:tcPr>
          <w:p w14:paraId="11178814" w14:textId="77777777" w:rsidR="00C300AB" w:rsidRDefault="00E27DA4">
            <w:pPr>
              <w:tabs>
                <w:tab w:val="left" w:pos="426"/>
              </w:tabs>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u w:val="single"/>
              </w:rPr>
            </w:pPr>
            <w:r>
              <w:rPr>
                <w:rFonts w:ascii="Arial" w:eastAsia="Arial" w:hAnsi="Arial" w:cs="Arial"/>
                <w:sz w:val="24"/>
                <w:szCs w:val="24"/>
                <w:u w:val="single"/>
              </w:rPr>
              <w:t xml:space="preserve">Cargos públicos que, a dicho del quejoso, ostentan los denunciados </w:t>
            </w:r>
          </w:p>
        </w:tc>
        <w:tc>
          <w:tcPr>
            <w:tcW w:w="4436" w:type="dxa"/>
          </w:tcPr>
          <w:p w14:paraId="4ECC102D" w14:textId="77777777" w:rsidR="00C300AB" w:rsidRDefault="00E27DA4">
            <w:pPr>
              <w:tabs>
                <w:tab w:val="left" w:pos="426"/>
              </w:tabs>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u w:val="single"/>
              </w:rPr>
            </w:pPr>
            <w:r>
              <w:rPr>
                <w:rFonts w:ascii="Arial" w:eastAsia="Arial" w:hAnsi="Arial" w:cs="Arial"/>
                <w:sz w:val="24"/>
                <w:szCs w:val="24"/>
                <w:u w:val="single"/>
              </w:rPr>
              <w:t>Fotografía representativa de las publicaciones:</w:t>
            </w:r>
          </w:p>
        </w:tc>
      </w:tr>
      <w:tr w:rsidR="00C300AB" w14:paraId="35C9EED7" w14:textId="77777777" w:rsidTr="00C30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0CD7F78" w14:textId="77777777" w:rsidR="00C300AB" w:rsidRDefault="00E27DA4">
            <w:pPr>
              <w:tabs>
                <w:tab w:val="left" w:pos="426"/>
              </w:tabs>
              <w:spacing w:line="360" w:lineRule="auto"/>
              <w:ind w:right="36"/>
              <w:jc w:val="center"/>
              <w:rPr>
                <w:rFonts w:ascii="Arial" w:eastAsia="Arial" w:hAnsi="Arial" w:cs="Arial"/>
                <w:sz w:val="24"/>
                <w:szCs w:val="24"/>
              </w:rPr>
            </w:pPr>
            <w:r>
              <w:rPr>
                <w:rFonts w:ascii="Arial" w:eastAsia="Arial" w:hAnsi="Arial" w:cs="Arial"/>
                <w:sz w:val="24"/>
                <w:szCs w:val="24"/>
              </w:rPr>
              <w:t>1.  Aldo Emmanuel Ruiz Sánchez</w:t>
            </w:r>
          </w:p>
        </w:tc>
        <w:tc>
          <w:tcPr>
            <w:tcW w:w="3260" w:type="dxa"/>
          </w:tcPr>
          <w:p w14:paraId="76A004B8" w14:textId="77777777" w:rsidR="00C300AB" w:rsidRDefault="00E27DA4">
            <w:pPr>
              <w:tabs>
                <w:tab w:val="left" w:pos="426"/>
              </w:tabs>
              <w:spacing w:line="360" w:lineRule="auto"/>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Delegado de Programas para el Desarrollo en el Estado de Aguascalientes</w:t>
            </w:r>
          </w:p>
        </w:tc>
        <w:tc>
          <w:tcPr>
            <w:tcW w:w="4436" w:type="dxa"/>
          </w:tcPr>
          <w:p w14:paraId="73E1F6C9" w14:textId="77777777" w:rsidR="00C300AB" w:rsidRDefault="00E27DA4">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1:</w:t>
            </w:r>
          </w:p>
          <w:p w14:paraId="3EC5653F" w14:textId="77777777" w:rsidR="00C300AB" w:rsidRDefault="00E27DA4">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noProof/>
              </w:rPr>
              <w:drawing>
                <wp:inline distT="0" distB="0" distL="0" distR="0" wp14:anchorId="37E47666" wp14:editId="529EF8A7">
                  <wp:extent cx="2511423" cy="1652741"/>
                  <wp:effectExtent l="0" t="0" r="0" b="0"/>
                  <wp:docPr id="2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0756" t="45493" r="45971" b="15585"/>
                          <a:stretch>
                            <a:fillRect/>
                          </a:stretch>
                        </pic:blipFill>
                        <pic:spPr>
                          <a:xfrm>
                            <a:off x="0" y="0"/>
                            <a:ext cx="2511423" cy="1652741"/>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37B5F117" wp14:editId="59EED1B3">
                      <wp:simplePos x="0" y="0"/>
                      <wp:positionH relativeFrom="column">
                        <wp:posOffset>-139699</wp:posOffset>
                      </wp:positionH>
                      <wp:positionV relativeFrom="paragraph">
                        <wp:posOffset>901700</wp:posOffset>
                      </wp:positionV>
                      <wp:extent cx="496570" cy="577850"/>
                      <wp:effectExtent l="0" t="0" r="0" b="0"/>
                      <wp:wrapNone/>
                      <wp:docPr id="247" name="Elipse 247"/>
                      <wp:cNvGraphicFramePr/>
                      <a:graphic xmlns:a="http://schemas.openxmlformats.org/drawingml/2006/main">
                        <a:graphicData uri="http://schemas.microsoft.com/office/word/2010/wordprocessingShape">
                          <wps:wsp>
                            <wps:cNvSpPr/>
                            <wps:spPr>
                              <a:xfrm>
                                <a:off x="5116765" y="3510125"/>
                                <a:ext cx="458470" cy="539750"/>
                              </a:xfrm>
                              <a:prstGeom prst="ellipse">
                                <a:avLst/>
                              </a:prstGeom>
                              <a:noFill/>
                              <a:ln w="38100" cap="flat" cmpd="sng">
                                <a:solidFill>
                                  <a:srgbClr val="FF0000"/>
                                </a:solidFill>
                                <a:prstDash val="solid"/>
                                <a:round/>
                                <a:headEnd type="none" w="sm" len="sm"/>
                                <a:tailEnd type="none" w="sm" len="sm"/>
                              </a:ln>
                            </wps:spPr>
                            <wps:txbx>
                              <w:txbxContent>
                                <w:p w14:paraId="01E96F1D" w14:textId="77777777" w:rsidR="00C300AB" w:rsidRDefault="00C300AB">
                                  <w:pPr>
                                    <w:textDirection w:val="btLr"/>
                                  </w:pPr>
                                </w:p>
                              </w:txbxContent>
                            </wps:txbx>
                            <wps:bodyPr spcFirstLastPara="1" wrap="square" lIns="91425" tIns="91425" rIns="91425" bIns="91425" anchor="ctr" anchorCtr="0">
                              <a:noAutofit/>
                            </wps:bodyPr>
                          </wps:wsp>
                        </a:graphicData>
                      </a:graphic>
                    </wp:anchor>
                  </w:drawing>
                </mc:Choice>
                <mc:Fallback>
                  <w:pict>
                    <v:oval w14:anchorId="37B5F117" id="Elipse 247" o:spid="_x0000_s1026" style="position:absolute;left:0;text-align:left;margin-left:-11pt;margin-top:71pt;width:39.1pt;height:4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2QKQIAAEEEAAAOAAAAZHJzL2Uyb0RvYy54bWysU1GP2jAMfp+0/xDlfbTlKHCIcpqOY5p0&#10;2iHd9gNMmtJIaZLFAcq/n5Oyg20Pk6b1IbUb19/nz/byoe80O0qPypqKF6OcM2mErZXZV/zb182H&#10;OWcYwNSgrZEVP0vkD6v375Ynt5Bj21pdS88oicHFyVW8DcEtsgxFKzvAkXXS0GVjfQeBXL/Pag8n&#10;yt7pbJzn0+xkfe28FRKRvq6HS75K+ZtGivDSNCgD0xUnbiGdPp27eGarJSz2HlyrxIUG/AOLDpQh&#10;0LdUawjADl79kapTwlu0TRgJ22W2aZSQqQaqpsh/q+a1BSdTLSQOujeZ8P+lFV+OW89UXfHxZMaZ&#10;gY6a9KSVQ8niF9Ln5HBBYa9u6y8ekhmL7RvfxTeVwfqKl0UxnU1Lzs4VvyuLvBiXg76yD0xQwKSc&#10;T2bUBUEB5d39rEz6Z9dEzmP4JG3HolFxqRORJCwcnzEQPkX/jIrQxm6U1qmL2rATAc+LPEIADVOj&#10;IZDZOSoPzT7lQatVHf+Jf6Pf7x61Z0eg8dhscnoiY8L4JSwCrgHbIS5dDYV5ezB1Am8l1E+mZuHs&#10;SEBDs84jG+w405I2g4wUF0Dpv8cRAW2IR5R+EDtaod/1lCSaO1ufqW/oxEYRuWfAsAVPk1sQLE0z&#10;AX4/gCcS+rOhcbkvJtQMFm4df+vsbh0worW0JCJ4zgbnMaSlGST/eAi2UakbVzIXujSnScDLTsVF&#10;uPVT1HXzVz8AAAD//wMAUEsDBBQABgAIAAAAIQA+COUC3gAAAAoBAAAPAAAAZHJzL2Rvd25yZXYu&#10;eG1sTI/BTsMwEETvSPyDtUjcWpsUShTiVAip4hCE1LQfsI2XJCK2o9hpwt+zPcFtRzOafZPvFtuL&#10;C42h807Dw1qBIFd707lGw+m4X6UgQkRnsPeONPxQgF1xe5NjZvzsDnSpYiO4xIUMNbQxDpmUoW7J&#10;Ylj7gRx7X360GFmOjTQjzlxue5kotZUWO8cfWhzoraX6u5qsBl/Z8jl9n9RefZY4l2WKH0PQ+v5u&#10;eX0BEWmJf2G44jM6FMx09pMzQfQaVknCWyIbj9eDE0/bBMRZQ7LZKJBFLv9PKH4BAAD//wMAUEsB&#10;Ai0AFAAGAAgAAAAhALaDOJL+AAAA4QEAABMAAAAAAAAAAAAAAAAAAAAAAFtDb250ZW50X1R5cGVz&#10;XS54bWxQSwECLQAUAAYACAAAACEAOP0h/9YAAACUAQAACwAAAAAAAAAAAAAAAAAvAQAAX3JlbHMv&#10;LnJlbHNQSwECLQAUAAYACAAAACEArGOtkCkCAABBBAAADgAAAAAAAAAAAAAAAAAuAgAAZHJzL2Uy&#10;b0RvYy54bWxQSwECLQAUAAYACAAAACEAPgjlAt4AAAAKAQAADwAAAAAAAAAAAAAAAACDBAAAZHJz&#10;L2Rvd25yZXYueG1sUEsFBgAAAAAEAAQA8wAAAI4FAAAAAA==&#10;" filled="f" strokecolor="red" strokeweight="3pt">
                      <v:stroke startarrowwidth="narrow" startarrowlength="short" endarrowwidth="narrow" endarrowlength="short"/>
                      <v:textbox inset="2.53958mm,2.53958mm,2.53958mm,2.53958mm">
                        <w:txbxContent>
                          <w:p w14:paraId="01E96F1D" w14:textId="77777777" w:rsidR="00C300AB" w:rsidRDefault="00C300AB">
                            <w:pPr>
                              <w:textDirection w:val="btLr"/>
                            </w:pPr>
                          </w:p>
                        </w:txbxContent>
                      </v:textbox>
                    </v:oval>
                  </w:pict>
                </mc:Fallback>
              </mc:AlternateContent>
            </w:r>
            <w:r>
              <w:rPr>
                <w:noProof/>
              </w:rPr>
              <mc:AlternateContent>
                <mc:Choice Requires="wps">
                  <w:drawing>
                    <wp:anchor distT="0" distB="0" distL="114300" distR="114300" simplePos="0" relativeHeight="251659264" behindDoc="0" locked="0" layoutInCell="1" hidden="0" allowOverlap="1" wp14:anchorId="39EFB1C5" wp14:editId="3B83A211">
                      <wp:simplePos x="0" y="0"/>
                      <wp:positionH relativeFrom="column">
                        <wp:posOffset>1727200</wp:posOffset>
                      </wp:positionH>
                      <wp:positionV relativeFrom="paragraph">
                        <wp:posOffset>317500</wp:posOffset>
                      </wp:positionV>
                      <wp:extent cx="449580" cy="449580"/>
                      <wp:effectExtent l="0" t="0" r="0" b="0"/>
                      <wp:wrapNone/>
                      <wp:docPr id="245" name="Elipse 245"/>
                      <wp:cNvGraphicFramePr/>
                      <a:graphic xmlns:a="http://schemas.openxmlformats.org/drawingml/2006/main">
                        <a:graphicData uri="http://schemas.microsoft.com/office/word/2010/wordprocessingShape">
                          <wps:wsp>
                            <wps:cNvSpPr/>
                            <wps:spPr>
                              <a:xfrm>
                                <a:off x="5140260" y="3574260"/>
                                <a:ext cx="411480" cy="411480"/>
                              </a:xfrm>
                              <a:prstGeom prst="ellipse">
                                <a:avLst/>
                              </a:prstGeom>
                              <a:noFill/>
                              <a:ln w="38100" cap="flat" cmpd="sng">
                                <a:solidFill>
                                  <a:srgbClr val="FF0000"/>
                                </a:solidFill>
                                <a:prstDash val="solid"/>
                                <a:round/>
                                <a:headEnd type="none" w="sm" len="sm"/>
                                <a:tailEnd type="none" w="sm" len="sm"/>
                              </a:ln>
                            </wps:spPr>
                            <wps:txbx>
                              <w:txbxContent>
                                <w:p w14:paraId="20E2C086" w14:textId="77777777" w:rsidR="00C300AB" w:rsidRDefault="00C300AB">
                                  <w:pPr>
                                    <w:textDirection w:val="btLr"/>
                                  </w:pPr>
                                </w:p>
                              </w:txbxContent>
                            </wps:txbx>
                            <wps:bodyPr spcFirstLastPara="1" wrap="square" lIns="91425" tIns="91425" rIns="91425" bIns="91425" anchor="ctr" anchorCtr="0">
                              <a:noAutofit/>
                            </wps:bodyPr>
                          </wps:wsp>
                        </a:graphicData>
                      </a:graphic>
                    </wp:anchor>
                  </w:drawing>
                </mc:Choice>
                <mc:Fallback>
                  <w:pict>
                    <v:oval w14:anchorId="39EFB1C5" id="Elipse 245" o:spid="_x0000_s1027" style="position:absolute;left:0;text-align:left;margin-left:136pt;margin-top:25pt;width:35.4pt;height:35.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lMJQIAAEgEAAAOAAAAZHJzL2Uyb0RvYy54bWysVF+P0zAMf0fiO0R5Z21Hd4xp3Qndbgjp&#10;BJMOPoCXpmuk/CPOtu7b46TjNuABCdGH1I5d++ef7S7vB6PZUQZUzja8mpScSStcq+y+4d++bt7M&#10;OcMItgXtrGz4WSK/X71+tTz5hZy63ulWBkZBLC5OvuF9jH5RFCh6aQAnzktLxs4FA5HUsC/aACeK&#10;bnQxLcu74uRC64MTEpFu16ORr3L8rpMifuk6lJHphhO2mM+Qz106i9USFvsAvlfiAgP+AYUBZSnp&#10;S6g1RGCHoP4IZZQIDl0XJ8KZwnWdEjLXQNVU5W/VPPfgZa6FyEH/QhP+v7Di83EbmGobPq1nnFkw&#10;1KRHrTxKlm6In5PHBbk9+224aEhiKnbogklvKoMNDZ9VdTm9I5bPDX87e1cnOfMrh8gEOdRVVc/J&#10;LsjhIpO9uAbyAeNH6QxLQsOlzkAysXB8wjh6//RKqa3bKK1zFm3ZiRLPqzKlABqmTkMk0XgqD+0+&#10;x0GnVZu+SV9j2O8edGBHoPHYbEp6EmJC9ItbSrgG7Ee/bBoLC+5g25y8l9A+2pbFsycCLc06T2jQ&#10;cKYlbQYJ2S+C0n/3IwDaEo5E/Uh2kuKwG3KrqhQr3exce6b2oRcbRRifAOMWAg1wRdlpqCnv9wME&#10;wqI/WZqa91U9pS7HWyXcKrtbBazoHe2KiIGzUXmIeXdG5j8coutUbsoVzAU1jWvm8bJaaR9u9ex1&#10;/QGsfgAAAP//AwBQSwMEFAAGAAgAAAAhADR6S87dAAAACgEAAA8AAABkcnMvZG93bnJldi54bWxM&#10;j91KxDAQRu8F3yGM4J2bGH+2dJsuIixeVASrDzDbzLbFJilNuq1v73ilV8Mwh2/OV+xXN4gzTbEP&#10;3sDtRoEg3wTb+9bA58fhJgMRE3qLQ/Bk4Jsi7MvLiwJzGxb/Tuc6tYJDfMzRQJfSmEsZm44cxk0Y&#10;yfPtFCaHideplXbChcPdILVSj9Jh7/lDhyM9d9R81bMzEGpXbbOXWR3UW4VLVWX4OkZjrq/Wpx2I&#10;RGv6g+FXn9WhZKdjmL2NYjCgt5q7JAMPiicDd/eauxyZ1CoDWRbyf4XyBwAA//8DAFBLAQItABQA&#10;BgAIAAAAIQC2gziS/gAAAOEBAAATAAAAAAAAAAAAAAAAAAAAAABbQ29udGVudF9UeXBlc10ueG1s&#10;UEsBAi0AFAAGAAgAAAAhADj9If/WAAAAlAEAAAsAAAAAAAAAAAAAAAAALwEAAF9yZWxzLy5yZWxz&#10;UEsBAi0AFAAGAAgAAAAhAIxtCUwlAgAASAQAAA4AAAAAAAAAAAAAAAAALgIAAGRycy9lMm9Eb2Mu&#10;eG1sUEsBAi0AFAAGAAgAAAAhADR6S87dAAAACgEAAA8AAAAAAAAAAAAAAAAAfwQAAGRycy9kb3du&#10;cmV2LnhtbFBLBQYAAAAABAAEAPMAAACJBQAAAAA=&#10;" filled="f" strokecolor="red" strokeweight="3pt">
                      <v:stroke startarrowwidth="narrow" startarrowlength="short" endarrowwidth="narrow" endarrowlength="short"/>
                      <v:textbox inset="2.53958mm,2.53958mm,2.53958mm,2.53958mm">
                        <w:txbxContent>
                          <w:p w14:paraId="20E2C086" w14:textId="77777777" w:rsidR="00C300AB" w:rsidRDefault="00C300AB">
                            <w:pPr>
                              <w:textDirection w:val="btLr"/>
                            </w:pPr>
                          </w:p>
                        </w:txbxContent>
                      </v:textbox>
                    </v:oval>
                  </w:pict>
                </mc:Fallback>
              </mc:AlternateContent>
            </w:r>
            <w:r>
              <w:rPr>
                <w:noProof/>
              </w:rPr>
              <mc:AlternateContent>
                <mc:Choice Requires="wps">
                  <w:drawing>
                    <wp:anchor distT="45720" distB="45720" distL="114300" distR="114300" simplePos="0" relativeHeight="251660288" behindDoc="0" locked="0" layoutInCell="1" hidden="0" allowOverlap="1" wp14:anchorId="43ED354D" wp14:editId="7E229D9D">
                      <wp:simplePos x="0" y="0"/>
                      <wp:positionH relativeFrom="column">
                        <wp:posOffset>1676400</wp:posOffset>
                      </wp:positionH>
                      <wp:positionV relativeFrom="paragraph">
                        <wp:posOffset>693420</wp:posOffset>
                      </wp:positionV>
                      <wp:extent cx="2370455" cy="1414145"/>
                      <wp:effectExtent l="0" t="0" r="0" b="0"/>
                      <wp:wrapNone/>
                      <wp:docPr id="246" name="Rectángulo 246"/>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50C1522E" w14:textId="77777777" w:rsidR="00C300AB" w:rsidRDefault="00E27DA4">
                                  <w:pPr>
                                    <w:textDirection w:val="btLr"/>
                                  </w:pPr>
                                  <w:r>
                                    <w:rPr>
                                      <w:rFonts w:ascii="Arial" w:eastAsia="Arial" w:hAnsi="Arial" w:cs="Arial"/>
                                      <w:b/>
                                      <w:color w:val="FF0000"/>
                                      <w:sz w:val="22"/>
                                    </w:rPr>
                                    <w:t>1</w:t>
                                  </w:r>
                                </w:p>
                              </w:txbxContent>
                            </wps:txbx>
                            <wps:bodyPr spcFirstLastPara="1" wrap="square" lIns="91425" tIns="45700" rIns="91425" bIns="45700" anchor="t" anchorCtr="0">
                              <a:noAutofit/>
                            </wps:bodyPr>
                          </wps:wsp>
                        </a:graphicData>
                      </a:graphic>
                    </wp:anchor>
                  </w:drawing>
                </mc:Choice>
                <mc:Fallback>
                  <w:pict>
                    <v:rect w14:anchorId="43ED354D" id="Rectángulo 246" o:spid="_x0000_s1028" style="position:absolute;left:0;text-align:left;margin-left:132pt;margin-top:54.6pt;width:186.65pt;height:111.3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uu3QEAAI4DAAAOAAAAZHJzL2Uyb0RvYy54bWysU9uO0zAQfUfiHyy/01yapjSqu0KsipBW&#10;ULHwAa5jN5biC7bbpJ/Dt/BjjJ3sboE3xIszl6OZc2Ym27tR9ejCnZdGE1wscoy4ZqaV+kTwt6/7&#10;N28x8oHqlvZGc4Kv3OO73etX28E2vDSd6VvuEBTRvhkswV0ItskyzzquqF8YyzUkhXGKBnDdKWsd&#10;HaC66rMyz+tsMK61zjDuPUTvpyTepfpCcBY+C+F5QD3BwC2k16X3GN9st6XNyVHbSTbToP/AQlGp&#10;oelzqXsaKDo7+VcpJZkz3oiwYEZlRgjJeNIAaor8DzWPHbU8aYHhePs8Jv//yrJPl4NDsiW4rGqM&#10;NFWwpC8wtp8/9OncGxTDMKTB+gawj/bgZs+DGRWPwqn4BS1oJLgq6tVqucLoSvAyX6/rzTxkPgbE&#10;AFAu63yzhF0wQBRVXtVlQmQvpazz4QM3CkWDYAd00nDp5cEHaA/QJ0jsrM1e9n3aZK9/CwAwRrLI&#10;fuIbrTAex0nyk7Kjaa8wBm/ZXkLLB+rDgTo4hAKjAY6DYP/9TB3HqP+oYfqboipBYkhOtVrnIMfd&#10;Zo63GapZZ+DmAkaT+T6kC5yovjsHI2SSFclNVGbOsPSkdj7QeFW3fkK9/Ea7XwAAAP//AwBQSwME&#10;FAAGAAgAAAAhABeFdYneAAAACwEAAA8AAABkcnMvZG93bnJldi54bWxMjzFPwzAUhHck/oP1kNio&#10;naQEmsapEIKBkbQDoxs/kqj2c2Q7bfrvMROMpzvdfVfvFmvYGX0YHUnIVgIYUuf0SL2Ew/794RlY&#10;iIq0Mo5QwhUD7Jrbm1pV2l3oE89t7FkqoVApCUOMU8V56Aa0KqzchJS8b+etikn6nmuvLqncGp4L&#10;UXKrRkoLg5rwdcDu1M5WwoRGz2bdiq+Ov3nKyo89vz5KeX+3vGyBRVziXxh+8RM6NInp6GbSgRkJ&#10;eblOX2IyxCYHlhJl8VQAO0ooimwDvKn5/w/NDwAAAP//AwBQSwECLQAUAAYACAAAACEAtoM4kv4A&#10;AADhAQAAEwAAAAAAAAAAAAAAAAAAAAAAW0NvbnRlbnRfVHlwZXNdLnhtbFBLAQItABQABgAIAAAA&#10;IQA4/SH/1gAAAJQBAAALAAAAAAAAAAAAAAAAAC8BAABfcmVscy8ucmVsc1BLAQItABQABgAIAAAA&#10;IQCJMYuu3QEAAI4DAAAOAAAAAAAAAAAAAAAAAC4CAABkcnMvZTJvRG9jLnhtbFBLAQItABQABgAI&#10;AAAAIQAXhXWJ3gAAAAsBAAAPAAAAAAAAAAAAAAAAADcEAABkcnMvZG93bnJldi54bWxQSwUGAAAA&#10;AAQABADzAAAAQgUAAAAA&#10;" filled="f" stroked="f">
                      <v:textbox inset="2.53958mm,1.2694mm,2.53958mm,1.2694mm">
                        <w:txbxContent>
                          <w:p w14:paraId="50C1522E" w14:textId="77777777" w:rsidR="00C300AB" w:rsidRDefault="00E27DA4">
                            <w:pPr>
                              <w:textDirection w:val="btLr"/>
                            </w:pPr>
                            <w:r>
                              <w:rPr>
                                <w:rFonts w:ascii="Arial" w:eastAsia="Arial" w:hAnsi="Arial" w:cs="Arial"/>
                                <w:b/>
                                <w:color w:val="FF0000"/>
                                <w:sz w:val="22"/>
                              </w:rPr>
                              <w:t>1</w:t>
                            </w:r>
                          </w:p>
                        </w:txbxContent>
                      </v:textbox>
                    </v:rect>
                  </w:pict>
                </mc:Fallback>
              </mc:AlternateContent>
            </w:r>
            <w:r>
              <w:rPr>
                <w:noProof/>
              </w:rPr>
              <mc:AlternateContent>
                <mc:Choice Requires="wps">
                  <w:drawing>
                    <wp:anchor distT="45720" distB="45720" distL="114300" distR="114300" simplePos="0" relativeHeight="251661312" behindDoc="0" locked="0" layoutInCell="1" hidden="0" allowOverlap="1" wp14:anchorId="11059DA7" wp14:editId="1F7DCED6">
                      <wp:simplePos x="0" y="0"/>
                      <wp:positionH relativeFrom="column">
                        <wp:posOffset>-12699</wp:posOffset>
                      </wp:positionH>
                      <wp:positionV relativeFrom="paragraph">
                        <wp:posOffset>1404620</wp:posOffset>
                      </wp:positionV>
                      <wp:extent cx="2370455" cy="1414145"/>
                      <wp:effectExtent l="0" t="0" r="0" b="0"/>
                      <wp:wrapNone/>
                      <wp:docPr id="248" name="Rectángulo 248"/>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312B3FFF" w14:textId="77777777" w:rsidR="00C300AB" w:rsidRDefault="00E27DA4">
                                  <w:pPr>
                                    <w:textDirection w:val="btLr"/>
                                  </w:pPr>
                                  <w:r>
                                    <w:rPr>
                                      <w:rFonts w:ascii="Arial" w:eastAsia="Arial" w:hAnsi="Arial" w:cs="Arial"/>
                                      <w:b/>
                                      <w:color w:val="FF0000"/>
                                      <w:sz w:val="22"/>
                                    </w:rPr>
                                    <w:t>2</w:t>
                                  </w:r>
                                </w:p>
                              </w:txbxContent>
                            </wps:txbx>
                            <wps:bodyPr spcFirstLastPara="1" wrap="square" lIns="91425" tIns="45700" rIns="91425" bIns="45700" anchor="t" anchorCtr="0">
                              <a:noAutofit/>
                            </wps:bodyPr>
                          </wps:wsp>
                        </a:graphicData>
                      </a:graphic>
                    </wp:anchor>
                  </w:drawing>
                </mc:Choice>
                <mc:Fallback>
                  <w:pict>
                    <v:rect w14:anchorId="11059DA7" id="Rectángulo 248" o:spid="_x0000_s1029" style="position:absolute;left:0;text-align:left;margin-left:-1pt;margin-top:110.6pt;width:186.65pt;height:111.3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uH3AEAAI4DAAAOAAAAZHJzL2Uyb0RvYy54bWysU9uO0zAQfUfiHyy/01zb0qjuCrEqQlpB&#10;xcIHuI7TWPIN223Sz+Fb+DHGTna3wBvixZmbZs45M9nejUqiC3deGE1wscgx4pqZVugTwd++7t+8&#10;xcgHqlsqjeYEX7nHd7vXr7aDbXhpeiNb7hA00b4ZLMF9CLbJMs96rqhfGMs1JDvjFA3gulPWOjpA&#10;dyWzMs9X2WBca51h3HuI3k9JvEv9u46z8LnrPA9IEgzYQnpdeo/xzXZb2pwctb1gMwz6DygUFRqG&#10;Pre6p4GisxN/tVKCOeNNFxbMqMx0nWA8cQA2Rf4Hm8eeWp64gDjePsvk/19b9ulycEi0BJc1rEpT&#10;BUv6ArL9/KFPZ2lQDINIg/UN1D7ag5s9D2ZkPHZOxS9wQSPBdbFaLqslRleCq3y9Xm1mkfkYEIOC&#10;slrlmwp2waCiqPN6VaaK7KWVdT584EahaBDsAE4Sl14efIDxUPpUEidrsxdSpk1K/VsACmMki+gn&#10;vNEK43FMlKsnZkfTXkEGb9lewMgH6sOBOjiEAqMBjoNg//1MHcdIftSg/qaoS6AYklMv1znQcbeZ&#10;422GatYbuLmA0WS+D+kCJ6jvzsF0ItGK4CYoM2ZYemI7H2i8qls/Vb38RrtfAAAA//8DAFBLAwQU&#10;AAYACAAAACEA6PfpVN0AAAAKAQAADwAAAGRycy9kb3ducmV2LnhtbEyPMU/DMBSEdyT+g/WQ2Fon&#10;TmghxKkQgoGRtENHN34kEfZzZDtt+u8xE4ynO919V+8Wa9gZfRgdScjXGTCkzumRegmH/fvqEViI&#10;irQyjlDCFQPsmtubWlXaXegTz23sWSqhUCkJQ4xTxXnoBrQqrN2ElLwv562KSfqea68uqdwaLrJs&#10;w60aKS0MasLXAbvvdrYSJjR6NmWbHTv+5inffOz59UHK+7vl5RlYxCX+heEXP6FDk5hObiYdmJGw&#10;EulKlCBELoClQLHNC2AnCWVZPAFvav7/QvMDAAD//wMAUEsBAi0AFAAGAAgAAAAhALaDOJL+AAAA&#10;4QEAABMAAAAAAAAAAAAAAAAAAAAAAFtDb250ZW50X1R5cGVzXS54bWxQSwECLQAUAAYACAAAACEA&#10;OP0h/9YAAACUAQAACwAAAAAAAAAAAAAAAAAvAQAAX3JlbHMvLnJlbHNQSwECLQAUAAYACAAAACEA&#10;02SLh9wBAACOAwAADgAAAAAAAAAAAAAAAAAuAgAAZHJzL2Uyb0RvYy54bWxQSwECLQAUAAYACAAA&#10;ACEA6PfpVN0AAAAKAQAADwAAAAAAAAAAAAAAAAA2BAAAZHJzL2Rvd25yZXYueG1sUEsFBgAAAAAE&#10;AAQA8wAAAEAFAAAAAA==&#10;" filled="f" stroked="f">
                      <v:textbox inset="2.53958mm,1.2694mm,2.53958mm,1.2694mm">
                        <w:txbxContent>
                          <w:p w14:paraId="312B3FFF" w14:textId="77777777" w:rsidR="00C300AB" w:rsidRDefault="00E27DA4">
                            <w:pPr>
                              <w:textDirection w:val="btLr"/>
                            </w:pPr>
                            <w:r>
                              <w:rPr>
                                <w:rFonts w:ascii="Arial" w:eastAsia="Arial" w:hAnsi="Arial" w:cs="Arial"/>
                                <w:b/>
                                <w:color w:val="FF0000"/>
                                <w:sz w:val="22"/>
                              </w:rPr>
                              <w:t>2</w:t>
                            </w:r>
                          </w:p>
                        </w:txbxContent>
                      </v:textbox>
                    </v:rect>
                  </w:pict>
                </mc:Fallback>
              </mc:AlternateContent>
            </w:r>
          </w:p>
        </w:tc>
      </w:tr>
      <w:tr w:rsidR="00C300AB" w14:paraId="2BEDA44B" w14:textId="77777777" w:rsidTr="00C300AB">
        <w:tc>
          <w:tcPr>
            <w:cnfStyle w:val="001000000000" w:firstRow="0" w:lastRow="0" w:firstColumn="1" w:lastColumn="0" w:oddVBand="0" w:evenVBand="0" w:oddHBand="0" w:evenHBand="0" w:firstRowFirstColumn="0" w:firstRowLastColumn="0" w:lastRowFirstColumn="0" w:lastRowLastColumn="0"/>
            <w:tcW w:w="1980" w:type="dxa"/>
          </w:tcPr>
          <w:p w14:paraId="1EDC767D" w14:textId="77777777" w:rsidR="00C300AB" w:rsidRDefault="00E27DA4">
            <w:pPr>
              <w:tabs>
                <w:tab w:val="left" w:pos="426"/>
              </w:tabs>
              <w:spacing w:line="360" w:lineRule="auto"/>
              <w:ind w:right="36"/>
              <w:jc w:val="center"/>
              <w:rPr>
                <w:rFonts w:ascii="Arial" w:eastAsia="Arial" w:hAnsi="Arial" w:cs="Arial"/>
                <w:sz w:val="24"/>
                <w:szCs w:val="24"/>
              </w:rPr>
            </w:pPr>
            <w:r>
              <w:rPr>
                <w:rFonts w:ascii="Arial" w:eastAsia="Arial" w:hAnsi="Arial" w:cs="Arial"/>
                <w:sz w:val="24"/>
                <w:szCs w:val="24"/>
              </w:rPr>
              <w:t>2. Ana Laura Gómez Calzada</w:t>
            </w:r>
          </w:p>
        </w:tc>
        <w:tc>
          <w:tcPr>
            <w:tcW w:w="3260" w:type="dxa"/>
          </w:tcPr>
          <w:p w14:paraId="0ABA5EB9" w14:textId="77777777" w:rsidR="00C300AB" w:rsidRDefault="00E27DA4">
            <w:pPr>
              <w:tabs>
                <w:tab w:val="left" w:pos="426"/>
              </w:tabs>
              <w:spacing w:line="360" w:lineRule="auto"/>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Diputada de la LXV Legislatura del Congreso del Estado de Aguascalientes</w:t>
            </w:r>
          </w:p>
        </w:tc>
        <w:tc>
          <w:tcPr>
            <w:tcW w:w="4436" w:type="dxa"/>
          </w:tcPr>
          <w:p w14:paraId="2AD0935C" w14:textId="77777777" w:rsidR="00C300AB" w:rsidRDefault="00E27DA4">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2:</w:t>
            </w:r>
          </w:p>
          <w:p w14:paraId="1EB1F416" w14:textId="77777777" w:rsidR="00C300AB" w:rsidRDefault="00E27DA4">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noProof/>
              </w:rPr>
              <w:drawing>
                <wp:inline distT="0" distB="0" distL="0" distR="0" wp14:anchorId="38749FF0" wp14:editId="6D289CDE">
                  <wp:extent cx="2655084" cy="1504547"/>
                  <wp:effectExtent l="0" t="0" r="0" b="0"/>
                  <wp:docPr id="2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23081" t="27801" r="42796" b="37827"/>
                          <a:stretch>
                            <a:fillRect/>
                          </a:stretch>
                        </pic:blipFill>
                        <pic:spPr>
                          <a:xfrm>
                            <a:off x="0" y="0"/>
                            <a:ext cx="2655084" cy="1504547"/>
                          </a:xfrm>
                          <a:prstGeom prst="rect">
                            <a:avLst/>
                          </a:prstGeom>
                          <a:ln/>
                        </pic:spPr>
                      </pic:pic>
                    </a:graphicData>
                  </a:graphic>
                </wp:inline>
              </w:drawing>
            </w:r>
            <w:r>
              <w:rPr>
                <w:noProof/>
              </w:rPr>
              <mc:AlternateContent>
                <mc:Choice Requires="wps">
                  <w:drawing>
                    <wp:anchor distT="0" distB="0" distL="114300" distR="114300" simplePos="0" relativeHeight="251662336" behindDoc="0" locked="0" layoutInCell="1" hidden="0" allowOverlap="1" wp14:anchorId="4A16D2F4" wp14:editId="68A7C077">
                      <wp:simplePos x="0" y="0"/>
                      <wp:positionH relativeFrom="column">
                        <wp:posOffset>381000</wp:posOffset>
                      </wp:positionH>
                      <wp:positionV relativeFrom="paragraph">
                        <wp:posOffset>152400</wp:posOffset>
                      </wp:positionV>
                      <wp:extent cx="891540" cy="1043940"/>
                      <wp:effectExtent l="0" t="0" r="0" b="0"/>
                      <wp:wrapNone/>
                      <wp:docPr id="249" name="Elipse 249"/>
                      <wp:cNvGraphicFramePr/>
                      <a:graphic xmlns:a="http://schemas.openxmlformats.org/drawingml/2006/main">
                        <a:graphicData uri="http://schemas.microsoft.com/office/word/2010/wordprocessingShape">
                          <wps:wsp>
                            <wps:cNvSpPr/>
                            <wps:spPr>
                              <a:xfrm>
                                <a:off x="4919280" y="3277080"/>
                                <a:ext cx="853440" cy="1005840"/>
                              </a:xfrm>
                              <a:prstGeom prst="ellipse">
                                <a:avLst/>
                              </a:prstGeom>
                              <a:noFill/>
                              <a:ln w="38100" cap="flat" cmpd="sng">
                                <a:solidFill>
                                  <a:srgbClr val="FF0000"/>
                                </a:solidFill>
                                <a:prstDash val="solid"/>
                                <a:round/>
                                <a:headEnd type="none" w="sm" len="sm"/>
                                <a:tailEnd type="none" w="sm" len="sm"/>
                              </a:ln>
                            </wps:spPr>
                            <wps:txbx>
                              <w:txbxContent>
                                <w:p w14:paraId="18783888" w14:textId="77777777" w:rsidR="00C300AB" w:rsidRDefault="00C300AB">
                                  <w:pPr>
                                    <w:textDirection w:val="btLr"/>
                                  </w:pPr>
                                </w:p>
                              </w:txbxContent>
                            </wps:txbx>
                            <wps:bodyPr spcFirstLastPara="1" wrap="square" lIns="91425" tIns="91425" rIns="91425" bIns="91425" anchor="ctr" anchorCtr="0">
                              <a:noAutofit/>
                            </wps:bodyPr>
                          </wps:wsp>
                        </a:graphicData>
                      </a:graphic>
                    </wp:anchor>
                  </w:drawing>
                </mc:Choice>
                <mc:Fallback>
                  <w:pict>
                    <v:oval w14:anchorId="4A16D2F4" id="Elipse 249" o:spid="_x0000_s1030" style="position:absolute;left:0;text-align:left;margin-left:30pt;margin-top:12pt;width:70.2pt;height:8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hxKwIAAEkEAAAOAAAAZHJzL2Uyb0RvYy54bWysVNuO0zAQfUfiHyy/01w2Zduq6Qpttwhp&#10;BZUWPmDqOI0lxzYet2n/nrFTtgUekBB5cGbskzMzxzNZPpx6zY7So7Km5sUk50waYRtl9jX/9nXz&#10;bsYZBjANaGtkzc8S+cPq7Zvl4BaytJ3VjfSMSAwuBlfzLgS3yDIUnewBJ9ZJQ4et9T0Ecv0+azwM&#10;xN7rrMzz99lgfeO8FRKRdtfjIV8l/raVInxpW5SB6ZpTbiGtPq27uGarJSz2HlynxCUN+IcselCG&#10;gr5SrSEAO3j1B1WvhLdo2zARts9s2yohUw1UTZH/Vs1LB06mWkgcdK8y4f+jFZ+PW89UU/OymnNm&#10;oKdLetLKoWRxh/QZHC4I9uK2/uIhmbHYU+v7+KYy2Knm1byYlzNS+Vzzu/L+Pic76StPgQkCzKZ3&#10;VUXnggBFnk9n5BAguzI5j+GjtD2LRs2lTpkkZeH4jGFE/0TF2MZulNYpjDZsoMgzoqYYQN3Uaghk&#10;9o7qQ7NPPGi1auI38Wv0+92j9uwI1B+bTU7PJaNfYDHgGrAbcelorMzbg2lS8E5C82QaFs6OFDTU&#10;7Dxmgz1nWtJokJFwAZT+O44k0YaUidqPakcrnHandFdV5Io7O9uc6f7QiY2iHJ8BwxY8dXBB0amr&#10;Ke73A3jKRX8y1DbzoiqnNAa3jr91drcOGNFZGhYRPGej8xjS8IzKfzgE26p0KddkLllTv6abvcxW&#10;HIhbP6Guf4DVDwAAAP//AwBQSwMEFAAGAAgAAAAhADwuP4TcAAAACQEAAA8AAABkcnMvZG93bnJl&#10;di54bWxMj0FLxDAQhe+C/yGM4M1NXMoaatNFhMVDRbDrD5htsm3ZZlKadFv/veNJT8PwHu99r9iv&#10;fhBXN8U+kIHHjQLhqAm2p9bA1/HwoEHEhGRxCOQMfLsI+/L2psDchoU+3bVOreAQijka6FIacylj&#10;0zmPcRNGR6ydw+Qx8Tu10k64cLgf5FapnfTYEzd0OLrXzjWXevYGQu2rJ/02q4P6qHCpKo3vYzTm&#10;/m59eQaR3Jr+zPCLz+hQMtMpzGSjGAzsFE9JBrYZX9a5LQNxYqPWGciykP8XlD8AAAD//wMAUEsB&#10;Ai0AFAAGAAgAAAAhALaDOJL+AAAA4QEAABMAAAAAAAAAAAAAAAAAAAAAAFtDb250ZW50X1R5cGVz&#10;XS54bWxQSwECLQAUAAYACAAAACEAOP0h/9YAAACUAQAACwAAAAAAAAAAAAAAAAAvAQAAX3JlbHMv&#10;LnJlbHNQSwECLQAUAAYACAAAACEA7Ij4cSsCAABJBAAADgAAAAAAAAAAAAAAAAAuAgAAZHJzL2Uy&#10;b0RvYy54bWxQSwECLQAUAAYACAAAACEAPC4/hNwAAAAJAQAADwAAAAAAAAAAAAAAAACFBAAAZHJz&#10;L2Rvd25yZXYueG1sUEsFBgAAAAAEAAQA8wAAAI4FAAAAAA==&#10;" filled="f" strokecolor="red" strokeweight="3pt">
                      <v:stroke startarrowwidth="narrow" startarrowlength="short" endarrowwidth="narrow" endarrowlength="short"/>
                      <v:textbox inset="2.53958mm,2.53958mm,2.53958mm,2.53958mm">
                        <w:txbxContent>
                          <w:p w14:paraId="18783888" w14:textId="77777777" w:rsidR="00C300AB" w:rsidRDefault="00C300AB">
                            <w:pPr>
                              <w:textDirection w:val="btLr"/>
                            </w:pPr>
                          </w:p>
                        </w:txbxContent>
                      </v:textbox>
                    </v:oval>
                  </w:pict>
                </mc:Fallback>
              </mc:AlternateContent>
            </w:r>
            <w:r>
              <w:rPr>
                <w:noProof/>
              </w:rPr>
              <mc:AlternateContent>
                <mc:Choice Requires="wps">
                  <w:drawing>
                    <wp:anchor distT="45720" distB="45720" distL="114300" distR="114300" simplePos="0" relativeHeight="251663360" behindDoc="0" locked="0" layoutInCell="1" hidden="0" allowOverlap="1" wp14:anchorId="068F8FAB" wp14:editId="4C873EF4">
                      <wp:simplePos x="0" y="0"/>
                      <wp:positionH relativeFrom="column">
                        <wp:posOffset>482600</wp:posOffset>
                      </wp:positionH>
                      <wp:positionV relativeFrom="paragraph">
                        <wp:posOffset>1125220</wp:posOffset>
                      </wp:positionV>
                      <wp:extent cx="2370455" cy="1414145"/>
                      <wp:effectExtent l="0" t="0" r="0" b="0"/>
                      <wp:wrapNone/>
                      <wp:docPr id="243" name="Rectángulo 243"/>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22004815" w14:textId="77777777" w:rsidR="00C300AB" w:rsidRDefault="00E27DA4">
                                  <w:pPr>
                                    <w:textDirection w:val="btLr"/>
                                  </w:pPr>
                                  <w:r>
                                    <w:rPr>
                                      <w:rFonts w:ascii="Arial" w:eastAsia="Arial" w:hAnsi="Arial" w:cs="Arial"/>
                                      <w:b/>
                                      <w:color w:val="FF0000"/>
                                      <w:sz w:val="22"/>
                                    </w:rPr>
                                    <w:t>2</w:t>
                                  </w:r>
                                </w:p>
                              </w:txbxContent>
                            </wps:txbx>
                            <wps:bodyPr spcFirstLastPara="1" wrap="square" lIns="91425" tIns="45700" rIns="91425" bIns="45700" anchor="t" anchorCtr="0">
                              <a:noAutofit/>
                            </wps:bodyPr>
                          </wps:wsp>
                        </a:graphicData>
                      </a:graphic>
                    </wp:anchor>
                  </w:drawing>
                </mc:Choice>
                <mc:Fallback>
                  <w:pict>
                    <v:rect w14:anchorId="068F8FAB" id="Rectángulo 243" o:spid="_x0000_s1031" style="position:absolute;left:0;text-align:left;margin-left:38pt;margin-top:88.6pt;width:186.6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q73QEAAI4DAAAOAAAAZHJzL2Uyb0RvYy54bWysU9uO0zAQfUfiHyy/09xTGjVdIVZFSCuo&#10;WPgA17EbS/EF223Sz+Fb+DHGTna3wBvixZnL0cw5M5Pt3SQHdGHWCa1anK1SjJiiuhPq1OJvX/dv&#10;3mLkPFEdGbRiLb4yh+92r19tR9OwXPd66JhFUES5ZjQt7r03TZI42jNJ3EobpiDJtZXEg2tPSWfJ&#10;CNXlkORpWiejtp2xmjLnIHo/J/Eu1uecUf+Zc8c8GloM3Hx8bXyP4U12W9KcLDG9oAsN8g8sJBEK&#10;mj6XuieeoLMVf5WSglrtNPcrqmWiOReURQ2gJkv/UPPYE8OiFhiOM89jcv+vLP10OVgkuhbnZYGR&#10;IhKW9AXG9vOHOp0HjUIYhjQa1wD20Rzs4jkwg+KJWxm+oAVNLS6zuqqKCqNri4t0va43y5DZ5BEF&#10;QF7U6aaAXVBAZGVa1nlEJC+ljHX+A9MSBaPFFujE4ZLLg/PQHqBPkNBZ6b0YhrjJQf0WAGCIJIH9&#10;zDdYfjpOUXL1pOyouyuMwRm6F9DygTh/IBYOIcNohONosft+JpZhNHxUMP1NVuYg0UenrNYpyLG3&#10;meNthijaa7g5j9FsvvfxAmeq785ecxFlBXIzlYUzLD2qXQ40XNWtH1Evv9HuFwAAAP//AwBQSwME&#10;FAAGAAgAAAAhAMxdekzeAAAACgEAAA8AAABkcnMvZG93bnJldi54bWxMj8FOwzAQRO9I/IO1SNyo&#10;0zYkJI1TIQQHjqQcOLrxkkS111HstOnfs5zgODuj2TfVfnFWnHEKgycF61UCAqn1ZqBOwefh7eEJ&#10;RIiajLaeUMEVA+zr25tKl8Zf6APPTewEl1AotYI+xrGUMrQ9Oh1WfkRi79tPTkeWUyfNpC9c7qzc&#10;JEkmnR6IP/R6xJce21MzOwUjWjPbtEm+Wvk60Tp7P8jro1L3d8vzDkTEJf6F4Ref0aFmpqOfyQRh&#10;FeQZT4l8z/MNCA6kabEFcVSwLYoCZF3J/xPqHwAAAP//AwBQSwECLQAUAAYACAAAACEAtoM4kv4A&#10;AADhAQAAEwAAAAAAAAAAAAAAAAAAAAAAW0NvbnRlbnRfVHlwZXNdLnhtbFBLAQItABQABgAIAAAA&#10;IQA4/SH/1gAAAJQBAAALAAAAAAAAAAAAAAAAAC8BAABfcmVscy8ucmVsc1BLAQItABQABgAIAAAA&#10;IQAIOgq73QEAAI4DAAAOAAAAAAAAAAAAAAAAAC4CAABkcnMvZTJvRG9jLnhtbFBLAQItABQABgAI&#10;AAAAIQDMXXpM3gAAAAoBAAAPAAAAAAAAAAAAAAAAADcEAABkcnMvZG93bnJldi54bWxQSwUGAAAA&#10;AAQABADzAAAAQgUAAAAA&#10;" filled="f" stroked="f">
                      <v:textbox inset="2.53958mm,1.2694mm,2.53958mm,1.2694mm">
                        <w:txbxContent>
                          <w:p w14:paraId="22004815" w14:textId="77777777" w:rsidR="00C300AB" w:rsidRDefault="00E27DA4">
                            <w:pPr>
                              <w:textDirection w:val="btLr"/>
                            </w:pPr>
                            <w:r>
                              <w:rPr>
                                <w:rFonts w:ascii="Arial" w:eastAsia="Arial" w:hAnsi="Arial" w:cs="Arial"/>
                                <w:b/>
                                <w:color w:val="FF0000"/>
                                <w:sz w:val="22"/>
                              </w:rPr>
                              <w:t>2</w:t>
                            </w:r>
                          </w:p>
                        </w:txbxContent>
                      </v:textbox>
                    </v:rect>
                  </w:pict>
                </mc:Fallback>
              </mc:AlternateContent>
            </w:r>
          </w:p>
        </w:tc>
      </w:tr>
    </w:tbl>
    <w:p w14:paraId="56C4A2D8" w14:textId="77777777" w:rsidR="00C300AB" w:rsidRDefault="00C300AB">
      <w:pPr>
        <w:pBdr>
          <w:top w:val="nil"/>
          <w:left w:val="nil"/>
          <w:bottom w:val="nil"/>
          <w:right w:val="nil"/>
          <w:between w:val="nil"/>
        </w:pBdr>
        <w:rPr>
          <w:color w:val="000000"/>
        </w:rPr>
      </w:pPr>
    </w:p>
    <w:p w14:paraId="50A80AE4" w14:textId="77777777" w:rsidR="00C300AB" w:rsidRDefault="00C300AB">
      <w:pPr>
        <w:pBdr>
          <w:top w:val="nil"/>
          <w:left w:val="nil"/>
          <w:bottom w:val="nil"/>
          <w:right w:val="nil"/>
          <w:between w:val="nil"/>
        </w:pBdr>
        <w:rPr>
          <w:color w:val="000000"/>
          <w:sz w:val="16"/>
          <w:szCs w:val="16"/>
        </w:rPr>
      </w:pPr>
    </w:p>
    <w:p w14:paraId="59B69F2C" w14:textId="77777777" w:rsidR="00C300AB" w:rsidRDefault="00E27DA4">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2. Defensa</w:t>
      </w:r>
    </w:p>
    <w:p w14:paraId="4E054CBA" w14:textId="77777777" w:rsidR="00C300AB" w:rsidRDefault="00C300AB">
      <w:pPr>
        <w:pBdr>
          <w:top w:val="nil"/>
          <w:left w:val="nil"/>
          <w:bottom w:val="nil"/>
          <w:right w:val="nil"/>
          <w:between w:val="nil"/>
        </w:pBdr>
        <w:rPr>
          <w:color w:val="000000"/>
        </w:rPr>
      </w:pPr>
    </w:p>
    <w:p w14:paraId="3C5D4B12" w14:textId="77777777" w:rsidR="00C300AB" w:rsidRDefault="00E27DA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2.1. Defensa de Aldo Emmanuel Ruiz Sánchez. </w:t>
      </w:r>
      <w:r>
        <w:rPr>
          <w:rFonts w:ascii="Arial" w:eastAsia="Arial" w:hAnsi="Arial" w:cs="Arial"/>
          <w:color w:val="000000"/>
          <w:sz w:val="24"/>
          <w:szCs w:val="24"/>
        </w:rPr>
        <w:t>En su escrito de contestación, manifiesta lo siguiente:</w:t>
      </w:r>
    </w:p>
    <w:p w14:paraId="6215C0A9" w14:textId="77777777" w:rsidR="00C300AB" w:rsidRDefault="00E27DA4">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 que el 27 de agosto de 2021, renunció a la titularidad de la Delegación de Programas para el Desarrollo en el Estado de Aguascalientes y, que actualmente, no ostenta algún cargo público por el cual pudiera acreditarse la infracción denunciada. </w:t>
      </w:r>
    </w:p>
    <w:p w14:paraId="778D0C67" w14:textId="77777777" w:rsidR="00C300AB" w:rsidRDefault="00E27DA4">
      <w:pPr>
        <w:numPr>
          <w:ilvl w:val="0"/>
          <w:numId w:val="8"/>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Asegura que su participación en los eventos de la candidatura cuestionada, la realizó en su calidad de ciudadano y en ejercicio de su derecho a asociarse libremente, consagrada en el artículo 35 de la Constitución general. </w:t>
      </w:r>
    </w:p>
    <w:p w14:paraId="7921B2AA" w14:textId="77777777" w:rsidR="00C300AB" w:rsidRDefault="00C300AB">
      <w:pPr>
        <w:pBdr>
          <w:top w:val="nil"/>
          <w:left w:val="nil"/>
          <w:bottom w:val="nil"/>
          <w:right w:val="nil"/>
          <w:between w:val="nil"/>
        </w:pBdr>
        <w:rPr>
          <w:color w:val="000000"/>
        </w:rPr>
      </w:pPr>
    </w:p>
    <w:p w14:paraId="1CD02FA7" w14:textId="77777777" w:rsidR="00C300AB" w:rsidRDefault="00E27DA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2.2. Defensa de Ana Laura Gómez Calzada</w:t>
      </w:r>
      <w:r>
        <w:rPr>
          <w:rFonts w:ascii="Arial" w:eastAsia="Arial" w:hAnsi="Arial" w:cs="Arial"/>
          <w:color w:val="000000"/>
          <w:sz w:val="24"/>
          <w:szCs w:val="24"/>
        </w:rPr>
        <w:t xml:space="preserve">. En su escrito de contestación, hace valer lo siguiente: </w:t>
      </w:r>
    </w:p>
    <w:p w14:paraId="79C0D1F0"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Estima que, derivado de su calidad de Diputada de la LXV Legislatura del Congreso del Estado de Aguascalientes, su participación en las fotografías difundidas por la entonces </w:t>
      </w:r>
      <w:r>
        <w:rPr>
          <w:rFonts w:ascii="Arial" w:eastAsia="Arial" w:hAnsi="Arial" w:cs="Arial"/>
          <w:color w:val="000000"/>
          <w:sz w:val="24"/>
          <w:szCs w:val="24"/>
        </w:rPr>
        <w:lastRenderedPageBreak/>
        <w:t xml:space="preserve">candidata de Morena, es un hecho que está amparado bajo el principio de la inmunidad parlamentaria. </w:t>
      </w:r>
    </w:p>
    <w:p w14:paraId="7542CDD5"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Considera que el s</w:t>
      </w:r>
      <w:r>
        <w:rPr>
          <w:rFonts w:ascii="Arial" w:eastAsia="Arial" w:hAnsi="Arial" w:cs="Arial"/>
          <w:sz w:val="24"/>
          <w:szCs w:val="24"/>
        </w:rPr>
        <w:t>o</w:t>
      </w:r>
      <w:r>
        <w:rPr>
          <w:rFonts w:ascii="Arial" w:eastAsia="Arial" w:hAnsi="Arial" w:cs="Arial"/>
          <w:color w:val="000000"/>
          <w:sz w:val="24"/>
          <w:szCs w:val="24"/>
        </w:rPr>
        <w:t>lo hecho de aparecer en el contenido de las publicaciones denunciadas, no es motivo para acreditar que se han utilizado recursos públicos.</w:t>
      </w:r>
    </w:p>
    <w:p w14:paraId="1EDF6914"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Asegura que su participación en las fotografías cuestionadas, es un acto encaminado a promover el derecho al voto informado de la ciudadanía y, además, que esta se realizó en el ejercicio de su libertad de expresión</w:t>
      </w:r>
      <w:r>
        <w:rPr>
          <w:rFonts w:ascii="Arial" w:eastAsia="Arial" w:hAnsi="Arial" w:cs="Arial"/>
          <w:sz w:val="24"/>
          <w:szCs w:val="24"/>
        </w:rPr>
        <w:t xml:space="preserve"> y</w:t>
      </w:r>
      <w:r>
        <w:rPr>
          <w:rFonts w:ascii="Arial" w:eastAsia="Arial" w:hAnsi="Arial" w:cs="Arial"/>
          <w:color w:val="000000"/>
          <w:sz w:val="24"/>
          <w:szCs w:val="24"/>
        </w:rPr>
        <w:t xml:space="preserve"> de reunión.</w:t>
      </w:r>
    </w:p>
    <w:p w14:paraId="7BCEF21D"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 que no emitió ninguna opinión en los eventos denunciados, por tanto, no se puede acreditar que </w:t>
      </w:r>
      <w:r>
        <w:rPr>
          <w:rFonts w:ascii="Arial" w:eastAsia="Arial" w:hAnsi="Arial" w:cs="Arial"/>
          <w:sz w:val="24"/>
          <w:szCs w:val="24"/>
        </w:rPr>
        <w:t>vulneró</w:t>
      </w:r>
      <w:r>
        <w:rPr>
          <w:rFonts w:ascii="Arial" w:eastAsia="Arial" w:hAnsi="Arial" w:cs="Arial"/>
          <w:color w:val="000000"/>
          <w:sz w:val="24"/>
          <w:szCs w:val="24"/>
        </w:rPr>
        <w:t xml:space="preserve"> los principios de imparcialidad y neutralidad de la contienda electoral. </w:t>
      </w:r>
    </w:p>
    <w:p w14:paraId="4D2B382C" w14:textId="77777777" w:rsidR="00C300AB" w:rsidRDefault="00C300AB">
      <w:pPr>
        <w:pBdr>
          <w:top w:val="nil"/>
          <w:left w:val="nil"/>
          <w:bottom w:val="nil"/>
          <w:right w:val="nil"/>
          <w:between w:val="nil"/>
        </w:pBdr>
        <w:jc w:val="both"/>
        <w:rPr>
          <w:rFonts w:ascii="Arial" w:eastAsia="Arial" w:hAnsi="Arial" w:cs="Arial"/>
          <w:color w:val="000000"/>
          <w:sz w:val="24"/>
          <w:szCs w:val="24"/>
        </w:rPr>
      </w:pPr>
    </w:p>
    <w:p w14:paraId="0E16D0B8" w14:textId="77777777" w:rsidR="00C300AB" w:rsidRDefault="00E27DA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2.3. Defensas de Nora Ruvalcaba Gámez y Morena. </w:t>
      </w:r>
      <w:r>
        <w:rPr>
          <w:rFonts w:ascii="Arial" w:eastAsia="Arial" w:hAnsi="Arial" w:cs="Arial"/>
          <w:color w:val="000000"/>
          <w:sz w:val="24"/>
          <w:szCs w:val="24"/>
        </w:rPr>
        <w:t>En sus respectivos escritos de contestación, argumentan lo siguiente:</w:t>
      </w:r>
    </w:p>
    <w:p w14:paraId="1C51E96E"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Estiman que no existe relación entre los hechos planteados y las probanzas ofrecidas, pues de estas no se desprenden las circunstancias de modo, tiempo y lugar que acrediten la supuesta participación de los servidores públicos en los actos proselitistas,</w:t>
      </w:r>
      <w:r>
        <w:rPr>
          <w:rFonts w:ascii="Arial" w:eastAsia="Arial" w:hAnsi="Arial" w:cs="Arial"/>
          <w:sz w:val="24"/>
          <w:szCs w:val="24"/>
        </w:rPr>
        <w:t xml:space="preserve"> ni que ello constituya una vulneración a</w:t>
      </w:r>
      <w:r>
        <w:rPr>
          <w:rFonts w:ascii="Arial" w:eastAsia="Arial" w:hAnsi="Arial" w:cs="Arial"/>
          <w:color w:val="000000"/>
          <w:sz w:val="24"/>
          <w:szCs w:val="24"/>
        </w:rPr>
        <w:t xml:space="preserve"> los principios de imparcialidad, neutralidad y equidad en la contienda.</w:t>
      </w:r>
    </w:p>
    <w:p w14:paraId="0D74D87C"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Afirman que, de las publicaciones denunciadas, no es posible advertir manifestaciones o conductas que hubieran influido en el ánimo del electorado y, por tanto, no es posible que se acredite una v</w:t>
      </w:r>
      <w:r>
        <w:rPr>
          <w:rFonts w:ascii="Arial" w:eastAsia="Arial" w:hAnsi="Arial" w:cs="Arial"/>
          <w:sz w:val="24"/>
          <w:szCs w:val="24"/>
        </w:rPr>
        <w:t>ulneración</w:t>
      </w:r>
      <w:r>
        <w:rPr>
          <w:rFonts w:ascii="Arial" w:eastAsia="Arial" w:hAnsi="Arial" w:cs="Arial"/>
          <w:color w:val="000000"/>
          <w:sz w:val="24"/>
          <w:szCs w:val="24"/>
        </w:rPr>
        <w:t xml:space="preserve"> al principio de equidad.</w:t>
      </w:r>
    </w:p>
    <w:p w14:paraId="56A1D760"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Consideran que la sola aparición de las partes denunciadas en las fotografías en comento, no supone: </w:t>
      </w:r>
      <w:r>
        <w:rPr>
          <w:rFonts w:ascii="Arial" w:eastAsia="Arial" w:hAnsi="Arial" w:cs="Arial"/>
          <w:b/>
          <w:i/>
          <w:color w:val="000000"/>
          <w:sz w:val="24"/>
          <w:szCs w:val="24"/>
        </w:rPr>
        <w:t>i)</w:t>
      </w:r>
      <w:r>
        <w:rPr>
          <w:rFonts w:ascii="Arial" w:eastAsia="Arial" w:hAnsi="Arial" w:cs="Arial"/>
          <w:color w:val="000000"/>
          <w:sz w:val="24"/>
          <w:szCs w:val="24"/>
        </w:rPr>
        <w:t xml:space="preserve"> que se ostentaran como servidores públicos,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que hubieran desatendido, en el supuesto, sus funciones encomendadas o,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el uso de recursos públicos con fines partidistas; en consecuencia, no se vulneró el principio de imparcialidad y neutralidad en la contienda. </w:t>
      </w:r>
    </w:p>
    <w:p w14:paraId="19D05EE9" w14:textId="77777777" w:rsidR="00C300AB" w:rsidRDefault="00E27DA4">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Aseguran que, en todo caso, no existe restricción alguna para que los servidores públicos se aparten de sus preferencias partidistas, pues debe preservar su derecho de asociación y su libertad de expresión.</w:t>
      </w:r>
    </w:p>
    <w:p w14:paraId="69D5CCBC" w14:textId="77777777" w:rsidR="00C300AB" w:rsidRDefault="00C300AB">
      <w:pPr>
        <w:pBdr>
          <w:top w:val="nil"/>
          <w:left w:val="nil"/>
          <w:bottom w:val="nil"/>
          <w:right w:val="nil"/>
          <w:between w:val="nil"/>
        </w:pBdr>
        <w:rPr>
          <w:color w:val="000000"/>
          <w:sz w:val="16"/>
          <w:szCs w:val="16"/>
        </w:rPr>
      </w:pPr>
    </w:p>
    <w:p w14:paraId="4A1C3C10" w14:textId="77777777" w:rsidR="00C300AB" w:rsidRDefault="00E27DA4">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p>
    <w:p w14:paraId="3838FDA4" w14:textId="77777777" w:rsidR="00C300AB" w:rsidRDefault="00C300AB">
      <w:pPr>
        <w:pBdr>
          <w:top w:val="nil"/>
          <w:left w:val="nil"/>
          <w:bottom w:val="nil"/>
          <w:right w:val="nil"/>
          <w:between w:val="nil"/>
        </w:pBdr>
        <w:rPr>
          <w:color w:val="000000"/>
        </w:rPr>
      </w:pPr>
    </w:p>
    <w:p w14:paraId="7D674F85" w14:textId="77777777" w:rsidR="00C300AB" w:rsidRDefault="00E27DA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partido político denunciante: </w:t>
      </w:r>
    </w:p>
    <w:tbl>
      <w:tblPr>
        <w:tblStyle w:val="af"/>
        <w:tblW w:w="985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0"/>
        <w:gridCol w:w="2145"/>
        <w:gridCol w:w="7290"/>
      </w:tblGrid>
      <w:tr w:rsidR="00C300AB" w14:paraId="1B1936C3" w14:textId="77777777" w:rsidTr="00C300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A6A6A6"/>
          </w:tcPr>
          <w:p w14:paraId="7F62A470" w14:textId="77777777" w:rsidR="00C300AB" w:rsidRDefault="00E27DA4">
            <w:pPr>
              <w:jc w:val="center"/>
              <w:rPr>
                <w:rFonts w:ascii="Arial" w:eastAsia="Arial" w:hAnsi="Arial" w:cs="Arial"/>
                <w:sz w:val="16"/>
                <w:szCs w:val="16"/>
              </w:rPr>
            </w:pPr>
            <w:r>
              <w:rPr>
                <w:rFonts w:ascii="Arial" w:eastAsia="Arial" w:hAnsi="Arial" w:cs="Arial"/>
                <w:color w:val="000000"/>
                <w:sz w:val="16"/>
                <w:szCs w:val="16"/>
              </w:rPr>
              <w:t>#</w:t>
            </w:r>
          </w:p>
        </w:tc>
        <w:tc>
          <w:tcPr>
            <w:tcW w:w="2145" w:type="dxa"/>
            <w:shd w:val="clear" w:color="auto" w:fill="A6A6A6"/>
          </w:tcPr>
          <w:p w14:paraId="064B5819" w14:textId="77777777" w:rsidR="00C300AB" w:rsidRDefault="00E27DA4">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290" w:type="dxa"/>
            <w:shd w:val="clear" w:color="auto" w:fill="A6A6A6"/>
          </w:tcPr>
          <w:p w14:paraId="137F70DB" w14:textId="77777777" w:rsidR="00C300AB" w:rsidRDefault="00E27DA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C300AB" w14:paraId="7A529387" w14:textId="77777777" w:rsidTr="00C300A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315688F8" w14:textId="77777777" w:rsidR="00C300AB" w:rsidRDefault="00E27DA4">
            <w:pPr>
              <w:jc w:val="center"/>
              <w:rPr>
                <w:rFonts w:ascii="Arial" w:eastAsia="Arial" w:hAnsi="Arial" w:cs="Arial"/>
                <w:sz w:val="16"/>
                <w:szCs w:val="16"/>
              </w:rPr>
            </w:pPr>
            <w:r>
              <w:rPr>
                <w:rFonts w:ascii="Arial" w:eastAsia="Arial" w:hAnsi="Arial" w:cs="Arial"/>
                <w:sz w:val="16"/>
                <w:szCs w:val="16"/>
              </w:rPr>
              <w:t>1</w:t>
            </w:r>
          </w:p>
        </w:tc>
        <w:tc>
          <w:tcPr>
            <w:tcW w:w="2145" w:type="dxa"/>
            <w:shd w:val="clear" w:color="auto" w:fill="D9D9D9"/>
          </w:tcPr>
          <w:p w14:paraId="5FD1596D" w14:textId="77777777" w:rsidR="00C300AB" w:rsidRDefault="00E27DA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7290" w:type="dxa"/>
            <w:shd w:val="clear" w:color="auto" w:fill="D9D9D9"/>
          </w:tcPr>
          <w:p w14:paraId="7D608170" w14:textId="77777777" w:rsidR="00C300AB" w:rsidRDefault="00E27DA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Oficialía Electoral IEE/OE/132/2022.</w:t>
            </w:r>
          </w:p>
        </w:tc>
      </w:tr>
      <w:tr w:rsidR="00C300AB" w14:paraId="69FD66BA" w14:textId="77777777" w:rsidTr="00C300AB">
        <w:trPr>
          <w:trHeight w:val="225"/>
        </w:trPr>
        <w:tc>
          <w:tcPr>
            <w:cnfStyle w:val="001000000000" w:firstRow="0" w:lastRow="0" w:firstColumn="1" w:lastColumn="0" w:oddVBand="0" w:evenVBand="0" w:oddHBand="0" w:evenHBand="0" w:firstRowFirstColumn="0" w:firstRowLastColumn="0" w:lastRowFirstColumn="0" w:lastRowLastColumn="0"/>
            <w:tcW w:w="420" w:type="dxa"/>
          </w:tcPr>
          <w:p w14:paraId="4CF2AD56" w14:textId="77777777" w:rsidR="00C300AB" w:rsidRDefault="00E27DA4">
            <w:pPr>
              <w:rPr>
                <w:rFonts w:ascii="Arial" w:eastAsia="Arial" w:hAnsi="Arial" w:cs="Arial"/>
                <w:sz w:val="16"/>
                <w:szCs w:val="16"/>
              </w:rPr>
            </w:pPr>
            <w:r>
              <w:rPr>
                <w:rFonts w:ascii="Arial" w:eastAsia="Arial" w:hAnsi="Arial" w:cs="Arial"/>
                <w:sz w:val="16"/>
                <w:szCs w:val="16"/>
              </w:rPr>
              <w:t xml:space="preserve"> 2</w:t>
            </w:r>
          </w:p>
        </w:tc>
        <w:tc>
          <w:tcPr>
            <w:tcW w:w="2145" w:type="dxa"/>
          </w:tcPr>
          <w:p w14:paraId="14F0897F" w14:textId="77777777" w:rsidR="00C300AB" w:rsidRDefault="00E27DA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Instrumental de actuaciones </w:t>
            </w:r>
          </w:p>
        </w:tc>
        <w:tc>
          <w:tcPr>
            <w:tcW w:w="7290" w:type="dxa"/>
          </w:tcPr>
          <w:p w14:paraId="6AD78B06" w14:textId="77777777" w:rsidR="00C300AB" w:rsidRDefault="00E27DA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300AB" w14:paraId="23D9F6A1" w14:textId="77777777" w:rsidTr="00C30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395AF005" w14:textId="77777777" w:rsidR="00C300AB" w:rsidRDefault="00E27DA4">
            <w:pPr>
              <w:jc w:val="center"/>
              <w:rPr>
                <w:rFonts w:ascii="Arial" w:eastAsia="Arial" w:hAnsi="Arial" w:cs="Arial"/>
                <w:sz w:val="16"/>
                <w:szCs w:val="16"/>
              </w:rPr>
            </w:pPr>
            <w:r>
              <w:rPr>
                <w:rFonts w:ascii="Arial" w:eastAsia="Arial" w:hAnsi="Arial" w:cs="Arial"/>
                <w:sz w:val="16"/>
                <w:szCs w:val="16"/>
              </w:rPr>
              <w:t>3</w:t>
            </w:r>
          </w:p>
        </w:tc>
        <w:tc>
          <w:tcPr>
            <w:tcW w:w="2145" w:type="dxa"/>
            <w:shd w:val="clear" w:color="auto" w:fill="D9D9D9"/>
          </w:tcPr>
          <w:p w14:paraId="70B6D2B8" w14:textId="77777777" w:rsidR="00C300AB" w:rsidRDefault="00E27DA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7290" w:type="dxa"/>
            <w:shd w:val="clear" w:color="auto" w:fill="D9D9D9"/>
          </w:tcPr>
          <w:p w14:paraId="30BED40E" w14:textId="77777777" w:rsidR="00C300AB" w:rsidRDefault="00E27DA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7BD73449" w14:textId="77777777" w:rsidR="00C300AB" w:rsidRDefault="00C300AB">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77EF4402" w14:textId="77777777" w:rsidR="00A714FF" w:rsidRDefault="00A714FF">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70F0DAA7" w14:textId="77777777" w:rsidR="00A714FF" w:rsidRDefault="00A714FF">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09FDBE66" w14:textId="3110EA14" w:rsidR="00C300AB" w:rsidRDefault="00E27DA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3.2. Pruebas aportadas por Aldo Emmanuel Ruíz Sánchez: </w:t>
      </w:r>
    </w:p>
    <w:tbl>
      <w:tblPr>
        <w:tblStyle w:val="af0"/>
        <w:tblW w:w="982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0"/>
        <w:gridCol w:w="2145"/>
        <w:gridCol w:w="7260"/>
      </w:tblGrid>
      <w:tr w:rsidR="00C300AB" w14:paraId="00D704FB" w14:textId="77777777">
        <w:tc>
          <w:tcPr>
            <w:tcW w:w="420" w:type="dxa"/>
            <w:shd w:val="clear" w:color="auto" w:fill="A6A6A6"/>
          </w:tcPr>
          <w:p w14:paraId="667DF57E" w14:textId="77777777" w:rsidR="00C300AB" w:rsidRDefault="00E27DA4">
            <w:pPr>
              <w:jc w:val="center"/>
              <w:rPr>
                <w:rFonts w:ascii="Arial" w:eastAsia="Arial" w:hAnsi="Arial" w:cs="Arial"/>
                <w:b/>
                <w:sz w:val="16"/>
                <w:szCs w:val="16"/>
              </w:rPr>
            </w:pPr>
            <w:r>
              <w:rPr>
                <w:rFonts w:ascii="Arial" w:eastAsia="Arial" w:hAnsi="Arial" w:cs="Arial"/>
                <w:b/>
                <w:color w:val="000000"/>
                <w:sz w:val="16"/>
                <w:szCs w:val="16"/>
              </w:rPr>
              <w:t>#</w:t>
            </w:r>
          </w:p>
        </w:tc>
        <w:tc>
          <w:tcPr>
            <w:tcW w:w="2145" w:type="dxa"/>
            <w:shd w:val="clear" w:color="auto" w:fill="A6A6A6"/>
          </w:tcPr>
          <w:p w14:paraId="093FC396" w14:textId="77777777" w:rsidR="00C300AB" w:rsidRDefault="00E27DA4">
            <w:pPr>
              <w:rPr>
                <w:rFonts w:ascii="Arial" w:eastAsia="Arial" w:hAnsi="Arial" w:cs="Arial"/>
                <w:b/>
                <w:sz w:val="16"/>
                <w:szCs w:val="16"/>
              </w:rPr>
            </w:pPr>
            <w:r>
              <w:rPr>
                <w:rFonts w:ascii="Arial" w:eastAsia="Arial" w:hAnsi="Arial" w:cs="Arial"/>
                <w:b/>
                <w:color w:val="000000"/>
                <w:sz w:val="16"/>
                <w:szCs w:val="16"/>
              </w:rPr>
              <w:t>Prueba</w:t>
            </w:r>
          </w:p>
        </w:tc>
        <w:tc>
          <w:tcPr>
            <w:tcW w:w="7260" w:type="dxa"/>
            <w:shd w:val="clear" w:color="auto" w:fill="A6A6A6"/>
          </w:tcPr>
          <w:p w14:paraId="6E3EF8AD" w14:textId="77777777" w:rsidR="00C300AB" w:rsidRDefault="00E27DA4">
            <w:pPr>
              <w:jc w:val="center"/>
              <w:rPr>
                <w:rFonts w:ascii="Arial" w:eastAsia="Arial" w:hAnsi="Arial" w:cs="Arial"/>
                <w:b/>
                <w:sz w:val="16"/>
                <w:szCs w:val="16"/>
              </w:rPr>
            </w:pPr>
            <w:r>
              <w:rPr>
                <w:rFonts w:ascii="Arial" w:eastAsia="Arial" w:hAnsi="Arial" w:cs="Arial"/>
                <w:b/>
                <w:color w:val="000000"/>
                <w:sz w:val="16"/>
                <w:szCs w:val="16"/>
              </w:rPr>
              <w:t>Consistente en</w:t>
            </w:r>
          </w:p>
        </w:tc>
      </w:tr>
      <w:tr w:rsidR="00C300AB" w14:paraId="34B73E90" w14:textId="77777777">
        <w:trPr>
          <w:trHeight w:val="431"/>
        </w:trPr>
        <w:tc>
          <w:tcPr>
            <w:tcW w:w="420" w:type="dxa"/>
            <w:shd w:val="clear" w:color="auto" w:fill="D9D9D9"/>
          </w:tcPr>
          <w:p w14:paraId="53E6B5AC" w14:textId="77777777" w:rsidR="00C300AB" w:rsidRDefault="00E27DA4">
            <w:pPr>
              <w:jc w:val="center"/>
              <w:rPr>
                <w:rFonts w:ascii="Arial" w:eastAsia="Arial" w:hAnsi="Arial" w:cs="Arial"/>
                <w:b/>
                <w:sz w:val="16"/>
                <w:szCs w:val="16"/>
              </w:rPr>
            </w:pPr>
            <w:r>
              <w:rPr>
                <w:rFonts w:ascii="Arial" w:eastAsia="Arial" w:hAnsi="Arial" w:cs="Arial"/>
                <w:b/>
                <w:sz w:val="16"/>
                <w:szCs w:val="16"/>
              </w:rPr>
              <w:t>1</w:t>
            </w:r>
          </w:p>
        </w:tc>
        <w:tc>
          <w:tcPr>
            <w:tcW w:w="2145" w:type="dxa"/>
            <w:shd w:val="clear" w:color="auto" w:fill="D9D9D9"/>
          </w:tcPr>
          <w:p w14:paraId="54D472EF" w14:textId="77777777" w:rsidR="00C300AB" w:rsidRDefault="00E27DA4">
            <w:pPr>
              <w:rPr>
                <w:rFonts w:ascii="Arial" w:eastAsia="Arial" w:hAnsi="Arial" w:cs="Arial"/>
                <w:b/>
                <w:sz w:val="16"/>
                <w:szCs w:val="16"/>
              </w:rPr>
            </w:pPr>
            <w:proofErr w:type="gramStart"/>
            <w:r>
              <w:rPr>
                <w:rFonts w:ascii="Arial" w:eastAsia="Arial" w:hAnsi="Arial" w:cs="Arial"/>
                <w:b/>
                <w:sz w:val="16"/>
                <w:szCs w:val="16"/>
              </w:rPr>
              <w:t>Documental privada</w:t>
            </w:r>
            <w:proofErr w:type="gramEnd"/>
          </w:p>
        </w:tc>
        <w:tc>
          <w:tcPr>
            <w:tcW w:w="7260" w:type="dxa"/>
            <w:shd w:val="clear" w:color="auto" w:fill="D9D9D9"/>
          </w:tcPr>
          <w:p w14:paraId="754A0BE5" w14:textId="77777777" w:rsidR="00C300AB" w:rsidRDefault="00E27DA4">
            <w:pPr>
              <w:jc w:val="both"/>
              <w:rPr>
                <w:rFonts w:ascii="Arial" w:eastAsia="Arial" w:hAnsi="Arial" w:cs="Arial"/>
                <w:sz w:val="16"/>
                <w:szCs w:val="16"/>
              </w:rPr>
            </w:pPr>
            <w:r>
              <w:rPr>
                <w:rFonts w:ascii="Arial" w:eastAsia="Arial" w:hAnsi="Arial" w:cs="Arial"/>
                <w:sz w:val="16"/>
                <w:szCs w:val="16"/>
              </w:rPr>
              <w:t xml:space="preserve">Renuncia del ciudadano Aldo Emmanuel Ruíz Sánchez de su encargo como </w:t>
            </w:r>
            <w:proofErr w:type="gramStart"/>
            <w:r>
              <w:rPr>
                <w:rFonts w:ascii="Arial" w:eastAsia="Arial" w:hAnsi="Arial" w:cs="Arial"/>
                <w:sz w:val="16"/>
                <w:szCs w:val="16"/>
              </w:rPr>
              <w:t>Delegado</w:t>
            </w:r>
            <w:proofErr w:type="gramEnd"/>
            <w:r>
              <w:rPr>
                <w:rFonts w:ascii="Arial" w:eastAsia="Arial" w:hAnsi="Arial" w:cs="Arial"/>
                <w:sz w:val="16"/>
                <w:szCs w:val="16"/>
              </w:rPr>
              <w:t xml:space="preserve"> Estatal de Programas para el Desarrollo en el Estado de Aguascalientes. </w:t>
            </w:r>
          </w:p>
        </w:tc>
      </w:tr>
      <w:tr w:rsidR="00C300AB" w14:paraId="7C39AA9C"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74E7E337" w14:textId="77777777" w:rsidR="00C300AB" w:rsidRDefault="00E27DA4">
            <w:pPr>
              <w:jc w:val="center"/>
              <w:rPr>
                <w:rFonts w:ascii="Arial" w:eastAsia="Arial" w:hAnsi="Arial" w:cs="Arial"/>
                <w:b/>
                <w:sz w:val="16"/>
                <w:szCs w:val="16"/>
              </w:rPr>
            </w:pPr>
            <w:r>
              <w:rPr>
                <w:rFonts w:ascii="Arial" w:eastAsia="Arial" w:hAnsi="Arial" w:cs="Arial"/>
                <w:b/>
                <w:sz w:val="16"/>
                <w:szCs w:val="16"/>
              </w:rPr>
              <w:t>2</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7F04AB10" w14:textId="77777777" w:rsidR="00C300AB" w:rsidRDefault="00E27DA4">
            <w:pPr>
              <w:rPr>
                <w:rFonts w:ascii="Arial" w:eastAsia="Arial" w:hAnsi="Arial" w:cs="Arial"/>
                <w:b/>
                <w:sz w:val="16"/>
                <w:szCs w:val="16"/>
              </w:rPr>
            </w:pPr>
            <w:r>
              <w:rPr>
                <w:rFonts w:ascii="Arial" w:eastAsia="Arial" w:hAnsi="Arial" w:cs="Arial"/>
                <w:b/>
                <w:sz w:val="16"/>
                <w:szCs w:val="16"/>
              </w:rPr>
              <w:t xml:space="preserve">Instrumental de actuaciones </w:t>
            </w:r>
          </w:p>
        </w:tc>
        <w:tc>
          <w:tcPr>
            <w:tcW w:w="7260" w:type="dxa"/>
            <w:tcBorders>
              <w:top w:val="single" w:sz="4" w:space="0" w:color="666666"/>
              <w:left w:val="single" w:sz="4" w:space="0" w:color="666666"/>
              <w:bottom w:val="single" w:sz="4" w:space="0" w:color="666666"/>
              <w:right w:val="single" w:sz="4" w:space="0" w:color="666666"/>
            </w:tcBorders>
            <w:shd w:val="clear" w:color="auto" w:fill="auto"/>
          </w:tcPr>
          <w:p w14:paraId="71238F34" w14:textId="77777777" w:rsidR="00C300AB" w:rsidRDefault="00E27DA4">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300AB" w14:paraId="0C2C2673"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D9D9D9"/>
          </w:tcPr>
          <w:p w14:paraId="4B531217" w14:textId="77777777" w:rsidR="00C300AB" w:rsidRDefault="00E27DA4">
            <w:pPr>
              <w:jc w:val="center"/>
              <w:rPr>
                <w:rFonts w:ascii="Arial" w:eastAsia="Arial" w:hAnsi="Arial" w:cs="Arial"/>
                <w:b/>
                <w:sz w:val="16"/>
                <w:szCs w:val="16"/>
              </w:rPr>
            </w:pPr>
            <w:r>
              <w:rPr>
                <w:rFonts w:ascii="Arial" w:eastAsia="Arial" w:hAnsi="Arial" w:cs="Arial"/>
                <w:b/>
                <w:sz w:val="16"/>
                <w:szCs w:val="16"/>
              </w:rPr>
              <w:t>3</w:t>
            </w:r>
          </w:p>
        </w:tc>
        <w:tc>
          <w:tcPr>
            <w:tcW w:w="2145" w:type="dxa"/>
            <w:tcBorders>
              <w:top w:val="single" w:sz="4" w:space="0" w:color="666666"/>
              <w:left w:val="single" w:sz="4" w:space="0" w:color="666666"/>
              <w:bottom w:val="single" w:sz="4" w:space="0" w:color="666666"/>
              <w:right w:val="single" w:sz="4" w:space="0" w:color="666666"/>
            </w:tcBorders>
            <w:shd w:val="clear" w:color="auto" w:fill="D9D9D9"/>
          </w:tcPr>
          <w:p w14:paraId="4CE9DA17" w14:textId="77777777" w:rsidR="00C300AB" w:rsidRDefault="00E27DA4">
            <w:pPr>
              <w:rPr>
                <w:rFonts w:ascii="Arial" w:eastAsia="Arial" w:hAnsi="Arial" w:cs="Arial"/>
                <w:b/>
                <w:sz w:val="16"/>
                <w:szCs w:val="16"/>
              </w:rPr>
            </w:pPr>
            <w:r>
              <w:rPr>
                <w:rFonts w:ascii="Arial" w:eastAsia="Arial" w:hAnsi="Arial" w:cs="Arial"/>
                <w:b/>
                <w:sz w:val="16"/>
                <w:szCs w:val="16"/>
              </w:rPr>
              <w:t>Presuncional legal y humana</w:t>
            </w:r>
          </w:p>
        </w:tc>
        <w:tc>
          <w:tcPr>
            <w:tcW w:w="7260" w:type="dxa"/>
            <w:tcBorders>
              <w:top w:val="single" w:sz="4" w:space="0" w:color="666666"/>
              <w:left w:val="single" w:sz="4" w:space="0" w:color="666666"/>
              <w:bottom w:val="single" w:sz="4" w:space="0" w:color="666666"/>
              <w:right w:val="single" w:sz="4" w:space="0" w:color="666666"/>
            </w:tcBorders>
            <w:shd w:val="clear" w:color="auto" w:fill="D9D9D9"/>
          </w:tcPr>
          <w:p w14:paraId="4260871C" w14:textId="77777777" w:rsidR="00C300AB" w:rsidRDefault="00E27DA4">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2E273B6E" w14:textId="77777777" w:rsidR="00957EB1" w:rsidRDefault="00957EB1">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68560AB4" w14:textId="77777777" w:rsidR="00C300AB" w:rsidRDefault="00E27DA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3.3. Pruebas aportadas por Ana Laura Gómez Calzada: </w:t>
      </w:r>
    </w:p>
    <w:tbl>
      <w:tblPr>
        <w:tblStyle w:val="af1"/>
        <w:tblW w:w="976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0"/>
        <w:gridCol w:w="2145"/>
        <w:gridCol w:w="7200"/>
      </w:tblGrid>
      <w:tr w:rsidR="00C300AB" w14:paraId="1215575C" w14:textId="77777777">
        <w:tc>
          <w:tcPr>
            <w:tcW w:w="420" w:type="dxa"/>
            <w:shd w:val="clear" w:color="auto" w:fill="A6A6A6"/>
          </w:tcPr>
          <w:p w14:paraId="47E5906E" w14:textId="77777777" w:rsidR="00C300AB" w:rsidRDefault="00E27DA4">
            <w:pPr>
              <w:jc w:val="center"/>
              <w:rPr>
                <w:rFonts w:ascii="Arial" w:eastAsia="Arial" w:hAnsi="Arial" w:cs="Arial"/>
                <w:b/>
                <w:sz w:val="16"/>
                <w:szCs w:val="16"/>
              </w:rPr>
            </w:pPr>
            <w:r>
              <w:rPr>
                <w:rFonts w:ascii="Arial" w:eastAsia="Arial" w:hAnsi="Arial" w:cs="Arial"/>
                <w:b/>
                <w:color w:val="000000"/>
                <w:sz w:val="16"/>
                <w:szCs w:val="16"/>
              </w:rPr>
              <w:t>#</w:t>
            </w:r>
          </w:p>
        </w:tc>
        <w:tc>
          <w:tcPr>
            <w:tcW w:w="2145" w:type="dxa"/>
            <w:shd w:val="clear" w:color="auto" w:fill="A6A6A6"/>
          </w:tcPr>
          <w:p w14:paraId="4CE29B29" w14:textId="77777777" w:rsidR="00C300AB" w:rsidRDefault="00E27DA4">
            <w:pPr>
              <w:rPr>
                <w:rFonts w:ascii="Arial" w:eastAsia="Arial" w:hAnsi="Arial" w:cs="Arial"/>
                <w:b/>
                <w:sz w:val="16"/>
                <w:szCs w:val="16"/>
              </w:rPr>
            </w:pPr>
            <w:r>
              <w:rPr>
                <w:rFonts w:ascii="Arial" w:eastAsia="Arial" w:hAnsi="Arial" w:cs="Arial"/>
                <w:b/>
                <w:color w:val="000000"/>
                <w:sz w:val="16"/>
                <w:szCs w:val="16"/>
              </w:rPr>
              <w:t>Prueba</w:t>
            </w:r>
          </w:p>
        </w:tc>
        <w:tc>
          <w:tcPr>
            <w:tcW w:w="7200" w:type="dxa"/>
            <w:shd w:val="clear" w:color="auto" w:fill="A6A6A6"/>
          </w:tcPr>
          <w:p w14:paraId="2C674D83" w14:textId="77777777" w:rsidR="00C300AB" w:rsidRDefault="00E27DA4">
            <w:pPr>
              <w:jc w:val="center"/>
              <w:rPr>
                <w:rFonts w:ascii="Arial" w:eastAsia="Arial" w:hAnsi="Arial" w:cs="Arial"/>
                <w:b/>
                <w:sz w:val="16"/>
                <w:szCs w:val="16"/>
              </w:rPr>
            </w:pPr>
            <w:r>
              <w:rPr>
                <w:rFonts w:ascii="Arial" w:eastAsia="Arial" w:hAnsi="Arial" w:cs="Arial"/>
                <w:b/>
                <w:color w:val="000000"/>
                <w:sz w:val="16"/>
                <w:szCs w:val="16"/>
              </w:rPr>
              <w:t>Consistente en</w:t>
            </w:r>
          </w:p>
        </w:tc>
      </w:tr>
      <w:tr w:rsidR="00C300AB" w14:paraId="0EAA3356" w14:textId="77777777">
        <w:trPr>
          <w:trHeight w:val="431"/>
        </w:trPr>
        <w:tc>
          <w:tcPr>
            <w:tcW w:w="420" w:type="dxa"/>
            <w:shd w:val="clear" w:color="auto" w:fill="D9D9D9"/>
          </w:tcPr>
          <w:p w14:paraId="57C523CF" w14:textId="77777777" w:rsidR="00C300AB" w:rsidRDefault="00E27DA4">
            <w:pPr>
              <w:jc w:val="center"/>
              <w:rPr>
                <w:rFonts w:ascii="Arial" w:eastAsia="Arial" w:hAnsi="Arial" w:cs="Arial"/>
                <w:b/>
                <w:sz w:val="16"/>
                <w:szCs w:val="16"/>
              </w:rPr>
            </w:pPr>
            <w:r>
              <w:rPr>
                <w:rFonts w:ascii="Arial" w:eastAsia="Arial" w:hAnsi="Arial" w:cs="Arial"/>
                <w:b/>
                <w:sz w:val="16"/>
                <w:szCs w:val="16"/>
              </w:rPr>
              <w:t>1</w:t>
            </w:r>
          </w:p>
        </w:tc>
        <w:tc>
          <w:tcPr>
            <w:tcW w:w="2145" w:type="dxa"/>
            <w:shd w:val="clear" w:color="auto" w:fill="D9D9D9"/>
          </w:tcPr>
          <w:p w14:paraId="40FBAFAA" w14:textId="77777777" w:rsidR="00C300AB" w:rsidRDefault="00E27DA4">
            <w:pPr>
              <w:rPr>
                <w:rFonts w:ascii="Arial" w:eastAsia="Arial" w:hAnsi="Arial" w:cs="Arial"/>
                <w:b/>
                <w:sz w:val="16"/>
                <w:szCs w:val="16"/>
              </w:rPr>
            </w:pPr>
            <w:r>
              <w:rPr>
                <w:rFonts w:ascii="Arial" w:eastAsia="Arial" w:hAnsi="Arial" w:cs="Arial"/>
                <w:b/>
                <w:sz w:val="16"/>
                <w:szCs w:val="16"/>
              </w:rPr>
              <w:t>Técnica</w:t>
            </w:r>
          </w:p>
        </w:tc>
        <w:tc>
          <w:tcPr>
            <w:tcW w:w="7200" w:type="dxa"/>
            <w:shd w:val="clear" w:color="auto" w:fill="D9D9D9"/>
          </w:tcPr>
          <w:p w14:paraId="128EE314" w14:textId="77777777" w:rsidR="00C300AB" w:rsidRDefault="00E27DA4">
            <w:pPr>
              <w:jc w:val="both"/>
              <w:rPr>
                <w:rFonts w:ascii="Arial" w:eastAsia="Arial" w:hAnsi="Arial" w:cs="Arial"/>
                <w:sz w:val="16"/>
                <w:szCs w:val="16"/>
              </w:rPr>
            </w:pPr>
            <w:r>
              <w:rPr>
                <w:rFonts w:ascii="Arial" w:eastAsia="Arial" w:hAnsi="Arial" w:cs="Arial"/>
                <w:sz w:val="16"/>
                <w:szCs w:val="16"/>
              </w:rPr>
              <w:t xml:space="preserve">Las direcciones electrónicas siguientes: </w:t>
            </w:r>
            <w:hyperlink r:id="rId10">
              <w:r>
                <w:rPr>
                  <w:rFonts w:ascii="Arial" w:eastAsia="Arial" w:hAnsi="Arial" w:cs="Arial"/>
                  <w:color w:val="0000FF"/>
                  <w:sz w:val="16"/>
                  <w:szCs w:val="16"/>
                  <w:u w:val="single"/>
                </w:rPr>
                <w:t>https://www.facebook.com/photo/?fbid=496452468876582&amp;set=pb.100055354991877.-2207520000</w:t>
              </w:r>
            </w:hyperlink>
            <w:r>
              <w:rPr>
                <w:rFonts w:ascii="Arial" w:eastAsia="Arial" w:hAnsi="Arial" w:cs="Arial"/>
                <w:sz w:val="16"/>
                <w:szCs w:val="16"/>
              </w:rPr>
              <w:t xml:space="preserve"> y </w:t>
            </w:r>
            <w:hyperlink r:id="rId11">
              <w:r>
                <w:rPr>
                  <w:rFonts w:ascii="Arial" w:eastAsia="Arial" w:hAnsi="Arial" w:cs="Arial"/>
                  <w:color w:val="0000FF"/>
                  <w:sz w:val="16"/>
                  <w:szCs w:val="16"/>
                  <w:u w:val="single"/>
                </w:rPr>
                <w:t>https://www.facebook.com/photo/?fbid=491933075995188&amp;set=pb.100055354991877.-2207520000</w:t>
              </w:r>
            </w:hyperlink>
          </w:p>
        </w:tc>
      </w:tr>
      <w:tr w:rsidR="00C300AB" w14:paraId="4737840C"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32801F25" w14:textId="77777777" w:rsidR="00C300AB" w:rsidRDefault="00E27DA4">
            <w:pPr>
              <w:jc w:val="center"/>
              <w:rPr>
                <w:rFonts w:ascii="Arial" w:eastAsia="Arial" w:hAnsi="Arial" w:cs="Arial"/>
                <w:b/>
                <w:sz w:val="16"/>
                <w:szCs w:val="16"/>
              </w:rPr>
            </w:pPr>
            <w:r>
              <w:rPr>
                <w:rFonts w:ascii="Arial" w:eastAsia="Arial" w:hAnsi="Arial" w:cs="Arial"/>
                <w:b/>
                <w:sz w:val="16"/>
                <w:szCs w:val="16"/>
              </w:rPr>
              <w:t>2</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78378B0E" w14:textId="77777777" w:rsidR="00C300AB" w:rsidRDefault="00E27DA4">
            <w:pPr>
              <w:rPr>
                <w:rFonts w:ascii="Arial" w:eastAsia="Arial" w:hAnsi="Arial" w:cs="Arial"/>
                <w:b/>
                <w:sz w:val="16"/>
                <w:szCs w:val="16"/>
              </w:rPr>
            </w:pPr>
            <w:r>
              <w:rPr>
                <w:rFonts w:ascii="Arial" w:eastAsia="Arial" w:hAnsi="Arial" w:cs="Arial"/>
                <w:b/>
                <w:sz w:val="16"/>
                <w:szCs w:val="16"/>
              </w:rPr>
              <w:t xml:space="preserve">Presuncional legal y humana </w:t>
            </w:r>
          </w:p>
        </w:tc>
        <w:tc>
          <w:tcPr>
            <w:tcW w:w="7200" w:type="dxa"/>
            <w:tcBorders>
              <w:top w:val="single" w:sz="4" w:space="0" w:color="666666"/>
              <w:left w:val="single" w:sz="4" w:space="0" w:color="666666"/>
              <w:bottom w:val="single" w:sz="4" w:space="0" w:color="666666"/>
              <w:right w:val="single" w:sz="4" w:space="0" w:color="666666"/>
            </w:tcBorders>
            <w:shd w:val="clear" w:color="auto" w:fill="auto"/>
          </w:tcPr>
          <w:p w14:paraId="05DE9645" w14:textId="77777777" w:rsidR="00C300AB" w:rsidRDefault="00E27DA4">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300AB" w14:paraId="6DC83B09"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D9D9D9"/>
          </w:tcPr>
          <w:p w14:paraId="37D195EE" w14:textId="77777777" w:rsidR="00C300AB" w:rsidRDefault="00E27DA4">
            <w:pPr>
              <w:jc w:val="center"/>
              <w:rPr>
                <w:rFonts w:ascii="Arial" w:eastAsia="Arial" w:hAnsi="Arial" w:cs="Arial"/>
                <w:b/>
                <w:sz w:val="16"/>
                <w:szCs w:val="16"/>
              </w:rPr>
            </w:pPr>
            <w:r>
              <w:rPr>
                <w:rFonts w:ascii="Arial" w:eastAsia="Arial" w:hAnsi="Arial" w:cs="Arial"/>
                <w:b/>
                <w:sz w:val="16"/>
                <w:szCs w:val="16"/>
              </w:rPr>
              <w:t>3</w:t>
            </w:r>
          </w:p>
        </w:tc>
        <w:tc>
          <w:tcPr>
            <w:tcW w:w="2145" w:type="dxa"/>
            <w:tcBorders>
              <w:top w:val="single" w:sz="4" w:space="0" w:color="666666"/>
              <w:left w:val="single" w:sz="4" w:space="0" w:color="666666"/>
              <w:bottom w:val="single" w:sz="4" w:space="0" w:color="666666"/>
              <w:right w:val="single" w:sz="4" w:space="0" w:color="666666"/>
            </w:tcBorders>
            <w:shd w:val="clear" w:color="auto" w:fill="D9D9D9"/>
          </w:tcPr>
          <w:p w14:paraId="7E718F91" w14:textId="77777777" w:rsidR="00C300AB" w:rsidRDefault="00E27DA4">
            <w:pPr>
              <w:rPr>
                <w:rFonts w:ascii="Arial" w:eastAsia="Arial" w:hAnsi="Arial" w:cs="Arial"/>
                <w:b/>
                <w:sz w:val="16"/>
                <w:szCs w:val="16"/>
              </w:rPr>
            </w:pPr>
            <w:r>
              <w:rPr>
                <w:rFonts w:ascii="Arial" w:eastAsia="Arial" w:hAnsi="Arial" w:cs="Arial"/>
                <w:b/>
                <w:sz w:val="16"/>
                <w:szCs w:val="16"/>
              </w:rPr>
              <w:t>Instrumental de actuaciones</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cPr>
          <w:p w14:paraId="659DB226" w14:textId="77777777" w:rsidR="00C300AB" w:rsidRDefault="00E27DA4">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358DC34E" w14:textId="77777777" w:rsidR="00C300AB" w:rsidRDefault="00C300AB">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1A8A44B4" w14:textId="77777777" w:rsidR="00C300AB" w:rsidRDefault="00E27DA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w:t>
      </w:r>
      <w:r>
        <w:rPr>
          <w:rFonts w:ascii="Arial" w:eastAsia="Arial" w:hAnsi="Arial" w:cs="Arial"/>
          <w:b/>
          <w:sz w:val="24"/>
          <w:szCs w:val="24"/>
        </w:rPr>
        <w:t>4</w:t>
      </w:r>
      <w:r>
        <w:rPr>
          <w:rFonts w:ascii="Arial" w:eastAsia="Arial" w:hAnsi="Arial" w:cs="Arial"/>
          <w:b/>
          <w:color w:val="000000"/>
          <w:sz w:val="24"/>
          <w:szCs w:val="24"/>
        </w:rPr>
        <w:t>. Pruebas aportadas por Nora Ruvalcaba Gámez y el partido político denunciado:</w:t>
      </w:r>
    </w:p>
    <w:p w14:paraId="457A7E2A" w14:textId="77777777" w:rsidR="00C300AB" w:rsidRDefault="00C300AB">
      <w:pPr>
        <w:pBdr>
          <w:top w:val="nil"/>
          <w:left w:val="nil"/>
          <w:bottom w:val="nil"/>
          <w:right w:val="nil"/>
          <w:between w:val="nil"/>
        </w:pBdr>
        <w:rPr>
          <w:color w:val="000000"/>
        </w:rPr>
      </w:pPr>
    </w:p>
    <w:tbl>
      <w:tblPr>
        <w:tblStyle w:val="af2"/>
        <w:tblW w:w="9795"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20"/>
        <w:gridCol w:w="2145"/>
        <w:gridCol w:w="7230"/>
      </w:tblGrid>
      <w:tr w:rsidR="00C300AB" w14:paraId="109FA738" w14:textId="77777777" w:rsidTr="00C300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0746E3C2" w14:textId="77777777" w:rsidR="00C300AB" w:rsidRDefault="00E27DA4">
            <w:pPr>
              <w:jc w:val="center"/>
              <w:rPr>
                <w:rFonts w:ascii="Arial" w:eastAsia="Arial" w:hAnsi="Arial" w:cs="Arial"/>
                <w:sz w:val="16"/>
                <w:szCs w:val="16"/>
              </w:rPr>
            </w:pPr>
            <w:r>
              <w:rPr>
                <w:rFonts w:ascii="Arial" w:eastAsia="Arial" w:hAnsi="Arial" w:cs="Arial"/>
                <w:color w:val="000000"/>
                <w:sz w:val="16"/>
                <w:szCs w:val="16"/>
              </w:rPr>
              <w:t>#</w:t>
            </w:r>
          </w:p>
        </w:tc>
        <w:tc>
          <w:tcPr>
            <w:tcW w:w="2145" w:type="dxa"/>
          </w:tcPr>
          <w:p w14:paraId="459C3C6E" w14:textId="77777777" w:rsidR="00C300AB" w:rsidRDefault="00E27DA4">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230" w:type="dxa"/>
          </w:tcPr>
          <w:p w14:paraId="15C70F38" w14:textId="77777777" w:rsidR="00C300AB" w:rsidRDefault="00E27DA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C300AB" w14:paraId="26CDFAFF" w14:textId="77777777" w:rsidTr="00C300A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20" w:type="dxa"/>
          </w:tcPr>
          <w:p w14:paraId="57DEDAF2" w14:textId="77777777" w:rsidR="00C300AB" w:rsidRDefault="00E27DA4">
            <w:pPr>
              <w:jc w:val="center"/>
              <w:rPr>
                <w:rFonts w:ascii="Arial" w:eastAsia="Arial" w:hAnsi="Arial" w:cs="Arial"/>
                <w:sz w:val="16"/>
                <w:szCs w:val="16"/>
              </w:rPr>
            </w:pPr>
            <w:r>
              <w:rPr>
                <w:rFonts w:ascii="Arial" w:eastAsia="Arial" w:hAnsi="Arial" w:cs="Arial"/>
                <w:sz w:val="16"/>
                <w:szCs w:val="16"/>
              </w:rPr>
              <w:t>1</w:t>
            </w:r>
          </w:p>
        </w:tc>
        <w:tc>
          <w:tcPr>
            <w:tcW w:w="2145" w:type="dxa"/>
          </w:tcPr>
          <w:p w14:paraId="1B825A52" w14:textId="77777777" w:rsidR="00C300AB" w:rsidRDefault="00E27DA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Instrumental de actuaciones </w:t>
            </w:r>
          </w:p>
        </w:tc>
        <w:tc>
          <w:tcPr>
            <w:tcW w:w="7230" w:type="dxa"/>
          </w:tcPr>
          <w:p w14:paraId="72CFBE8C" w14:textId="77777777" w:rsidR="00C300AB" w:rsidRDefault="00E27DA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300AB" w14:paraId="48A51847" w14:textId="77777777" w:rsidTr="00C300AB">
        <w:tc>
          <w:tcPr>
            <w:cnfStyle w:val="001000000000" w:firstRow="0" w:lastRow="0" w:firstColumn="1" w:lastColumn="0" w:oddVBand="0" w:evenVBand="0" w:oddHBand="0" w:evenHBand="0" w:firstRowFirstColumn="0" w:firstRowLastColumn="0" w:lastRowFirstColumn="0" w:lastRowLastColumn="0"/>
            <w:tcW w:w="420" w:type="dxa"/>
          </w:tcPr>
          <w:p w14:paraId="4722BF1C" w14:textId="77777777" w:rsidR="00C300AB" w:rsidRDefault="00E27DA4">
            <w:pPr>
              <w:jc w:val="center"/>
              <w:rPr>
                <w:rFonts w:ascii="Arial" w:eastAsia="Arial" w:hAnsi="Arial" w:cs="Arial"/>
                <w:sz w:val="16"/>
                <w:szCs w:val="16"/>
              </w:rPr>
            </w:pPr>
            <w:r>
              <w:rPr>
                <w:rFonts w:ascii="Arial" w:eastAsia="Arial" w:hAnsi="Arial" w:cs="Arial"/>
                <w:sz w:val="16"/>
                <w:szCs w:val="16"/>
              </w:rPr>
              <w:t>2</w:t>
            </w:r>
          </w:p>
        </w:tc>
        <w:tc>
          <w:tcPr>
            <w:tcW w:w="2145" w:type="dxa"/>
          </w:tcPr>
          <w:p w14:paraId="1B0A7109" w14:textId="77777777" w:rsidR="00C300AB" w:rsidRDefault="00E27DA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7230" w:type="dxa"/>
          </w:tcPr>
          <w:p w14:paraId="7A9F3444" w14:textId="77777777" w:rsidR="00C300AB" w:rsidRDefault="00E27DA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00A13423" w14:textId="77777777" w:rsidR="00C300AB" w:rsidRDefault="00C300AB">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4359DC1C" w14:textId="77777777" w:rsidR="00C300AB" w:rsidRDefault="00E27DA4">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3.</w:t>
      </w:r>
      <w:r>
        <w:rPr>
          <w:rFonts w:ascii="Arial" w:eastAsia="Arial" w:hAnsi="Arial" w:cs="Arial"/>
          <w:b/>
          <w:sz w:val="24"/>
          <w:szCs w:val="24"/>
        </w:rPr>
        <w:t>5</w:t>
      </w:r>
      <w:r>
        <w:rPr>
          <w:rFonts w:ascii="Arial" w:eastAsia="Arial" w:hAnsi="Arial" w:cs="Arial"/>
          <w:b/>
          <w:color w:val="000000"/>
          <w:sz w:val="24"/>
          <w:szCs w:val="24"/>
        </w:rPr>
        <w:t xml:space="preserve">.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695DFD41" w14:textId="77777777" w:rsidR="00C300AB" w:rsidRDefault="00C300AB">
      <w:pPr>
        <w:pBdr>
          <w:top w:val="nil"/>
          <w:left w:val="nil"/>
          <w:bottom w:val="nil"/>
          <w:right w:val="nil"/>
          <w:between w:val="nil"/>
        </w:pBdr>
        <w:rPr>
          <w:color w:val="000000"/>
        </w:rPr>
      </w:pPr>
    </w:p>
    <w:p w14:paraId="55C99F2C" w14:textId="77777777" w:rsidR="00C300AB" w:rsidRDefault="00E27DA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32EC3ECA" w14:textId="77777777" w:rsidR="00C300AB" w:rsidRDefault="00C300AB">
      <w:pPr>
        <w:pBdr>
          <w:top w:val="nil"/>
          <w:left w:val="nil"/>
          <w:bottom w:val="nil"/>
          <w:right w:val="nil"/>
          <w:between w:val="nil"/>
        </w:pBdr>
        <w:rPr>
          <w:color w:val="000000"/>
          <w:sz w:val="10"/>
          <w:szCs w:val="10"/>
        </w:rPr>
      </w:pPr>
    </w:p>
    <w:p w14:paraId="2C31A320" w14:textId="77777777" w:rsidR="00C300AB" w:rsidRDefault="00E27DA4">
      <w:pPr>
        <w:numPr>
          <w:ilvl w:val="0"/>
          <w:numId w:val="2"/>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t xml:space="preserve">La existencia de las publicaciones denunciadas, en las cuales aparece </w:t>
      </w:r>
      <w:r>
        <w:rPr>
          <w:rFonts w:ascii="Arial" w:eastAsia="Arial" w:hAnsi="Arial" w:cs="Arial"/>
          <w:sz w:val="24"/>
          <w:szCs w:val="24"/>
        </w:rPr>
        <w:t>Nora Ruvalcaba Gámez, entonces</w:t>
      </w:r>
      <w:r>
        <w:rPr>
          <w:rFonts w:ascii="Arial" w:eastAsia="Arial" w:hAnsi="Arial" w:cs="Arial"/>
          <w:color w:val="000000"/>
          <w:sz w:val="24"/>
          <w:szCs w:val="24"/>
        </w:rPr>
        <w:t xml:space="preserve"> candidata de Morena, acompañada de Aldo Emmanuel Ruiz Sánchez y Ana Laura Gómez Calzada. </w:t>
      </w:r>
    </w:p>
    <w:p w14:paraId="074BD101" w14:textId="77777777" w:rsidR="00C300AB" w:rsidRDefault="00E27DA4">
      <w:pPr>
        <w:numPr>
          <w:ilvl w:val="0"/>
          <w:numId w:val="2"/>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t xml:space="preserve">La calidad de Ana Laura Gómez Calzada, como Diputada de la LXV Legislatura del Congreso del Estado de Aguascalientes. </w:t>
      </w:r>
    </w:p>
    <w:p w14:paraId="029DC6B1" w14:textId="77777777" w:rsidR="00C300AB" w:rsidRDefault="00E27DA4">
      <w:pPr>
        <w:numPr>
          <w:ilvl w:val="0"/>
          <w:numId w:val="2"/>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lastRenderedPageBreak/>
        <w:t xml:space="preserve">La renuncia del ciudadano Aldo Emmanuel Ruiz Sánchez como titular de la Delegación Estatal de Programas para el Desarrollo en el Estado de Aguascalientes. </w:t>
      </w:r>
    </w:p>
    <w:p w14:paraId="79DC3808" w14:textId="77777777" w:rsidR="00C300AB" w:rsidRDefault="00C300AB">
      <w:pPr>
        <w:pBdr>
          <w:top w:val="nil"/>
          <w:left w:val="nil"/>
          <w:bottom w:val="nil"/>
          <w:right w:val="nil"/>
          <w:between w:val="nil"/>
        </w:pBdr>
        <w:rPr>
          <w:color w:val="000000"/>
        </w:rPr>
      </w:pPr>
    </w:p>
    <w:p w14:paraId="105E92E8" w14:textId="77777777" w:rsidR="00C300AB" w:rsidRDefault="00E27DA4">
      <w:pPr>
        <w:numPr>
          <w:ilvl w:val="0"/>
          <w:numId w:val="4"/>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17368C66" w14:textId="77777777" w:rsidR="00C300AB" w:rsidRDefault="00C300AB">
      <w:pPr>
        <w:pBdr>
          <w:top w:val="nil"/>
          <w:left w:val="nil"/>
          <w:bottom w:val="nil"/>
          <w:right w:val="nil"/>
          <w:between w:val="nil"/>
        </w:pBdr>
        <w:rPr>
          <w:color w:val="000000"/>
        </w:rPr>
      </w:pPr>
    </w:p>
    <w:p w14:paraId="22B4EEC9" w14:textId="77777777" w:rsidR="00C300AB" w:rsidRDefault="00E27DA4">
      <w:pPr>
        <w:numPr>
          <w:ilvl w:val="0"/>
          <w:numId w:val="6"/>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123964AC" w14:textId="77777777" w:rsidR="00C300AB" w:rsidRDefault="00C300AB">
      <w:pPr>
        <w:pBdr>
          <w:top w:val="nil"/>
          <w:left w:val="nil"/>
          <w:bottom w:val="nil"/>
          <w:right w:val="nil"/>
          <w:between w:val="nil"/>
        </w:pBdr>
        <w:rPr>
          <w:color w:val="000000"/>
        </w:rPr>
      </w:pPr>
    </w:p>
    <w:p w14:paraId="3ED7D12F" w14:textId="77777777" w:rsidR="00C300AB" w:rsidRDefault="00E27DA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la aparición del ciudadano Aldo Emmanuel Ruíz Sánchez y la Diputada Ana Laura Gómez Calzada en las fotografías difundidas en el perfil de Facebook de </w:t>
      </w:r>
      <w:r>
        <w:rPr>
          <w:rFonts w:ascii="Arial" w:eastAsia="Arial" w:hAnsi="Arial" w:cs="Arial"/>
          <w:sz w:val="24"/>
          <w:szCs w:val="24"/>
        </w:rPr>
        <w:t>Nora Ruvalcaba Gámez,</w:t>
      </w:r>
      <w:r>
        <w:rPr>
          <w:rFonts w:ascii="Arial" w:eastAsia="Arial" w:hAnsi="Arial" w:cs="Arial"/>
          <w:color w:val="000000"/>
          <w:sz w:val="24"/>
          <w:szCs w:val="24"/>
        </w:rPr>
        <w:t xml:space="preserve"> entonces candidata de Morena,</w:t>
      </w:r>
      <w:r>
        <w:rPr>
          <w:rFonts w:ascii="Arial" w:eastAsia="Arial" w:hAnsi="Arial" w:cs="Arial"/>
          <w:sz w:val="24"/>
          <w:szCs w:val="24"/>
        </w:rPr>
        <w:t xml:space="preserve"> implica una vulneración a</w:t>
      </w:r>
      <w:r>
        <w:rPr>
          <w:rFonts w:ascii="Arial" w:eastAsia="Arial" w:hAnsi="Arial" w:cs="Arial"/>
          <w:color w:val="000000"/>
          <w:sz w:val="24"/>
          <w:szCs w:val="24"/>
        </w:rPr>
        <w:t xml:space="preserve"> los principios de imparcialidad, neutralidad y equidad en la contienda, al hacer uso indebido de los recursos públicos?</w:t>
      </w:r>
    </w:p>
    <w:p w14:paraId="7880C27A" w14:textId="77777777" w:rsidR="00C300AB" w:rsidRDefault="00C300AB">
      <w:pPr>
        <w:pBdr>
          <w:top w:val="nil"/>
          <w:left w:val="nil"/>
          <w:bottom w:val="nil"/>
          <w:right w:val="nil"/>
          <w:between w:val="nil"/>
        </w:pBdr>
        <w:rPr>
          <w:color w:val="000000"/>
        </w:rPr>
      </w:pPr>
    </w:p>
    <w:p w14:paraId="7EB1AA51" w14:textId="77777777" w:rsidR="00C300AB" w:rsidRPr="00957EB1" w:rsidRDefault="00E27DA4">
      <w:pPr>
        <w:spacing w:line="360" w:lineRule="auto"/>
        <w:jc w:val="both"/>
        <w:rPr>
          <w:rFonts w:ascii="Arial" w:eastAsia="Arial" w:hAnsi="Arial" w:cs="Arial"/>
          <w:b/>
          <w:sz w:val="24"/>
          <w:szCs w:val="24"/>
        </w:rPr>
      </w:pPr>
      <w:r w:rsidRPr="00957EB1">
        <w:rPr>
          <w:rFonts w:ascii="Arial" w:eastAsia="Arial" w:hAnsi="Arial" w:cs="Arial"/>
          <w:b/>
          <w:sz w:val="24"/>
          <w:szCs w:val="24"/>
          <w:u w:val="single"/>
        </w:rPr>
        <w:t>Aparatado I.</w:t>
      </w:r>
      <w:r w:rsidRPr="00957EB1">
        <w:rPr>
          <w:rFonts w:ascii="Arial" w:eastAsia="Arial" w:hAnsi="Arial" w:cs="Arial"/>
          <w:b/>
          <w:sz w:val="24"/>
          <w:szCs w:val="24"/>
        </w:rPr>
        <w:t xml:space="preserve"> Decisión. </w:t>
      </w:r>
    </w:p>
    <w:p w14:paraId="00DFEA21" w14:textId="77777777" w:rsidR="00C300AB" w:rsidRDefault="00C300AB" w:rsidP="00957EB1">
      <w:pPr>
        <w:pStyle w:val="Sinespaciado"/>
        <w:rPr>
          <w:rFonts w:eastAsia="Arial"/>
          <w:highlight w:val="yellow"/>
        </w:rPr>
      </w:pPr>
    </w:p>
    <w:p w14:paraId="29259B7A"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debe declarase: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Nora Ruvalcaba Gámez, al ciudadano Aldo Emmanuel Ruiz Sánchez, y a la Diputada de la LXV Legislatura del Congreso, Ana Laura Gómez Calzada, consistente en la vulneración a los principios de equidad e imparcialidad en la contienda, derivado de su aparición en una serie de fotografías que promovieron la candidatura postulada por Morena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Morena.</w:t>
      </w:r>
    </w:p>
    <w:p w14:paraId="22CA6699" w14:textId="77777777" w:rsidR="00C300AB" w:rsidRDefault="00C300AB"/>
    <w:p w14:paraId="49CEC14D"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Tribunal Electoral considera</w:t>
      </w:r>
      <w:r>
        <w:rPr>
          <w:rFonts w:ascii="Arial" w:eastAsia="Arial" w:hAnsi="Arial" w:cs="Arial"/>
          <w:sz w:val="24"/>
          <w:szCs w:val="24"/>
        </w:rPr>
        <w:t xml:space="preserve"> que, del análisis de los hechos denunciados y del material probatorio que obra en el expediente, se advierte que: </w:t>
      </w:r>
      <w:r>
        <w:rPr>
          <w:rFonts w:ascii="Arial" w:eastAsia="Arial" w:hAnsi="Arial" w:cs="Arial"/>
          <w:b/>
          <w:i/>
          <w:sz w:val="24"/>
          <w:szCs w:val="24"/>
        </w:rPr>
        <w:t>i)</w:t>
      </w:r>
      <w:r>
        <w:rPr>
          <w:rFonts w:ascii="Arial" w:eastAsia="Arial" w:hAnsi="Arial" w:cs="Arial"/>
          <w:sz w:val="24"/>
          <w:szCs w:val="24"/>
        </w:rPr>
        <w:t xml:space="preserve"> el solo hecho de que la diputada cuestionada aparezca en fotografías con la entonces candidata Nora Ruvalcaba Gámez, no implica que se esté en presencia de una vulneración al principio alegado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no se logró comprobar que el denunciado Aldo Emmanuel Ruiz Sánchez, se desempeñe como funcionario público, ya que si bien se le denunció en su calidad de Delegado Estatal de Programas para el Desarrollo en el Estado de Aguascalientes, lo cierto es que tal carácter concluyó el 27 de agosto de 2021; por tanto, se estima que este órgano jurisdiccional no cuenta con elementos probatorios suficientes que adminiculados entre sí, permitan advertir alguna vulneración al artículo 134 constitucional. </w:t>
      </w:r>
    </w:p>
    <w:p w14:paraId="1BDA94A2" w14:textId="77777777" w:rsidR="00C300AB" w:rsidRDefault="00C300AB">
      <w:pPr>
        <w:pBdr>
          <w:top w:val="nil"/>
          <w:left w:val="nil"/>
          <w:bottom w:val="nil"/>
          <w:right w:val="nil"/>
          <w:between w:val="nil"/>
        </w:pBdr>
        <w:rPr>
          <w:color w:val="000000"/>
          <w:sz w:val="18"/>
          <w:szCs w:val="18"/>
        </w:rPr>
      </w:pPr>
    </w:p>
    <w:p w14:paraId="2B84CAFE" w14:textId="77777777" w:rsidR="00C300AB" w:rsidRDefault="00E27DA4">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206C3855" w14:textId="77777777" w:rsidR="00C300AB" w:rsidRDefault="00C300AB">
      <w:pPr>
        <w:pBdr>
          <w:top w:val="nil"/>
          <w:left w:val="nil"/>
          <w:bottom w:val="nil"/>
          <w:right w:val="nil"/>
          <w:between w:val="nil"/>
        </w:pBdr>
        <w:rPr>
          <w:color w:val="000000"/>
        </w:rPr>
      </w:pPr>
    </w:p>
    <w:p w14:paraId="72B9E859" w14:textId="77777777" w:rsidR="00C300AB" w:rsidRDefault="00E27DA4">
      <w:pPr>
        <w:numPr>
          <w:ilvl w:val="0"/>
          <w:numId w:val="5"/>
        </w:numPr>
        <w:pBdr>
          <w:top w:val="nil"/>
          <w:left w:val="nil"/>
          <w:bottom w:val="nil"/>
          <w:right w:val="nil"/>
          <w:between w:val="nil"/>
        </w:pBdr>
        <w:spacing w:line="360" w:lineRule="auto"/>
        <w:ind w:left="0" w:firstLine="0"/>
        <w:jc w:val="both"/>
        <w:rPr>
          <w:color w:val="000000"/>
        </w:rPr>
      </w:pPr>
      <w:r>
        <w:rPr>
          <w:rFonts w:ascii="Arial" w:eastAsia="Arial" w:hAnsi="Arial" w:cs="Arial"/>
          <w:b/>
          <w:color w:val="000000"/>
          <w:sz w:val="24"/>
          <w:szCs w:val="24"/>
        </w:rPr>
        <w:t xml:space="preserve">Marco normativo de los bienes jurídicos tutelados por el artículo 134 de la Constitución </w:t>
      </w:r>
      <w:r>
        <w:rPr>
          <w:rFonts w:ascii="Arial" w:eastAsia="Arial" w:hAnsi="Arial" w:cs="Arial"/>
          <w:b/>
          <w:sz w:val="24"/>
          <w:szCs w:val="24"/>
        </w:rPr>
        <w:t>gene</w:t>
      </w:r>
      <w:r>
        <w:rPr>
          <w:rFonts w:ascii="Arial" w:eastAsia="Arial" w:hAnsi="Arial" w:cs="Arial"/>
          <w:b/>
          <w:color w:val="000000"/>
          <w:sz w:val="24"/>
          <w:szCs w:val="24"/>
        </w:rPr>
        <w:t>ral</w:t>
      </w:r>
    </w:p>
    <w:p w14:paraId="61138582" w14:textId="77777777" w:rsidR="00C300AB" w:rsidRDefault="00C300AB">
      <w:pPr>
        <w:pBdr>
          <w:top w:val="nil"/>
          <w:left w:val="nil"/>
          <w:bottom w:val="nil"/>
          <w:right w:val="nil"/>
          <w:between w:val="nil"/>
        </w:pBdr>
        <w:rPr>
          <w:color w:val="000000"/>
        </w:rPr>
      </w:pPr>
    </w:p>
    <w:p w14:paraId="44F5AAB6" w14:textId="77777777" w:rsidR="00C300AB" w:rsidRDefault="00E27DA4">
      <w:pPr>
        <w:tabs>
          <w:tab w:val="left" w:pos="426"/>
        </w:tabs>
        <w:spacing w:line="360" w:lineRule="auto"/>
        <w:jc w:val="both"/>
        <w:rPr>
          <w:rFonts w:ascii="Arial" w:eastAsia="Arial" w:hAnsi="Arial" w:cs="Arial"/>
          <w:sz w:val="24"/>
          <w:szCs w:val="24"/>
        </w:rPr>
      </w:pPr>
      <w:r>
        <w:rPr>
          <w:rFonts w:ascii="Arial" w:eastAsia="Arial" w:hAnsi="Arial" w:cs="Arial"/>
          <w:sz w:val="24"/>
          <w:szCs w:val="24"/>
        </w:rPr>
        <w:t>Es conveniente señalar que en la exposición de motivos de la iniciativa de la reforma constitucional de fecha trece de noviembre de dos mil siete, refiere que la inclusión de los párrafos séptimo y octavo del artículo 134 de la Constitución,</w:t>
      </w:r>
      <w:r>
        <w:rPr>
          <w:rFonts w:ascii="Arial" w:eastAsia="Arial" w:hAnsi="Arial" w:cs="Arial"/>
          <w:b/>
          <w:sz w:val="24"/>
          <w:szCs w:val="24"/>
        </w:rPr>
        <w:t xml:space="preserve"> tiene como objetivo impedir que actores ajenos incidan en los procesos electorales, así </w:t>
      </w:r>
      <w:r>
        <w:rPr>
          <w:rFonts w:ascii="Arial" w:eastAsia="Arial" w:hAnsi="Arial" w:cs="Arial"/>
          <w:sz w:val="24"/>
          <w:szCs w:val="24"/>
        </w:rPr>
        <w:t xml:space="preserve">como elevar a rango </w:t>
      </w:r>
      <w:r>
        <w:rPr>
          <w:rFonts w:ascii="Arial" w:eastAsia="Arial" w:hAnsi="Arial" w:cs="Arial"/>
          <w:sz w:val="24"/>
          <w:szCs w:val="24"/>
        </w:rPr>
        <w:lastRenderedPageBreak/>
        <w:t>constitucional las regulaciones en materia de propaganda gubernamental tanto en periodo electoral como en tiempo no electoral.</w:t>
      </w:r>
    </w:p>
    <w:p w14:paraId="1FA2E3D5" w14:textId="77777777" w:rsidR="00C300AB" w:rsidRDefault="00C300AB">
      <w:pPr>
        <w:pBdr>
          <w:top w:val="nil"/>
          <w:left w:val="nil"/>
          <w:bottom w:val="nil"/>
          <w:right w:val="nil"/>
          <w:between w:val="nil"/>
        </w:pBdr>
        <w:rPr>
          <w:color w:val="000000"/>
        </w:rPr>
      </w:pPr>
    </w:p>
    <w:p w14:paraId="470B2271" w14:textId="77777777" w:rsidR="00C300AB" w:rsidRDefault="00E27DA4">
      <w:pPr>
        <w:tabs>
          <w:tab w:val="left" w:pos="426"/>
        </w:tabs>
        <w:spacing w:line="360" w:lineRule="auto"/>
        <w:jc w:val="both"/>
        <w:rPr>
          <w:rFonts w:ascii="Arial" w:eastAsia="Arial" w:hAnsi="Arial" w:cs="Arial"/>
          <w:sz w:val="24"/>
          <w:szCs w:val="24"/>
        </w:rPr>
      </w:pPr>
      <w:r>
        <w:rPr>
          <w:rFonts w:ascii="Arial" w:eastAsia="Arial" w:hAnsi="Arial" w:cs="Arial"/>
          <w:sz w:val="24"/>
          <w:szCs w:val="24"/>
        </w:rPr>
        <w:t>De ahí que el artículo 134 de la Constitución general tutela dos bienes</w:t>
      </w:r>
      <w:r>
        <w:rPr>
          <w:rFonts w:ascii="Arial" w:eastAsia="Arial" w:hAnsi="Arial" w:cs="Arial"/>
          <w:b/>
          <w:sz w:val="24"/>
          <w:szCs w:val="24"/>
        </w:rPr>
        <w:t xml:space="preserve"> jurídicos de los sistemas democráticos: </w:t>
      </w:r>
      <w:r>
        <w:rPr>
          <w:rFonts w:ascii="Arial" w:eastAsia="Arial" w:hAnsi="Arial" w:cs="Arial"/>
          <w:b/>
          <w:i/>
          <w:sz w:val="24"/>
          <w:szCs w:val="24"/>
        </w:rPr>
        <w:t>i)</w:t>
      </w:r>
      <w:r>
        <w:rPr>
          <w:rFonts w:ascii="Arial" w:eastAsia="Arial" w:hAnsi="Arial" w:cs="Arial"/>
          <w:b/>
          <w:sz w:val="24"/>
          <w:szCs w:val="24"/>
        </w:rPr>
        <w:t xml:space="preserve"> la imparcialidad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la neutralidad </w:t>
      </w:r>
      <w:r>
        <w:rPr>
          <w:rFonts w:ascii="Arial" w:eastAsia="Arial" w:hAnsi="Arial" w:cs="Arial"/>
          <w:sz w:val="24"/>
          <w:szCs w:val="24"/>
        </w:rPr>
        <w:t>con que deben actuar las y los servidores públicos y la equidad en los procesos electorales.</w:t>
      </w:r>
    </w:p>
    <w:p w14:paraId="11352E82" w14:textId="77777777" w:rsidR="00C300AB" w:rsidRDefault="00C300AB">
      <w:pPr>
        <w:pBdr>
          <w:top w:val="nil"/>
          <w:left w:val="nil"/>
          <w:bottom w:val="nil"/>
          <w:right w:val="nil"/>
          <w:between w:val="nil"/>
        </w:pBdr>
        <w:rPr>
          <w:color w:val="000000"/>
        </w:rPr>
      </w:pPr>
    </w:p>
    <w:p w14:paraId="4045E274" w14:textId="77777777" w:rsidR="00C300AB" w:rsidRDefault="00E27DA4">
      <w:pPr>
        <w:tabs>
          <w:tab w:val="left" w:pos="426"/>
        </w:tabs>
        <w:spacing w:line="360" w:lineRule="auto"/>
        <w:jc w:val="both"/>
        <w:rPr>
          <w:rFonts w:ascii="Arial" w:eastAsia="Arial" w:hAnsi="Arial" w:cs="Arial"/>
          <w:sz w:val="24"/>
          <w:szCs w:val="24"/>
        </w:rPr>
      </w:pPr>
      <w:r>
        <w:rPr>
          <w:rFonts w:ascii="Arial" w:eastAsia="Arial" w:hAnsi="Arial" w:cs="Arial"/>
          <w:sz w:val="24"/>
          <w:szCs w:val="24"/>
        </w:rPr>
        <w:t>De lo anterior podemos advertir que</w:t>
      </w:r>
      <w:r>
        <w:rPr>
          <w:rFonts w:ascii="Arial" w:eastAsia="Arial" w:hAnsi="Arial" w:cs="Arial"/>
          <w:b/>
          <w:sz w:val="24"/>
          <w:szCs w:val="24"/>
        </w:rPr>
        <w:t xml:space="preserve"> el artículo 134 de la Constitución Federal tiene como finalidad procurar la mayor </w:t>
      </w:r>
      <w:r>
        <w:rPr>
          <w:rFonts w:ascii="Arial" w:eastAsia="Arial" w:hAnsi="Arial" w:cs="Arial"/>
          <w:sz w:val="24"/>
          <w:szCs w:val="24"/>
        </w:rPr>
        <w:t>equidad posible en los procesos electorales.</w:t>
      </w:r>
    </w:p>
    <w:p w14:paraId="540D62F1" w14:textId="77777777" w:rsidR="00C300AB" w:rsidRDefault="00C300AB">
      <w:pPr>
        <w:pBdr>
          <w:top w:val="nil"/>
          <w:left w:val="nil"/>
          <w:bottom w:val="nil"/>
          <w:right w:val="nil"/>
          <w:between w:val="nil"/>
        </w:pBdr>
        <w:rPr>
          <w:color w:val="000000"/>
        </w:rPr>
      </w:pPr>
    </w:p>
    <w:p w14:paraId="2099997C" w14:textId="77777777" w:rsidR="00C300AB" w:rsidRDefault="00E27DA4">
      <w:pPr>
        <w:numPr>
          <w:ilvl w:val="1"/>
          <w:numId w:val="3"/>
        </w:numPr>
        <w:pBdr>
          <w:top w:val="nil"/>
          <w:left w:val="nil"/>
          <w:bottom w:val="nil"/>
          <w:right w:val="nil"/>
          <w:between w:val="nil"/>
        </w:pBdr>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Marco normativo sobre la asistencia de servidores y servidoras públicas a eventos proselitistas en días y horas hábiles</w:t>
      </w:r>
    </w:p>
    <w:p w14:paraId="3FA1ED08" w14:textId="77777777" w:rsidR="00C300AB" w:rsidRDefault="00C300AB">
      <w:pPr>
        <w:pBdr>
          <w:top w:val="nil"/>
          <w:left w:val="nil"/>
          <w:bottom w:val="nil"/>
          <w:right w:val="nil"/>
          <w:between w:val="nil"/>
        </w:pBdr>
        <w:rPr>
          <w:color w:val="000000"/>
        </w:rPr>
      </w:pPr>
    </w:p>
    <w:p w14:paraId="420F3495" w14:textId="33BAF409" w:rsidR="00C300AB" w:rsidRDefault="00E27DA4">
      <w:pPr>
        <w:spacing w:after="160" w:line="360" w:lineRule="auto"/>
        <w:jc w:val="both"/>
        <w:rPr>
          <w:rFonts w:ascii="Arial" w:eastAsia="Arial" w:hAnsi="Arial" w:cs="Arial"/>
          <w:sz w:val="24"/>
          <w:szCs w:val="24"/>
          <w:highlight w:val="yellow"/>
        </w:rPr>
      </w:pPr>
      <w:bookmarkStart w:id="3" w:name="_heading=h.1t3h5sf" w:colFirst="0" w:colLast="0"/>
      <w:bookmarkEnd w:id="3"/>
      <w:r>
        <w:rPr>
          <w:rFonts w:ascii="Arial" w:eastAsia="Arial" w:hAnsi="Arial" w:cs="Arial"/>
          <w:sz w:val="24"/>
          <w:szCs w:val="24"/>
        </w:rPr>
        <w:t>Al respecto, la</w:t>
      </w:r>
      <w:r>
        <w:rPr>
          <w:rFonts w:ascii="Arial" w:eastAsia="Arial" w:hAnsi="Arial" w:cs="Arial"/>
          <w:b/>
          <w:sz w:val="24"/>
          <w:szCs w:val="24"/>
        </w:rPr>
        <w:t xml:space="preserve"> </w:t>
      </w:r>
      <w:r>
        <w:rPr>
          <w:rFonts w:ascii="Arial" w:eastAsia="Arial" w:hAnsi="Arial" w:cs="Arial"/>
          <w:sz w:val="24"/>
          <w:szCs w:val="24"/>
        </w:rPr>
        <w:t>Sala Superior</w:t>
      </w:r>
      <w:r>
        <w:rPr>
          <w:rFonts w:ascii="Arial" w:eastAsia="Arial" w:hAnsi="Arial" w:cs="Arial"/>
          <w:sz w:val="24"/>
          <w:szCs w:val="24"/>
          <w:vertAlign w:val="superscript"/>
        </w:rPr>
        <w:t xml:space="preserve"> </w:t>
      </w:r>
      <w:r>
        <w:rPr>
          <w:rFonts w:ascii="Arial" w:eastAsia="Arial" w:hAnsi="Arial" w:cs="Arial"/>
          <w:sz w:val="24"/>
          <w:szCs w:val="24"/>
        </w:rPr>
        <w:t>ha determinado que el solo hecho de que las y los funcionarios públicos asistan a eventos de carácter proselitista en </w:t>
      </w:r>
      <w:r>
        <w:rPr>
          <w:rFonts w:ascii="Arial" w:eastAsia="Arial" w:hAnsi="Arial" w:cs="Arial"/>
          <w:b/>
          <w:sz w:val="24"/>
          <w:szCs w:val="24"/>
        </w:rPr>
        <w:t>días hábiles</w:t>
      </w:r>
      <w:r>
        <w:rPr>
          <w:rFonts w:ascii="Arial" w:eastAsia="Arial" w:hAnsi="Arial" w:cs="Arial"/>
          <w:sz w:val="24"/>
          <w:szCs w:val="24"/>
        </w:rPr>
        <w:t xml:space="preserve">, constituye, por sí sola, una conducta contraria al principio de imparcialidad. </w:t>
      </w:r>
    </w:p>
    <w:p w14:paraId="5C610873" w14:textId="63F6385D" w:rsidR="00C300AB" w:rsidRDefault="00E27DA4">
      <w:pPr>
        <w:spacing w:line="360" w:lineRule="auto"/>
        <w:jc w:val="both"/>
        <w:rPr>
          <w:rFonts w:ascii="Arial" w:eastAsia="Arial" w:hAnsi="Arial" w:cs="Arial"/>
          <w:b/>
          <w:sz w:val="24"/>
          <w:szCs w:val="24"/>
          <w:highlight w:val="yellow"/>
        </w:rPr>
      </w:pPr>
      <w:r>
        <w:rPr>
          <w:rFonts w:ascii="Arial" w:eastAsia="Arial" w:hAnsi="Arial" w:cs="Arial"/>
          <w:sz w:val="24"/>
          <w:szCs w:val="24"/>
        </w:rPr>
        <w:t xml:space="preserve">Asimismo, ha establecido el criterio relativo que las y los servidores públicos no deben descuidar las funciones propias que tienen encomendadas por asistir a eventos proselitistas, ya que tal actuar </w:t>
      </w:r>
      <w:r>
        <w:rPr>
          <w:rFonts w:ascii="Arial" w:eastAsia="Arial" w:hAnsi="Arial" w:cs="Arial"/>
          <w:b/>
          <w:sz w:val="24"/>
          <w:szCs w:val="24"/>
        </w:rPr>
        <w:t>resulta equiparable al uso indebido de recursos públicos.</w:t>
      </w:r>
      <w:r w:rsidR="00A714FF">
        <w:rPr>
          <w:rStyle w:val="Refdenotaalpie"/>
          <w:rFonts w:ascii="Arial" w:eastAsia="Arial" w:hAnsi="Arial" w:cs="Arial"/>
          <w:b/>
          <w:sz w:val="24"/>
          <w:szCs w:val="24"/>
        </w:rPr>
        <w:footnoteReference w:id="6"/>
      </w:r>
      <w:r>
        <w:rPr>
          <w:rFonts w:ascii="Arial" w:eastAsia="Arial" w:hAnsi="Arial" w:cs="Arial"/>
          <w:b/>
          <w:sz w:val="24"/>
          <w:szCs w:val="24"/>
        </w:rPr>
        <w:t xml:space="preserve"> </w:t>
      </w:r>
    </w:p>
    <w:p w14:paraId="118E1931" w14:textId="77777777" w:rsidR="00C300AB" w:rsidRDefault="00C300AB">
      <w:pPr>
        <w:pBdr>
          <w:top w:val="nil"/>
          <w:left w:val="nil"/>
          <w:bottom w:val="nil"/>
          <w:right w:val="nil"/>
          <w:between w:val="nil"/>
        </w:pBdr>
        <w:rPr>
          <w:color w:val="000000"/>
        </w:rPr>
      </w:pPr>
    </w:p>
    <w:p w14:paraId="1369387B"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En tal sentido, la sola asistencia de servidores públicos en </w:t>
      </w:r>
      <w:r>
        <w:rPr>
          <w:rFonts w:ascii="Arial" w:eastAsia="Arial" w:hAnsi="Arial" w:cs="Arial"/>
          <w:b/>
          <w:sz w:val="24"/>
          <w:szCs w:val="24"/>
        </w:rPr>
        <w:t>días inhábiles</w:t>
      </w:r>
      <w:r>
        <w:rPr>
          <w:rFonts w:ascii="Arial" w:eastAsia="Arial" w:hAnsi="Arial" w:cs="Arial"/>
          <w:sz w:val="24"/>
          <w:szCs w:val="24"/>
        </w:rPr>
        <w:t xml:space="preserve"> a eventos de tales características, </w:t>
      </w:r>
      <w:r>
        <w:rPr>
          <w:rFonts w:ascii="Arial" w:eastAsia="Arial" w:hAnsi="Arial" w:cs="Arial"/>
          <w:b/>
          <w:sz w:val="24"/>
          <w:szCs w:val="24"/>
        </w:rPr>
        <w:t>no contraviene el principio de imparcialidad</w:t>
      </w:r>
      <w:r>
        <w:rPr>
          <w:rFonts w:ascii="Arial" w:eastAsia="Arial" w:hAnsi="Arial" w:cs="Arial"/>
          <w:sz w:val="24"/>
          <w:szCs w:val="24"/>
        </w:rPr>
        <w:t>, puesto que se ha reconocido que dicha asistencia se puede realizar en pleno ejercicio de los derechos político-electorales de asociación en materia política y libertad de expresión.</w:t>
      </w:r>
    </w:p>
    <w:p w14:paraId="46A88BB1" w14:textId="77777777" w:rsidR="00C300AB" w:rsidRDefault="00C300AB">
      <w:pPr>
        <w:pBdr>
          <w:top w:val="nil"/>
          <w:left w:val="nil"/>
          <w:bottom w:val="nil"/>
          <w:right w:val="nil"/>
          <w:between w:val="nil"/>
        </w:pBdr>
        <w:rPr>
          <w:color w:val="000000"/>
        </w:rPr>
      </w:pPr>
    </w:p>
    <w:p w14:paraId="4B03EA4E" w14:textId="0C689465" w:rsidR="00C300AB" w:rsidRDefault="00E27DA4">
      <w:pPr>
        <w:spacing w:line="360" w:lineRule="auto"/>
        <w:jc w:val="both"/>
        <w:rPr>
          <w:rFonts w:ascii="Arial" w:eastAsia="Arial" w:hAnsi="Arial" w:cs="Arial"/>
          <w:sz w:val="24"/>
          <w:szCs w:val="24"/>
        </w:rPr>
      </w:pPr>
      <w:r>
        <w:rPr>
          <w:rFonts w:ascii="Arial" w:eastAsia="Arial" w:hAnsi="Arial" w:cs="Arial"/>
          <w:sz w:val="24"/>
          <w:szCs w:val="24"/>
        </w:rPr>
        <w:t>Es conveniente precisar que, en el caso de quienes ostentan la gubernatura y presidencias municipales de la entidad federativa, dada la naturaleza de su encargo, solo pueden asistir a eventos proselitistas cuando estos sean en días inhábiles previstos por la ley.</w:t>
      </w:r>
      <w:r w:rsidR="00A714FF">
        <w:rPr>
          <w:rStyle w:val="Refdenotaalpie"/>
          <w:rFonts w:ascii="Arial" w:eastAsia="Arial" w:hAnsi="Arial" w:cs="Arial"/>
          <w:sz w:val="24"/>
          <w:szCs w:val="24"/>
        </w:rPr>
        <w:footnoteReference w:id="7"/>
      </w:r>
    </w:p>
    <w:p w14:paraId="7040867A" w14:textId="77777777" w:rsidR="00C300AB" w:rsidRDefault="00C300AB">
      <w:pPr>
        <w:pBdr>
          <w:top w:val="nil"/>
          <w:left w:val="nil"/>
          <w:bottom w:val="nil"/>
          <w:right w:val="nil"/>
          <w:between w:val="nil"/>
        </w:pBdr>
        <w:rPr>
          <w:color w:val="000000"/>
        </w:rPr>
      </w:pPr>
    </w:p>
    <w:p w14:paraId="7673F5D8"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Por su parte, la Sala Superior ha sostenido que las y los servidores públicos tienen derecho a militar en un partido político de su interés y a realizar todos los actos inherentes a dicha filiación en ejercicio de sus derechos fundamentales en materia política, sin que ello implique o se traduzca en la autorización para el ejercicio indebido de su empleo</w:t>
      </w:r>
      <w:r>
        <w:rPr>
          <w:rFonts w:ascii="Arial" w:eastAsia="Arial" w:hAnsi="Arial" w:cs="Arial"/>
          <w:sz w:val="24"/>
          <w:szCs w:val="24"/>
          <w:vertAlign w:val="superscript"/>
        </w:rPr>
        <w:footnoteReference w:id="8"/>
      </w:r>
      <w:r>
        <w:rPr>
          <w:rFonts w:ascii="Arial" w:eastAsia="Arial" w:hAnsi="Arial" w:cs="Arial"/>
          <w:sz w:val="24"/>
          <w:szCs w:val="24"/>
        </w:rPr>
        <w:t xml:space="preserve">. </w:t>
      </w:r>
    </w:p>
    <w:p w14:paraId="59AB65AA" w14:textId="77777777" w:rsidR="00C300AB" w:rsidRDefault="00C300AB">
      <w:pPr>
        <w:pBdr>
          <w:top w:val="nil"/>
          <w:left w:val="nil"/>
          <w:bottom w:val="nil"/>
          <w:right w:val="nil"/>
          <w:between w:val="nil"/>
        </w:pBdr>
        <w:rPr>
          <w:color w:val="000000"/>
        </w:rPr>
      </w:pPr>
    </w:p>
    <w:p w14:paraId="7C32CACE" w14:textId="63012D41" w:rsidR="00A714FF" w:rsidRDefault="00E27DA4">
      <w:pPr>
        <w:spacing w:line="360" w:lineRule="auto"/>
        <w:jc w:val="both"/>
        <w:rPr>
          <w:rFonts w:ascii="Arial" w:eastAsia="Arial" w:hAnsi="Arial" w:cs="Arial"/>
          <w:sz w:val="24"/>
          <w:szCs w:val="24"/>
        </w:rPr>
      </w:pPr>
      <w:r>
        <w:rPr>
          <w:rFonts w:ascii="Arial" w:eastAsia="Arial" w:hAnsi="Arial" w:cs="Arial"/>
          <w:sz w:val="24"/>
          <w:szCs w:val="24"/>
        </w:rPr>
        <w:t>Asimismo, considero la permisión relativa a que las y los funcionarios públicos pueden asistir a un evento proselitista en un día inhábil, no se trata de un derecho absoluto, pues en dicha asistencia, no podrán tener una participación activa y preponderante en el vento ni tampoco pueden hacer uso indebido de los recursos públicos</w:t>
      </w:r>
      <w:r>
        <w:rPr>
          <w:rFonts w:ascii="Arial" w:eastAsia="Arial" w:hAnsi="Arial" w:cs="Arial"/>
          <w:sz w:val="24"/>
          <w:szCs w:val="24"/>
          <w:vertAlign w:val="superscript"/>
        </w:rPr>
        <w:footnoteReference w:id="9"/>
      </w:r>
      <w:r>
        <w:rPr>
          <w:rFonts w:ascii="Arial" w:eastAsia="Arial" w:hAnsi="Arial" w:cs="Arial"/>
          <w:sz w:val="24"/>
          <w:szCs w:val="24"/>
        </w:rPr>
        <w:t xml:space="preserve">. Para esto, señaló que las horas y días </w:t>
      </w:r>
      <w:r>
        <w:rPr>
          <w:rFonts w:ascii="Arial" w:eastAsia="Arial" w:hAnsi="Arial" w:cs="Arial"/>
          <w:sz w:val="24"/>
          <w:szCs w:val="24"/>
        </w:rPr>
        <w:lastRenderedPageBreak/>
        <w:t>inhábiles se determinan con base en la legislación y en aquellos que les corresponde ejercer el derecho a un día de descaso por haber laborado durante seis días</w:t>
      </w:r>
      <w:r>
        <w:rPr>
          <w:rFonts w:ascii="Arial" w:eastAsia="Arial" w:hAnsi="Arial" w:cs="Arial"/>
          <w:sz w:val="24"/>
          <w:szCs w:val="24"/>
          <w:vertAlign w:val="superscript"/>
        </w:rPr>
        <w:footnoteReference w:id="10"/>
      </w:r>
      <w:r>
        <w:rPr>
          <w:rFonts w:ascii="Arial" w:eastAsia="Arial" w:hAnsi="Arial" w:cs="Arial"/>
          <w:sz w:val="24"/>
          <w:szCs w:val="24"/>
        </w:rPr>
        <w:t xml:space="preserve">. </w:t>
      </w:r>
    </w:p>
    <w:p w14:paraId="765C9E0B" w14:textId="77777777" w:rsidR="00C300AB" w:rsidRDefault="00C300AB">
      <w:pPr>
        <w:pBdr>
          <w:top w:val="nil"/>
          <w:left w:val="nil"/>
          <w:bottom w:val="nil"/>
          <w:right w:val="nil"/>
          <w:between w:val="nil"/>
        </w:pBdr>
        <w:rPr>
          <w:color w:val="000000"/>
        </w:rPr>
      </w:pPr>
    </w:p>
    <w:p w14:paraId="5A27F412" w14:textId="77777777" w:rsidR="00C300AB" w:rsidRDefault="00E27DA4">
      <w:pPr>
        <w:numPr>
          <w:ilvl w:val="0"/>
          <w:numId w:val="5"/>
        </w:numPr>
        <w:pBdr>
          <w:top w:val="nil"/>
          <w:left w:val="nil"/>
          <w:bottom w:val="nil"/>
          <w:right w:val="nil"/>
          <w:between w:val="nil"/>
        </w:pBdr>
        <w:tabs>
          <w:tab w:val="left" w:pos="5461"/>
        </w:tabs>
        <w:spacing w:line="360" w:lineRule="auto"/>
        <w:ind w:left="425"/>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49CB3BEB" w14:textId="77777777" w:rsidR="00C300AB" w:rsidRDefault="00C300AB">
      <w:pPr>
        <w:pBdr>
          <w:top w:val="nil"/>
          <w:left w:val="nil"/>
          <w:bottom w:val="nil"/>
          <w:right w:val="nil"/>
          <w:between w:val="nil"/>
        </w:pBdr>
        <w:rPr>
          <w:color w:val="000000"/>
        </w:rPr>
      </w:pPr>
    </w:p>
    <w:p w14:paraId="14C676FF" w14:textId="77777777" w:rsidR="00C300AB" w:rsidRDefault="00E27DA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PAN, en el contexto del proceso electoral 2021-2022 en el que se renovó la gubernatura de Aguascalientes, presentó una queja ante el Instituto Local en contra de Morena, y su entonces candidata a la gubernatura del estado, así como de Aldo Emmanuel Ruiz Sánchez y Ana Laura Gómez Calzada, al considerar que</w:t>
      </w:r>
      <w:r>
        <w:rPr>
          <w:rFonts w:ascii="Arial" w:eastAsia="Arial" w:hAnsi="Arial" w:cs="Arial"/>
          <w:sz w:val="24"/>
          <w:szCs w:val="24"/>
        </w:rPr>
        <w:t xml:space="preserve"> </w:t>
      </w:r>
      <w:r>
        <w:rPr>
          <w:rFonts w:ascii="Arial" w:eastAsia="Arial" w:hAnsi="Arial" w:cs="Arial"/>
          <w:color w:val="000000"/>
          <w:sz w:val="24"/>
          <w:szCs w:val="24"/>
        </w:rPr>
        <w:t xml:space="preserve">los dos últimos, al ostentar un cargo público, vulneraron los principios de imparcialidad, equidad y neutralidad en la contienda, derivado de su asistencia a una serie de eventos proselitistas en favor de la candidatura cuestionada, </w:t>
      </w:r>
      <w:r>
        <w:rPr>
          <w:rFonts w:ascii="Arial" w:eastAsia="Arial" w:hAnsi="Arial" w:cs="Arial"/>
          <w:sz w:val="24"/>
          <w:szCs w:val="24"/>
        </w:rPr>
        <w:t>que</w:t>
      </w:r>
      <w:r>
        <w:rPr>
          <w:rFonts w:ascii="Arial" w:eastAsia="Arial" w:hAnsi="Arial" w:cs="Arial"/>
          <w:color w:val="000000"/>
          <w:sz w:val="24"/>
          <w:szCs w:val="24"/>
        </w:rPr>
        <w:t xml:space="preserve"> a su parecer, configura el uso indebido de recursos públicos y coacciona el voto de la ciudadanía. </w:t>
      </w:r>
    </w:p>
    <w:p w14:paraId="1CCFD933" w14:textId="77777777" w:rsidR="00C300AB" w:rsidRDefault="00C300AB">
      <w:pPr>
        <w:pBdr>
          <w:top w:val="nil"/>
          <w:left w:val="nil"/>
          <w:bottom w:val="nil"/>
          <w:right w:val="nil"/>
          <w:between w:val="nil"/>
        </w:pBdr>
        <w:rPr>
          <w:color w:val="000000"/>
        </w:rPr>
      </w:pPr>
    </w:p>
    <w:p w14:paraId="6CCC34B8" w14:textId="77777777" w:rsidR="00C300AB" w:rsidRDefault="00E27DA4">
      <w:pPr>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710F63B6" w14:textId="77777777" w:rsidR="00C300AB" w:rsidRDefault="00C300AB">
      <w:pPr>
        <w:pBdr>
          <w:top w:val="nil"/>
          <w:left w:val="nil"/>
          <w:bottom w:val="nil"/>
          <w:right w:val="nil"/>
          <w:between w:val="nil"/>
        </w:pBdr>
        <w:rPr>
          <w:color w:val="000000"/>
        </w:rPr>
      </w:pPr>
    </w:p>
    <w:p w14:paraId="76713A78" w14:textId="77777777" w:rsidR="00C300AB" w:rsidRDefault="00E27DA4">
      <w:pPr>
        <w:spacing w:line="360" w:lineRule="auto"/>
        <w:jc w:val="both"/>
        <w:rPr>
          <w:rFonts w:ascii="Arial" w:eastAsia="Arial" w:hAnsi="Arial" w:cs="Arial"/>
          <w:color w:val="000000"/>
          <w:sz w:val="24"/>
          <w:szCs w:val="24"/>
        </w:rPr>
      </w:pPr>
      <w:r>
        <w:rPr>
          <w:rFonts w:ascii="Arial" w:eastAsia="Arial" w:hAnsi="Arial" w:cs="Arial"/>
          <w:b/>
          <w:sz w:val="24"/>
          <w:szCs w:val="24"/>
        </w:rPr>
        <w:t>3.1.</w:t>
      </w:r>
      <w:r>
        <w:rPr>
          <w:rFonts w:ascii="Arial" w:eastAsia="Arial" w:hAnsi="Arial" w:cs="Arial"/>
          <w:sz w:val="24"/>
          <w:szCs w:val="24"/>
        </w:rPr>
        <w:t xml:space="preserve"> Este Tribunal Electoral estima que </w:t>
      </w:r>
      <w:r>
        <w:rPr>
          <w:rFonts w:ascii="Arial" w:eastAsia="Arial" w:hAnsi="Arial" w:cs="Arial"/>
          <w:color w:val="000000"/>
          <w:sz w:val="24"/>
          <w:szCs w:val="24"/>
        </w:rPr>
        <w:t xml:space="preserve">la infracción relativa a la supuesta vulneración al principio de imparcialidad previsto en el artículo 134 de la Constitución general </w:t>
      </w:r>
      <w:r>
        <w:rPr>
          <w:rFonts w:ascii="Arial" w:eastAsia="Arial" w:hAnsi="Arial" w:cs="Arial"/>
          <w:b/>
          <w:color w:val="000000"/>
          <w:sz w:val="24"/>
          <w:szCs w:val="24"/>
        </w:rPr>
        <w:t>es inexistente</w:t>
      </w:r>
      <w:r>
        <w:rPr>
          <w:rFonts w:ascii="Arial" w:eastAsia="Arial" w:hAnsi="Arial" w:cs="Arial"/>
          <w:color w:val="000000"/>
          <w:sz w:val="24"/>
          <w:szCs w:val="24"/>
        </w:rPr>
        <w:t xml:space="preserve">, ya que a través del análisis de las publicaciones cuestionadas, es posible asumir que </w:t>
      </w:r>
      <w:r>
        <w:rPr>
          <w:rFonts w:ascii="Arial" w:eastAsia="Arial" w:hAnsi="Arial" w:cs="Arial"/>
          <w:color w:val="000000"/>
          <w:sz w:val="24"/>
          <w:szCs w:val="24"/>
          <w:u w:val="single"/>
        </w:rPr>
        <w:t>el sólo hecho de que la diputada aparezca en una fotografía</w:t>
      </w:r>
      <w:r>
        <w:rPr>
          <w:rFonts w:ascii="Arial" w:eastAsia="Arial" w:hAnsi="Arial" w:cs="Arial"/>
          <w:color w:val="000000"/>
          <w:sz w:val="24"/>
          <w:szCs w:val="24"/>
        </w:rPr>
        <w:t xml:space="preserve"> en la que igualmente se encuentra la entonces candidata Nora Ruvalcaba Gámez, postulada por el partido político Morena, no implica que se esté en presencia de una vulneración al principio previsto en el referido artículo constitucional. </w:t>
      </w:r>
    </w:p>
    <w:p w14:paraId="70DD0973" w14:textId="77777777" w:rsidR="00C300AB" w:rsidRDefault="00C300AB">
      <w:pPr>
        <w:pBdr>
          <w:top w:val="nil"/>
          <w:left w:val="nil"/>
          <w:bottom w:val="nil"/>
          <w:right w:val="nil"/>
          <w:between w:val="nil"/>
        </w:pBdr>
        <w:rPr>
          <w:color w:val="000000"/>
        </w:rPr>
      </w:pPr>
    </w:p>
    <w:p w14:paraId="6AC0645B" w14:textId="77777777" w:rsidR="00C300AB" w:rsidRDefault="00E27DA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se debe, en primer lugar, a que no existe alguna porción normativa que prohíba a las y los servidores públicos ejercer sus derechos político-electorales de asociación y libertad de expresión, en específico, para mostrar su inclinación política en favor de determinada opción electoral, por lo cual, este órgano jurisdiccional se encuentra impedido legal y constitucionalmente para afectar el ejercicio pleno de tales prerrogativas, pues ello le causaría un perjuicio injustificado a la parte denunciada. </w:t>
      </w:r>
    </w:p>
    <w:p w14:paraId="71D6E055" w14:textId="77777777" w:rsidR="00C300AB" w:rsidRDefault="00C300AB">
      <w:pPr>
        <w:pBdr>
          <w:top w:val="nil"/>
          <w:left w:val="nil"/>
          <w:bottom w:val="nil"/>
          <w:right w:val="nil"/>
          <w:between w:val="nil"/>
        </w:pBdr>
        <w:rPr>
          <w:color w:val="000000"/>
        </w:rPr>
      </w:pPr>
    </w:p>
    <w:p w14:paraId="5B68FE96" w14:textId="77777777" w:rsidR="00C300AB" w:rsidRDefault="00E27DA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segundo lugar, tampoco constituye una infracción a los referidos principios -imparcialidad y equidad en la contienda- el hecho de que la parte denunciada, en su carácter de diputada del Congreso del Estado hubiese asistido con la entonces candidata Nora Ruvalcaba Gámez, a la </w:t>
      </w:r>
      <w:r>
        <w:rPr>
          <w:rFonts w:ascii="Arial" w:eastAsia="Arial" w:hAnsi="Arial" w:cs="Arial"/>
          <w:color w:val="000000"/>
          <w:sz w:val="24"/>
          <w:szCs w:val="24"/>
          <w:u w:val="single"/>
        </w:rPr>
        <w:t>celebración del debate electoral</w:t>
      </w:r>
      <w:r>
        <w:rPr>
          <w:rFonts w:ascii="Arial" w:eastAsia="Arial" w:hAnsi="Arial" w:cs="Arial"/>
          <w:color w:val="000000"/>
          <w:sz w:val="24"/>
          <w:szCs w:val="24"/>
        </w:rPr>
        <w:t>, organizado por la autoridad administrativa local, pues si bien asistió en un día hábil -martes 17 de mayo-, lo cierto es que la hora de este fue inhábil -20:00 horas-,</w:t>
      </w:r>
      <w:r>
        <w:rPr>
          <w:rFonts w:ascii="Arial" w:eastAsia="Arial" w:hAnsi="Arial" w:cs="Arial"/>
          <w:color w:val="000000"/>
          <w:sz w:val="24"/>
          <w:szCs w:val="24"/>
          <w:vertAlign w:val="superscript"/>
        </w:rPr>
        <w:footnoteReference w:id="11"/>
      </w:r>
      <w:r>
        <w:rPr>
          <w:rFonts w:ascii="Arial" w:eastAsia="Arial" w:hAnsi="Arial" w:cs="Arial"/>
          <w:color w:val="000000"/>
          <w:sz w:val="24"/>
          <w:szCs w:val="24"/>
        </w:rPr>
        <w:t xml:space="preserve"> por lo cual, a criterio de esta autoridad jurisdiccional, </w:t>
      </w:r>
      <w:r>
        <w:rPr>
          <w:rFonts w:ascii="Arial" w:eastAsia="Arial" w:hAnsi="Arial" w:cs="Arial"/>
          <w:b/>
          <w:color w:val="000000"/>
          <w:sz w:val="24"/>
          <w:szCs w:val="24"/>
        </w:rPr>
        <w:t>se trató de un ejercicio auténtico de participación política en favor de la parte denunciante.</w:t>
      </w:r>
      <w:r>
        <w:rPr>
          <w:rFonts w:ascii="Arial" w:eastAsia="Arial" w:hAnsi="Arial" w:cs="Arial"/>
          <w:color w:val="000000"/>
          <w:sz w:val="24"/>
          <w:szCs w:val="24"/>
        </w:rPr>
        <w:t xml:space="preserve"> </w:t>
      </w:r>
    </w:p>
    <w:p w14:paraId="65FB94EF" w14:textId="77777777" w:rsidR="00C300AB" w:rsidRDefault="00C300AB">
      <w:pPr>
        <w:pBdr>
          <w:top w:val="nil"/>
          <w:left w:val="nil"/>
          <w:bottom w:val="nil"/>
          <w:right w:val="nil"/>
          <w:between w:val="nil"/>
        </w:pBdr>
        <w:rPr>
          <w:color w:val="000000"/>
        </w:rPr>
      </w:pPr>
    </w:p>
    <w:p w14:paraId="7F8D89DC" w14:textId="77777777" w:rsidR="00C300AB" w:rsidRDefault="00E27DA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Asimismo, es conveniente tener presente que de la imagen cuestionada y dado que se trataba de un evento de carácter electoral en el que solamente participaron las entonces candidatas a la gubernatura del proceso electoral en curso, </w:t>
      </w:r>
      <w:r>
        <w:rPr>
          <w:rFonts w:ascii="Arial" w:eastAsia="Arial" w:hAnsi="Arial" w:cs="Arial"/>
          <w:b/>
          <w:color w:val="000000"/>
          <w:sz w:val="24"/>
          <w:szCs w:val="24"/>
        </w:rPr>
        <w:t>no se logró comprobar que la parte denunciada haya hecho uso de algún recurso público</w:t>
      </w:r>
      <w:r>
        <w:rPr>
          <w:rFonts w:ascii="Arial" w:eastAsia="Arial" w:hAnsi="Arial" w:cs="Arial"/>
          <w:color w:val="000000"/>
          <w:sz w:val="24"/>
          <w:szCs w:val="24"/>
        </w:rPr>
        <w:t xml:space="preserve"> </w:t>
      </w:r>
      <w:r>
        <w:rPr>
          <w:rFonts w:ascii="Arial" w:eastAsia="Arial" w:hAnsi="Arial" w:cs="Arial"/>
          <w:b/>
          <w:color w:val="000000"/>
          <w:sz w:val="24"/>
          <w:szCs w:val="24"/>
        </w:rPr>
        <w:t>o que haya tomado el uso de la voz</w:t>
      </w:r>
      <w:r>
        <w:rPr>
          <w:rFonts w:ascii="Arial" w:eastAsia="Arial" w:hAnsi="Arial" w:cs="Arial"/>
          <w:color w:val="000000"/>
          <w:sz w:val="24"/>
          <w:szCs w:val="24"/>
        </w:rPr>
        <w:t xml:space="preserve"> o bien, que hubiese participado de forma activa, pues contario a ello, solamente aparecen en primer plano, acompañada de la candidata postulada por el partido MORENA. </w:t>
      </w:r>
    </w:p>
    <w:p w14:paraId="73EEB27B" w14:textId="77777777" w:rsidR="00C300AB" w:rsidRDefault="00C300AB">
      <w:pPr>
        <w:pBdr>
          <w:top w:val="nil"/>
          <w:left w:val="nil"/>
          <w:bottom w:val="nil"/>
          <w:right w:val="nil"/>
          <w:between w:val="nil"/>
        </w:pBdr>
        <w:rPr>
          <w:color w:val="000000"/>
        </w:rPr>
      </w:pPr>
    </w:p>
    <w:p w14:paraId="274218BD"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De ahí que tal situación sea acorde al criterio de la Sala Superior, relativo a que las y los servidores públicos -legisladores y </w:t>
      </w:r>
      <w:r>
        <w:rPr>
          <w:rFonts w:ascii="Arial" w:eastAsia="Arial" w:hAnsi="Arial" w:cs="Arial"/>
          <w:b/>
          <w:sz w:val="24"/>
          <w:szCs w:val="24"/>
        </w:rPr>
        <w:t>legisladoras- tiene la permisión de acudir a eventos proselitistas en días hábiles</w:t>
      </w:r>
      <w:r>
        <w:rPr>
          <w:rFonts w:ascii="Arial" w:eastAsia="Arial" w:hAnsi="Arial" w:cs="Arial"/>
          <w:sz w:val="24"/>
          <w:szCs w:val="24"/>
        </w:rPr>
        <w:t xml:space="preserve">, siempre y cuando la hora en la cual se celebren tales eventos sean inhábiles, cuestión que debe ser valorada a través de la normativa interna de cada dependencia para que sea posible identificar de forma clara tales aspectos. </w:t>
      </w:r>
    </w:p>
    <w:p w14:paraId="2DBBCE79" w14:textId="77777777" w:rsidR="00C300AB" w:rsidRDefault="00C300AB">
      <w:pPr>
        <w:pBdr>
          <w:top w:val="nil"/>
          <w:left w:val="nil"/>
          <w:bottom w:val="nil"/>
          <w:right w:val="nil"/>
          <w:between w:val="nil"/>
        </w:pBdr>
        <w:rPr>
          <w:color w:val="000000"/>
        </w:rPr>
      </w:pPr>
    </w:p>
    <w:p w14:paraId="18ECBA32"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Ante ello, de las constancias que obran el asunto (TEEA-PES-071/2022), se advierte la existencia de un oficio elaborado por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del Congreso, en el que refiere que las y los servidores públicos del referido órgano legislativo, tienen un horario laboral de lunes a viernes, de las 08:00 a las 15:30 horas, por lo cual, esta autoridad jurisdiccional estima que la funcionaria cuestionada no vulneró el principio de imparcialidad previsto en el texto constitucional. </w:t>
      </w:r>
    </w:p>
    <w:p w14:paraId="4CAFD985" w14:textId="77777777" w:rsidR="00C300AB" w:rsidRDefault="00C300AB" w:rsidP="00A714FF">
      <w:pPr>
        <w:pStyle w:val="Sinespaciado"/>
        <w:rPr>
          <w:rFonts w:eastAsia="Arial"/>
        </w:rPr>
      </w:pPr>
    </w:p>
    <w:p w14:paraId="1138967D" w14:textId="77777777"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La postura asumida en la presente resolución, como se adelantó, es congruente con la línea judicial sostenida por la Sala Superior, consistente en que las y los ciudadanos, así como quienes se desempeñan en la función pública, tiene el derecho de asistir en días inhábiles o en horas con tal calidad, a eventos de carácter político y electoral, con la firme intención de procurar </w:t>
      </w:r>
      <w:r>
        <w:rPr>
          <w:rFonts w:ascii="Arial" w:eastAsia="Arial" w:hAnsi="Arial" w:cs="Arial"/>
          <w:b/>
          <w:sz w:val="24"/>
          <w:szCs w:val="24"/>
        </w:rPr>
        <w:t>garantizar el derecho a la militancia en un partido político</w:t>
      </w:r>
      <w:r>
        <w:rPr>
          <w:rFonts w:ascii="Arial" w:eastAsia="Arial" w:hAnsi="Arial" w:cs="Arial"/>
          <w:sz w:val="24"/>
          <w:szCs w:val="24"/>
        </w:rPr>
        <w:t xml:space="preserve"> y, por ende, realizar todos los actos inherentes a dicha afiliación, </w:t>
      </w:r>
      <w:r>
        <w:rPr>
          <w:rFonts w:ascii="Arial" w:eastAsia="Arial" w:hAnsi="Arial" w:cs="Arial"/>
          <w:b/>
          <w:sz w:val="24"/>
          <w:szCs w:val="24"/>
        </w:rPr>
        <w:t>sin que ello implique un uso indebido a su empleo, cargo o comisión</w:t>
      </w:r>
      <w:r>
        <w:rPr>
          <w:rFonts w:ascii="Arial" w:eastAsia="Arial" w:hAnsi="Arial" w:cs="Arial"/>
          <w:sz w:val="24"/>
          <w:szCs w:val="24"/>
        </w:rPr>
        <w:t>.</w:t>
      </w:r>
      <w:r>
        <w:rPr>
          <w:rFonts w:ascii="Arial" w:eastAsia="Arial" w:hAnsi="Arial" w:cs="Arial"/>
          <w:sz w:val="24"/>
          <w:szCs w:val="24"/>
          <w:vertAlign w:val="superscript"/>
        </w:rPr>
        <w:footnoteReference w:id="12"/>
      </w:r>
    </w:p>
    <w:p w14:paraId="42F204B7" w14:textId="77777777" w:rsidR="00C300AB" w:rsidRDefault="00E27DA4">
      <w:pPr>
        <w:spacing w:before="240" w:after="240" w:line="360" w:lineRule="auto"/>
        <w:jc w:val="both"/>
        <w:rPr>
          <w:color w:val="000000"/>
        </w:rPr>
      </w:pPr>
      <w:r>
        <w:rPr>
          <w:rFonts w:ascii="Arial" w:eastAsia="Arial" w:hAnsi="Arial" w:cs="Arial"/>
          <w:sz w:val="24"/>
          <w:szCs w:val="24"/>
        </w:rPr>
        <w:t xml:space="preserve">Sobre dicha base, esta autoridad jurisdiccional considera que si se parte de la premisa encaminada a determinar que las y los servidores públicos tiene el derecho de asistir a eventos de carácter proselitista, ello implica que, </w:t>
      </w:r>
      <w:r>
        <w:rPr>
          <w:rFonts w:ascii="Arial" w:eastAsia="Arial" w:hAnsi="Arial" w:cs="Arial"/>
          <w:b/>
          <w:sz w:val="24"/>
          <w:szCs w:val="24"/>
        </w:rPr>
        <w:t>no existe una prohibición para que tales sujetos puedan aparecer en imágenes de carácter propagandístico,</w:t>
      </w:r>
      <w:r>
        <w:rPr>
          <w:rFonts w:ascii="Arial" w:eastAsia="Arial" w:hAnsi="Arial" w:cs="Arial"/>
          <w:sz w:val="24"/>
          <w:szCs w:val="24"/>
        </w:rPr>
        <w:t xml:space="preserve"> pues ello, por lo general, es consecuencia de la participación política que se desarrolla </w:t>
      </w:r>
      <w:r>
        <w:rPr>
          <w:rFonts w:ascii="Arial" w:eastAsia="Arial" w:hAnsi="Arial" w:cs="Arial"/>
          <w:sz w:val="24"/>
          <w:szCs w:val="24"/>
          <w:u w:val="single"/>
        </w:rPr>
        <w:t>como parte del derecho de reunión y asociación,</w:t>
      </w:r>
      <w:r>
        <w:rPr>
          <w:rFonts w:ascii="Arial" w:eastAsia="Arial" w:hAnsi="Arial" w:cs="Arial"/>
          <w:sz w:val="24"/>
          <w:szCs w:val="24"/>
        </w:rPr>
        <w:t xml:space="preserve"> de ahí la única forma de reconocer el desarrollo pleno de tales prerrogativas es permitir la difusión de tales imágenes.   </w:t>
      </w:r>
    </w:p>
    <w:p w14:paraId="59ABA903" w14:textId="77777777" w:rsidR="00C300AB" w:rsidRDefault="00E27DA4">
      <w:pPr>
        <w:spacing w:line="360" w:lineRule="auto"/>
        <w:jc w:val="both"/>
        <w:rPr>
          <w:rFonts w:ascii="Arial" w:eastAsia="Arial" w:hAnsi="Arial" w:cs="Arial"/>
          <w:sz w:val="24"/>
          <w:szCs w:val="24"/>
        </w:rPr>
      </w:pPr>
      <w:r>
        <w:rPr>
          <w:rFonts w:ascii="Arial" w:eastAsia="Arial" w:hAnsi="Arial" w:cs="Arial"/>
          <w:b/>
          <w:sz w:val="24"/>
          <w:szCs w:val="24"/>
        </w:rPr>
        <w:t>3.2.</w:t>
      </w:r>
      <w:r>
        <w:rPr>
          <w:rFonts w:ascii="Arial" w:eastAsia="Arial" w:hAnsi="Arial" w:cs="Arial"/>
          <w:sz w:val="24"/>
          <w:szCs w:val="24"/>
        </w:rPr>
        <w:t xml:space="preserve"> Por otra parte, en cuanto al ciudadano Aldo Emmanuel Ruiz Sánchez, quien también funge como parte denunciada en el presente asunto, es conveniente precisar que de las pruebas ofrecidas por la partes, </w:t>
      </w:r>
      <w:r>
        <w:rPr>
          <w:rFonts w:ascii="Arial" w:eastAsia="Arial" w:hAnsi="Arial" w:cs="Arial"/>
          <w:b/>
          <w:sz w:val="24"/>
          <w:szCs w:val="24"/>
        </w:rPr>
        <w:t>no se logró comprobar que tal sujeto fungiera como funcionario público</w:t>
      </w:r>
      <w:r>
        <w:rPr>
          <w:rFonts w:ascii="Arial" w:eastAsia="Arial" w:hAnsi="Arial" w:cs="Arial"/>
          <w:sz w:val="24"/>
          <w:szCs w:val="24"/>
        </w:rPr>
        <w:t xml:space="preserve">, ya que si bien se le denunció como Delegado Estatal de Programas </w:t>
      </w:r>
      <w:r>
        <w:rPr>
          <w:rFonts w:ascii="Arial" w:eastAsia="Arial" w:hAnsi="Arial" w:cs="Arial"/>
          <w:sz w:val="24"/>
          <w:szCs w:val="24"/>
        </w:rPr>
        <w:lastRenderedPageBreak/>
        <w:t xml:space="preserve">para el Desarrollo en el Estado de Aguascalientes, lo cierto es que tal carácter concluyó el 27 de agosto de 2021, situación que se comprobó con </w:t>
      </w:r>
      <w:r>
        <w:rPr>
          <w:rFonts w:ascii="Arial" w:eastAsia="Arial" w:hAnsi="Arial" w:cs="Arial"/>
          <w:sz w:val="24"/>
          <w:szCs w:val="24"/>
          <w:u w:val="single"/>
        </w:rPr>
        <w:t>la constancia de renuncia aprobada por la Secretaria del Bienestar</w:t>
      </w:r>
      <w:r>
        <w:rPr>
          <w:rFonts w:ascii="Arial" w:eastAsia="Arial" w:hAnsi="Arial" w:cs="Arial"/>
          <w:sz w:val="24"/>
          <w:szCs w:val="24"/>
        </w:rPr>
        <w:t xml:space="preserve">, sin que tal aspecto hubiese sido controvertido por la parte denunciante. </w:t>
      </w:r>
    </w:p>
    <w:p w14:paraId="297FAB56" w14:textId="77777777" w:rsidR="00C300AB" w:rsidRDefault="00C300AB">
      <w:pPr>
        <w:pBdr>
          <w:top w:val="nil"/>
          <w:left w:val="nil"/>
          <w:bottom w:val="nil"/>
          <w:right w:val="nil"/>
          <w:between w:val="nil"/>
        </w:pBdr>
        <w:rPr>
          <w:color w:val="000000"/>
        </w:rPr>
      </w:pPr>
    </w:p>
    <w:p w14:paraId="3290AD63" w14:textId="77777777" w:rsidR="00A714FF" w:rsidRDefault="00A714FF">
      <w:pPr>
        <w:spacing w:line="360" w:lineRule="auto"/>
        <w:jc w:val="both"/>
        <w:rPr>
          <w:rFonts w:ascii="Arial" w:eastAsia="Arial" w:hAnsi="Arial" w:cs="Arial"/>
          <w:sz w:val="24"/>
          <w:szCs w:val="24"/>
        </w:rPr>
      </w:pPr>
    </w:p>
    <w:p w14:paraId="21DCD484" w14:textId="08E0C921"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Así, dado que no se logró comprobar que dicha parte denunciante fungiera como servidor público en el hecho controvertido, implica que este Tribunal se encuentre en imposibilidad legal para continuar con el análisis de la infracción en cuestión, pues una de las exigencias es que la parte involucrada tenga el carácter como tal y, por tanto, sea un sujeto destinatario del artículo 134 constitucional, situación que no se logró comprobar en el presente asunto. </w:t>
      </w:r>
    </w:p>
    <w:p w14:paraId="2FD1905D" w14:textId="77777777" w:rsidR="00C300AB" w:rsidRDefault="00C300AB">
      <w:pPr>
        <w:pBdr>
          <w:top w:val="nil"/>
          <w:left w:val="nil"/>
          <w:bottom w:val="nil"/>
          <w:right w:val="nil"/>
          <w:between w:val="nil"/>
        </w:pBdr>
        <w:rPr>
          <w:color w:val="000000"/>
        </w:rPr>
      </w:pPr>
    </w:p>
    <w:p w14:paraId="25C7610C" w14:textId="77777777" w:rsidR="00A714FF" w:rsidRDefault="00A714FF">
      <w:pPr>
        <w:spacing w:line="360" w:lineRule="auto"/>
        <w:jc w:val="both"/>
        <w:rPr>
          <w:rFonts w:ascii="Arial" w:eastAsia="Arial" w:hAnsi="Arial" w:cs="Arial"/>
          <w:sz w:val="24"/>
          <w:szCs w:val="24"/>
        </w:rPr>
      </w:pPr>
    </w:p>
    <w:p w14:paraId="159C1368" w14:textId="735883DB" w:rsidR="00C300AB" w:rsidRDefault="00E27DA4">
      <w:pPr>
        <w:spacing w:line="360" w:lineRule="auto"/>
        <w:jc w:val="both"/>
        <w:rPr>
          <w:rFonts w:ascii="Arial" w:eastAsia="Arial" w:hAnsi="Arial" w:cs="Arial"/>
          <w:sz w:val="24"/>
          <w:szCs w:val="24"/>
        </w:rPr>
      </w:pPr>
      <w:r>
        <w:rPr>
          <w:rFonts w:ascii="Arial" w:eastAsia="Arial" w:hAnsi="Arial" w:cs="Arial"/>
          <w:sz w:val="24"/>
          <w:szCs w:val="24"/>
        </w:rPr>
        <w:t>Asimismo, esta exigencia también es congruente con la normativa electoral local -fracción III, del artículo 248 del Código Electoral</w:t>
      </w:r>
      <w:r>
        <w:rPr>
          <w:rFonts w:ascii="Arial" w:eastAsia="Arial" w:hAnsi="Arial" w:cs="Arial"/>
          <w:sz w:val="24"/>
          <w:szCs w:val="24"/>
          <w:vertAlign w:val="superscript"/>
        </w:rPr>
        <w:footnoteReference w:id="13"/>
      </w:r>
      <w:r>
        <w:rPr>
          <w:rFonts w:ascii="Arial" w:eastAsia="Arial" w:hAnsi="Arial" w:cs="Arial"/>
          <w:sz w:val="24"/>
          <w:szCs w:val="24"/>
        </w:rPr>
        <w:t xml:space="preserve">-, que establece que solamente podrán actualizar la infracción, las y los servidores públicos, por lo cual, como ya se explicó, al no cumplir con la condición necesaria para analizar la naturaleza de la infracción, debe desestimarse. </w:t>
      </w:r>
    </w:p>
    <w:p w14:paraId="1FA14B88" w14:textId="77777777" w:rsidR="00C300AB" w:rsidRDefault="00C300AB">
      <w:pPr>
        <w:pBdr>
          <w:top w:val="nil"/>
          <w:left w:val="nil"/>
          <w:bottom w:val="nil"/>
          <w:right w:val="nil"/>
          <w:between w:val="nil"/>
        </w:pBdr>
        <w:rPr>
          <w:color w:val="000000"/>
        </w:rPr>
      </w:pPr>
    </w:p>
    <w:p w14:paraId="51E62A3E" w14:textId="77777777" w:rsidR="00A714FF" w:rsidRDefault="00A714FF">
      <w:pPr>
        <w:spacing w:line="360" w:lineRule="auto"/>
        <w:jc w:val="both"/>
        <w:rPr>
          <w:rFonts w:ascii="Arial" w:eastAsia="Arial" w:hAnsi="Arial" w:cs="Arial"/>
          <w:sz w:val="24"/>
          <w:szCs w:val="24"/>
        </w:rPr>
      </w:pPr>
    </w:p>
    <w:p w14:paraId="09DB7694" w14:textId="6CE2BFD4" w:rsidR="00C300AB" w:rsidRDefault="00E27DA4">
      <w:pPr>
        <w:spacing w:line="360" w:lineRule="auto"/>
        <w:jc w:val="both"/>
        <w:rPr>
          <w:rFonts w:ascii="Arial" w:eastAsia="Arial" w:hAnsi="Arial" w:cs="Arial"/>
          <w:sz w:val="24"/>
          <w:szCs w:val="24"/>
        </w:rPr>
      </w:pPr>
      <w:r>
        <w:rPr>
          <w:rFonts w:ascii="Arial" w:eastAsia="Arial" w:hAnsi="Arial" w:cs="Arial"/>
          <w:sz w:val="24"/>
          <w:szCs w:val="24"/>
        </w:rPr>
        <w:t xml:space="preserve">Por ello, el hecho de que este órgano jurisdiccional hubiese declarado la inexistencia de la infracción relativa a la vulneración del artículo 134 de la Constitución general por parte de la funcionaria pública y el ciudadano como partes cuestionadas, implica que no sea posible acreditarles algún tipo de responsabilidad a la candidata y partido político, ambos denunciados. </w:t>
      </w:r>
    </w:p>
    <w:p w14:paraId="4360BAE5" w14:textId="77777777" w:rsidR="00C300AB" w:rsidRDefault="00C300AB">
      <w:pPr>
        <w:pBdr>
          <w:top w:val="nil"/>
          <w:left w:val="nil"/>
          <w:bottom w:val="nil"/>
          <w:right w:val="nil"/>
          <w:between w:val="nil"/>
        </w:pBdr>
        <w:rPr>
          <w:color w:val="000000"/>
        </w:rPr>
      </w:pPr>
    </w:p>
    <w:p w14:paraId="70EEC6B2" w14:textId="5BEBBCD3" w:rsidR="00C300AB" w:rsidRPr="00A714FF" w:rsidRDefault="00E27DA4" w:rsidP="00A714FF">
      <w:pPr>
        <w:pStyle w:val="Prrafodelista"/>
        <w:numPr>
          <w:ilvl w:val="0"/>
          <w:numId w:val="4"/>
        </w:num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A714FF">
        <w:rPr>
          <w:rFonts w:ascii="Arial" w:eastAsia="Arial" w:hAnsi="Arial" w:cs="Arial"/>
          <w:b/>
          <w:color w:val="000000"/>
          <w:sz w:val="24"/>
          <w:szCs w:val="24"/>
        </w:rPr>
        <w:t>Resolutivos</w:t>
      </w:r>
    </w:p>
    <w:p w14:paraId="62330FA3" w14:textId="77777777" w:rsidR="00A714FF" w:rsidRPr="00A714FF" w:rsidRDefault="00A714FF" w:rsidP="00A714FF">
      <w:pPr>
        <w:pStyle w:val="Prrafodelista"/>
        <w:pBdr>
          <w:top w:val="nil"/>
          <w:left w:val="nil"/>
          <w:bottom w:val="nil"/>
          <w:right w:val="nil"/>
          <w:between w:val="nil"/>
        </w:pBdr>
        <w:tabs>
          <w:tab w:val="left" w:pos="0"/>
          <w:tab w:val="left" w:pos="426"/>
        </w:tabs>
        <w:spacing w:line="360" w:lineRule="auto"/>
        <w:ind w:left="862"/>
        <w:rPr>
          <w:rFonts w:ascii="Arial" w:eastAsia="Arial" w:hAnsi="Arial" w:cs="Arial"/>
          <w:b/>
          <w:color w:val="000000"/>
          <w:sz w:val="24"/>
          <w:szCs w:val="24"/>
        </w:rPr>
      </w:pPr>
    </w:p>
    <w:p w14:paraId="13497CE6" w14:textId="77777777" w:rsidR="00C300AB" w:rsidRDefault="00C300AB">
      <w:pPr>
        <w:pBdr>
          <w:top w:val="nil"/>
          <w:left w:val="nil"/>
          <w:bottom w:val="nil"/>
          <w:right w:val="nil"/>
          <w:between w:val="nil"/>
        </w:pBdr>
        <w:rPr>
          <w:color w:val="000000"/>
          <w:sz w:val="10"/>
          <w:szCs w:val="10"/>
        </w:rPr>
      </w:pPr>
    </w:p>
    <w:p w14:paraId="05493C21" w14:textId="50E44B12" w:rsidR="00C300AB" w:rsidRDefault="00E27DA4">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Nora Ruvalcaba Gámez, al ciudadano Aldo Emmanuel Ruiz Sánchez, y a la Diputada Ana Laura Gómez Calzada.</w:t>
      </w:r>
    </w:p>
    <w:p w14:paraId="6120DC16" w14:textId="77777777" w:rsidR="00A714FF" w:rsidRDefault="00A714FF">
      <w:pPr>
        <w:spacing w:line="360" w:lineRule="auto"/>
        <w:jc w:val="both"/>
        <w:rPr>
          <w:rFonts w:ascii="Arial" w:eastAsia="Arial" w:hAnsi="Arial" w:cs="Arial"/>
          <w:sz w:val="24"/>
          <w:szCs w:val="24"/>
        </w:rPr>
      </w:pPr>
    </w:p>
    <w:p w14:paraId="659476C8" w14:textId="77777777" w:rsidR="00C300AB" w:rsidRDefault="00C300AB">
      <w:pPr>
        <w:pBdr>
          <w:top w:val="nil"/>
          <w:left w:val="nil"/>
          <w:bottom w:val="nil"/>
          <w:right w:val="nil"/>
          <w:between w:val="nil"/>
        </w:pBdr>
        <w:rPr>
          <w:color w:val="000000"/>
          <w:sz w:val="12"/>
          <w:szCs w:val="12"/>
        </w:rPr>
      </w:pPr>
    </w:p>
    <w:p w14:paraId="0B9DCAB9" w14:textId="77777777" w:rsidR="00C300AB" w:rsidRDefault="00C300AB">
      <w:pPr>
        <w:pBdr>
          <w:top w:val="nil"/>
          <w:left w:val="nil"/>
          <w:bottom w:val="nil"/>
          <w:right w:val="nil"/>
          <w:between w:val="nil"/>
        </w:pBdr>
        <w:rPr>
          <w:color w:val="000000"/>
          <w:sz w:val="12"/>
          <w:szCs w:val="12"/>
        </w:rPr>
      </w:pPr>
    </w:p>
    <w:p w14:paraId="3F76DC8B" w14:textId="77777777" w:rsidR="00C300AB" w:rsidRDefault="00E27DA4">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Morena.</w:t>
      </w:r>
    </w:p>
    <w:p w14:paraId="4DF7A952" w14:textId="77777777" w:rsidR="00C300AB" w:rsidRDefault="00C300AB">
      <w:pPr>
        <w:pBdr>
          <w:top w:val="nil"/>
          <w:left w:val="nil"/>
          <w:bottom w:val="nil"/>
          <w:right w:val="nil"/>
          <w:between w:val="nil"/>
        </w:pBdr>
        <w:rPr>
          <w:color w:val="000000"/>
          <w:sz w:val="12"/>
          <w:szCs w:val="12"/>
        </w:rPr>
      </w:pPr>
    </w:p>
    <w:p w14:paraId="31278D0D" w14:textId="77777777" w:rsidR="00C300AB" w:rsidRDefault="00C300AB">
      <w:pPr>
        <w:pBdr>
          <w:top w:val="nil"/>
          <w:left w:val="nil"/>
          <w:bottom w:val="nil"/>
          <w:right w:val="nil"/>
          <w:between w:val="nil"/>
        </w:pBdr>
        <w:rPr>
          <w:color w:val="000000"/>
          <w:sz w:val="12"/>
          <w:szCs w:val="12"/>
        </w:rPr>
      </w:pPr>
    </w:p>
    <w:p w14:paraId="7D85B9E8" w14:textId="77777777" w:rsidR="00A714FF" w:rsidRDefault="00A714FF">
      <w:pPr>
        <w:rPr>
          <w:rFonts w:ascii="Arial" w:eastAsia="Arial" w:hAnsi="Arial" w:cs="Arial"/>
          <w:b/>
          <w:color w:val="000000"/>
          <w:sz w:val="24"/>
          <w:szCs w:val="24"/>
        </w:rPr>
      </w:pPr>
      <w:bookmarkStart w:id="4" w:name="_heading=h.tyjcwt" w:colFirst="0" w:colLast="0"/>
      <w:bookmarkEnd w:id="4"/>
      <w:r>
        <w:rPr>
          <w:rFonts w:ascii="Arial" w:eastAsia="Arial" w:hAnsi="Arial" w:cs="Arial"/>
          <w:b/>
          <w:color w:val="000000"/>
          <w:sz w:val="24"/>
          <w:szCs w:val="24"/>
        </w:rPr>
        <w:br w:type="page"/>
      </w:r>
    </w:p>
    <w:p w14:paraId="555AF287" w14:textId="3F3208BB" w:rsidR="00C300AB" w:rsidRDefault="00E27DA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r>
        <w:rPr>
          <w:rFonts w:ascii="Arial" w:eastAsia="Arial" w:hAnsi="Arial" w:cs="Arial"/>
          <w:b/>
          <w:color w:val="000000"/>
          <w:sz w:val="24"/>
          <w:szCs w:val="24"/>
        </w:rPr>
        <w:lastRenderedPageBreak/>
        <w:t xml:space="preserve">Notifíquese. </w:t>
      </w:r>
      <w:r>
        <w:rPr>
          <w:rFonts w:ascii="Arial" w:eastAsia="Arial" w:hAnsi="Arial" w:cs="Arial"/>
          <w:b/>
          <w:color w:val="000000"/>
          <w:sz w:val="24"/>
          <w:szCs w:val="24"/>
        </w:rPr>
        <w:br/>
      </w:r>
    </w:p>
    <w:p w14:paraId="1D1717D6" w14:textId="1071341C" w:rsidR="00C300AB" w:rsidRDefault="00E27DA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tbl>
      <w:tblPr>
        <w:tblStyle w:val="af3"/>
        <w:tblW w:w="9120" w:type="dxa"/>
        <w:jc w:val="center"/>
        <w:tblInd w:w="0" w:type="dxa"/>
        <w:tblLayout w:type="fixed"/>
        <w:tblLook w:val="0400" w:firstRow="0" w:lastRow="0" w:firstColumn="0" w:lastColumn="0" w:noHBand="0" w:noVBand="1"/>
      </w:tblPr>
      <w:tblGrid>
        <w:gridCol w:w="4559"/>
        <w:gridCol w:w="4561"/>
      </w:tblGrid>
      <w:tr w:rsidR="00C300AB" w14:paraId="7B74EC13" w14:textId="77777777" w:rsidTr="00303888">
        <w:trPr>
          <w:trHeight w:val="1180"/>
          <w:jc w:val="center"/>
        </w:trPr>
        <w:tc>
          <w:tcPr>
            <w:tcW w:w="9120" w:type="dxa"/>
            <w:gridSpan w:val="2"/>
          </w:tcPr>
          <w:p w14:paraId="554B1989" w14:textId="6C8543E7" w:rsidR="00C300AB" w:rsidRDefault="00E27DA4" w:rsidP="00303888">
            <w:pPr>
              <w:spacing w:line="360" w:lineRule="auto"/>
              <w:jc w:val="center"/>
              <w:rPr>
                <w:rFonts w:ascii="Arial" w:eastAsia="Arial" w:hAnsi="Arial" w:cs="Arial"/>
                <w:b/>
                <w:sz w:val="24"/>
                <w:szCs w:val="24"/>
              </w:rPr>
            </w:pPr>
            <w:bookmarkStart w:id="5" w:name="_heading=h.4d34og8" w:colFirst="0" w:colLast="0"/>
            <w:bookmarkEnd w:id="5"/>
            <w:r>
              <w:rPr>
                <w:rFonts w:ascii="Arial" w:eastAsia="Arial" w:hAnsi="Arial" w:cs="Arial"/>
                <w:b/>
                <w:sz w:val="24"/>
                <w:szCs w:val="24"/>
              </w:rPr>
              <w:t>MAGISTRADA PRESIDENTA</w:t>
            </w:r>
          </w:p>
          <w:p w14:paraId="4A7663A2" w14:textId="7B44C71C" w:rsidR="00A714FF" w:rsidRDefault="00A714FF" w:rsidP="00303888">
            <w:pPr>
              <w:spacing w:line="360" w:lineRule="auto"/>
              <w:jc w:val="center"/>
              <w:rPr>
                <w:rFonts w:ascii="Arial" w:eastAsia="Arial" w:hAnsi="Arial" w:cs="Arial"/>
                <w:b/>
                <w:sz w:val="24"/>
                <w:szCs w:val="24"/>
              </w:rPr>
            </w:pPr>
          </w:p>
          <w:p w14:paraId="5462D5C0" w14:textId="77777777" w:rsidR="00303888" w:rsidRDefault="00303888" w:rsidP="00303888">
            <w:pPr>
              <w:pStyle w:val="Sinespaciado"/>
              <w:rPr>
                <w:rFonts w:eastAsia="Arial"/>
              </w:rPr>
            </w:pPr>
          </w:p>
          <w:p w14:paraId="3D1F7915" w14:textId="77777777"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CLAUDIA ELOISA DÍAZ DE LEÓN GONZÁLEZ</w:t>
            </w:r>
          </w:p>
        </w:tc>
      </w:tr>
      <w:tr w:rsidR="00C300AB" w14:paraId="607ED7DE" w14:textId="77777777">
        <w:trPr>
          <w:trHeight w:val="1549"/>
          <w:jc w:val="center"/>
        </w:trPr>
        <w:tc>
          <w:tcPr>
            <w:tcW w:w="4559" w:type="dxa"/>
          </w:tcPr>
          <w:p w14:paraId="0D22A5C7" w14:textId="3790E4AD" w:rsidR="00A714FF" w:rsidRDefault="00A714FF">
            <w:pPr>
              <w:spacing w:line="360" w:lineRule="auto"/>
              <w:jc w:val="center"/>
              <w:rPr>
                <w:rFonts w:ascii="Arial" w:eastAsia="Arial" w:hAnsi="Arial" w:cs="Arial"/>
                <w:b/>
                <w:sz w:val="24"/>
                <w:szCs w:val="24"/>
              </w:rPr>
            </w:pPr>
          </w:p>
          <w:p w14:paraId="4F917FC0" w14:textId="1F3F3FCF"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1BDEC37E" w14:textId="266B418D" w:rsidR="00C300AB" w:rsidRDefault="00C300AB" w:rsidP="00303888">
            <w:pPr>
              <w:pStyle w:val="Sinespaciado"/>
              <w:rPr>
                <w:rFonts w:eastAsia="Arial"/>
              </w:rPr>
            </w:pPr>
          </w:p>
          <w:p w14:paraId="33F903C9" w14:textId="678C8228" w:rsidR="00A714FF" w:rsidRDefault="00A714FF" w:rsidP="00303888">
            <w:pPr>
              <w:pStyle w:val="Sinespaciado"/>
              <w:rPr>
                <w:rFonts w:eastAsia="Arial"/>
              </w:rPr>
            </w:pPr>
          </w:p>
          <w:p w14:paraId="4BFE6AFA" w14:textId="77777777"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 xml:space="preserve">LAURA HORTENSIA </w:t>
            </w:r>
          </w:p>
          <w:p w14:paraId="7A5AC71E" w14:textId="77777777"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LLAMAS HERNÁNDEZ</w:t>
            </w:r>
          </w:p>
        </w:tc>
        <w:tc>
          <w:tcPr>
            <w:tcW w:w="4561" w:type="dxa"/>
          </w:tcPr>
          <w:p w14:paraId="46318E54" w14:textId="77777777" w:rsidR="00A714FF" w:rsidRDefault="00A714FF">
            <w:pPr>
              <w:spacing w:line="360" w:lineRule="auto"/>
              <w:jc w:val="center"/>
              <w:rPr>
                <w:rFonts w:ascii="Arial" w:eastAsia="Arial" w:hAnsi="Arial" w:cs="Arial"/>
                <w:b/>
                <w:sz w:val="24"/>
                <w:szCs w:val="24"/>
              </w:rPr>
            </w:pPr>
          </w:p>
          <w:p w14:paraId="0795C2FC" w14:textId="053E683D"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MAGISTRADO</w:t>
            </w:r>
          </w:p>
          <w:p w14:paraId="17660568" w14:textId="73130E0F" w:rsidR="00C300AB" w:rsidRDefault="00C300AB" w:rsidP="00303888">
            <w:pPr>
              <w:pStyle w:val="Sinespaciado"/>
              <w:rPr>
                <w:rFonts w:eastAsia="Arial"/>
              </w:rPr>
            </w:pPr>
          </w:p>
          <w:p w14:paraId="3D0F3FB3" w14:textId="77777777" w:rsidR="00A714FF" w:rsidRDefault="00A714FF" w:rsidP="00303888">
            <w:pPr>
              <w:pStyle w:val="Sinespaciado"/>
              <w:rPr>
                <w:rFonts w:eastAsia="Arial"/>
              </w:rPr>
            </w:pPr>
          </w:p>
          <w:p w14:paraId="3FEA21AD" w14:textId="77777777"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 xml:space="preserve">HÉCTOR SALVADOR </w:t>
            </w:r>
            <w:r>
              <w:rPr>
                <w:rFonts w:ascii="Arial" w:eastAsia="Arial" w:hAnsi="Arial" w:cs="Arial"/>
                <w:b/>
                <w:sz w:val="24"/>
                <w:szCs w:val="24"/>
              </w:rPr>
              <w:br/>
              <w:t>HERNÁNDEZ GALLEGOS</w:t>
            </w:r>
          </w:p>
          <w:p w14:paraId="141ABAD9" w14:textId="77777777" w:rsidR="00C300AB" w:rsidRDefault="00C300AB">
            <w:pPr>
              <w:spacing w:line="360" w:lineRule="auto"/>
              <w:jc w:val="center"/>
              <w:rPr>
                <w:rFonts w:ascii="Arial" w:eastAsia="Arial" w:hAnsi="Arial" w:cs="Arial"/>
                <w:b/>
                <w:sz w:val="24"/>
                <w:szCs w:val="24"/>
              </w:rPr>
            </w:pPr>
          </w:p>
        </w:tc>
      </w:tr>
      <w:tr w:rsidR="00C300AB" w14:paraId="745B47B8" w14:textId="77777777">
        <w:trPr>
          <w:jc w:val="center"/>
        </w:trPr>
        <w:tc>
          <w:tcPr>
            <w:tcW w:w="9120" w:type="dxa"/>
            <w:gridSpan w:val="2"/>
          </w:tcPr>
          <w:p w14:paraId="7D2C52F6" w14:textId="2B5C52CB"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 xml:space="preserve">SECRETARIO GENERAL DE ACUERDOS </w:t>
            </w:r>
          </w:p>
          <w:p w14:paraId="2877961D" w14:textId="77777777" w:rsidR="00C300AB" w:rsidRDefault="00C300AB">
            <w:pPr>
              <w:spacing w:line="360" w:lineRule="auto"/>
              <w:jc w:val="center"/>
              <w:rPr>
                <w:rFonts w:ascii="Arial" w:eastAsia="Arial" w:hAnsi="Arial" w:cs="Arial"/>
                <w:b/>
                <w:sz w:val="24"/>
                <w:szCs w:val="24"/>
              </w:rPr>
            </w:pPr>
          </w:p>
          <w:p w14:paraId="0EC69BFF" w14:textId="77777777" w:rsidR="00C300AB" w:rsidRDefault="00E27DA4">
            <w:pPr>
              <w:spacing w:line="360" w:lineRule="auto"/>
              <w:jc w:val="center"/>
              <w:rPr>
                <w:rFonts w:ascii="Arial" w:eastAsia="Arial" w:hAnsi="Arial" w:cs="Arial"/>
                <w:b/>
                <w:sz w:val="24"/>
                <w:szCs w:val="24"/>
              </w:rPr>
            </w:pPr>
            <w:r>
              <w:rPr>
                <w:rFonts w:ascii="Arial" w:eastAsia="Arial" w:hAnsi="Arial" w:cs="Arial"/>
                <w:b/>
                <w:sz w:val="24"/>
                <w:szCs w:val="24"/>
              </w:rPr>
              <w:t>JESÚS OCIEL BAENA SAUCEDO</w:t>
            </w:r>
          </w:p>
        </w:tc>
      </w:tr>
    </w:tbl>
    <w:p w14:paraId="6CDB65FC" w14:textId="2FA88CD3" w:rsidR="00C300AB" w:rsidRDefault="00C300AB">
      <w:pPr>
        <w:spacing w:line="360" w:lineRule="auto"/>
        <w:rPr>
          <w:rFonts w:ascii="Arial" w:eastAsia="Arial" w:hAnsi="Arial" w:cs="Arial"/>
          <w:sz w:val="24"/>
          <w:szCs w:val="24"/>
        </w:rPr>
      </w:pPr>
    </w:p>
    <w:sectPr w:rsidR="00C300AB">
      <w:headerReference w:type="even" r:id="rId12"/>
      <w:headerReference w:type="default" r:id="rId13"/>
      <w:footerReference w:type="even" r:id="rId14"/>
      <w:footerReference w:type="default" r:id="rId15"/>
      <w:headerReference w:type="first" r:id="rId16"/>
      <w:footerReference w:type="first" r:id="rId17"/>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EF02" w14:textId="77777777" w:rsidR="00BF678B" w:rsidRDefault="00BF678B">
      <w:r>
        <w:separator/>
      </w:r>
    </w:p>
  </w:endnote>
  <w:endnote w:type="continuationSeparator" w:id="0">
    <w:p w14:paraId="6E5128A9" w14:textId="77777777" w:rsidR="00BF678B" w:rsidRDefault="00BF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F8DF" w14:textId="77777777" w:rsidR="00C300AB" w:rsidRDefault="00C300A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8017" w14:textId="77777777" w:rsidR="00C300AB" w:rsidRDefault="00C300A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69C7" w14:textId="77777777" w:rsidR="00C300AB" w:rsidRDefault="00C300A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EA5A" w14:textId="77777777" w:rsidR="00BF678B" w:rsidRDefault="00BF678B">
      <w:r>
        <w:separator/>
      </w:r>
    </w:p>
  </w:footnote>
  <w:footnote w:type="continuationSeparator" w:id="0">
    <w:p w14:paraId="38C36441" w14:textId="77777777" w:rsidR="00BF678B" w:rsidRDefault="00BF678B">
      <w:r>
        <w:continuationSeparator/>
      </w:r>
    </w:p>
  </w:footnote>
  <w:footnote w:id="1">
    <w:p w14:paraId="6333EC1B" w14:textId="77777777" w:rsidR="00C300AB" w:rsidRDefault="00E27DA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59F5C5C3" w14:textId="77777777" w:rsidR="00C300AB" w:rsidRDefault="00E27DA4">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44B0B0A4" w14:textId="77777777" w:rsidR="00C300AB" w:rsidRDefault="00E27DA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9756582" w14:textId="77777777" w:rsidR="00C300AB" w:rsidRDefault="00E27DA4">
      <w:pPr>
        <w:pBdr>
          <w:top w:val="nil"/>
          <w:left w:val="nil"/>
          <w:bottom w:val="nil"/>
          <w:right w:val="nil"/>
          <w:between w:val="nil"/>
        </w:pBdr>
        <w:jc w:val="both"/>
        <w:rPr>
          <w:color w:val="000000"/>
          <w:sz w:val="24"/>
          <w:szCs w:val="24"/>
        </w:rPr>
      </w:pPr>
      <w:r>
        <w:rPr>
          <w:vertAlign w:val="superscript"/>
        </w:rPr>
        <w:footnoteRef/>
      </w:r>
      <w:r>
        <w:rPr>
          <w:color w:val="000000"/>
          <w:sz w:val="24"/>
          <w:szCs w:val="24"/>
        </w:rPr>
        <w:t xml:space="preserve"> </w:t>
      </w:r>
      <w:r>
        <w:rPr>
          <w:rFonts w:ascii="Arial" w:eastAsia="Arial" w:hAnsi="Arial" w:cs="Arial"/>
          <w:color w:val="000000"/>
        </w:rPr>
        <w:t>Tal como se prevé en el artículo 274, fracción IV, del Código Electoral.</w:t>
      </w:r>
    </w:p>
  </w:footnote>
  <w:footnote w:id="5">
    <w:p w14:paraId="37C41594" w14:textId="77777777" w:rsidR="00C300AB" w:rsidRDefault="00E27DA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87C9113" w14:textId="77777777" w:rsidR="00C300AB" w:rsidRDefault="00E27DA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5DD67C96" w14:textId="77777777" w:rsidR="00C300AB" w:rsidRDefault="00E27DA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08767BE9" w14:textId="77777777" w:rsidR="00C300AB" w:rsidRDefault="00E27DA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447C3EF5" w14:textId="77777777" w:rsidR="00C300AB" w:rsidRDefault="00C300AB">
      <w:pPr>
        <w:pBdr>
          <w:top w:val="nil"/>
          <w:left w:val="nil"/>
          <w:bottom w:val="nil"/>
          <w:right w:val="nil"/>
          <w:between w:val="nil"/>
        </w:pBdr>
        <w:rPr>
          <w:color w:val="000000"/>
        </w:rPr>
      </w:pPr>
    </w:p>
  </w:footnote>
  <w:footnote w:id="6">
    <w:p w14:paraId="77DD42E4" w14:textId="3AC0AAE3" w:rsidR="00A714FF" w:rsidRPr="00A714FF" w:rsidRDefault="00A714FF" w:rsidP="00A714FF">
      <w:pPr>
        <w:pStyle w:val="Textonotapie"/>
        <w:jc w:val="both"/>
        <w:rPr>
          <w:rFonts w:ascii="Arial" w:hAnsi="Arial" w:cs="Arial"/>
        </w:rPr>
      </w:pPr>
      <w:r>
        <w:rPr>
          <w:rStyle w:val="Refdenotaalpie"/>
        </w:rPr>
        <w:footnoteRef/>
      </w:r>
      <w:r>
        <w:t xml:space="preserve"> </w:t>
      </w:r>
      <w:r w:rsidRPr="00A714FF">
        <w:rPr>
          <w:rFonts w:ascii="Arial" w:hAnsi="Arial" w:cs="Arial"/>
        </w:rPr>
        <w:t>Véase las sentencias SUP-JE-50/2018 y SUP-REP-45/2021</w:t>
      </w:r>
    </w:p>
  </w:footnote>
  <w:footnote w:id="7">
    <w:p w14:paraId="23119693" w14:textId="51332132" w:rsidR="00A714FF" w:rsidRDefault="00A714FF" w:rsidP="00A714FF">
      <w:pPr>
        <w:pStyle w:val="Textonotapie"/>
        <w:jc w:val="both"/>
      </w:pPr>
      <w:r w:rsidRPr="00A714FF">
        <w:rPr>
          <w:rStyle w:val="Refdenotaalpie"/>
          <w:rFonts w:ascii="Arial" w:hAnsi="Arial" w:cs="Arial"/>
        </w:rPr>
        <w:footnoteRef/>
      </w:r>
      <w:r w:rsidRPr="00A714FF">
        <w:rPr>
          <w:rFonts w:ascii="Arial" w:hAnsi="Arial" w:cs="Arial"/>
        </w:rPr>
        <w:t xml:space="preserve"> Véase las sentencias SUP-REP-88/2019, SUP-JRC-13/2018, SUP-REP-163/2018, SUP-JDC-903/2015 y SUP-JDC-904/2015 acumulados</w:t>
      </w:r>
    </w:p>
  </w:footnote>
  <w:footnote w:id="8">
    <w:p w14:paraId="6D882860" w14:textId="77777777" w:rsidR="00C300AB" w:rsidRDefault="00E27DA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Véase el asunto </w:t>
      </w:r>
      <w:r>
        <w:rPr>
          <w:rFonts w:ascii="Arial" w:eastAsia="Arial" w:hAnsi="Arial" w:cs="Arial"/>
          <w:color w:val="000000"/>
          <w:highlight w:val="white"/>
        </w:rPr>
        <w:t>SUP-RAP-75/2010.</w:t>
      </w:r>
    </w:p>
  </w:footnote>
  <w:footnote w:id="9">
    <w:p w14:paraId="1B81CFE2" w14:textId="77777777" w:rsidR="00C300AB" w:rsidRDefault="00E27DA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Léase los asuntos </w:t>
      </w:r>
      <w:r>
        <w:rPr>
          <w:rFonts w:ascii="Arial" w:eastAsia="Arial" w:hAnsi="Arial" w:cs="Arial"/>
          <w:color w:val="000000"/>
          <w:highlight w:val="white"/>
        </w:rPr>
        <w:t>SUP-JE-50/2018 y SUP-REP-45/2021.</w:t>
      </w:r>
    </w:p>
  </w:footnote>
  <w:footnote w:id="10">
    <w:p w14:paraId="5E10BEE2" w14:textId="77777777" w:rsidR="00C300AB" w:rsidRDefault="00E27DA4">
      <w:pPr>
        <w:pBdr>
          <w:top w:val="nil"/>
          <w:left w:val="nil"/>
          <w:bottom w:val="nil"/>
          <w:right w:val="nil"/>
          <w:between w:val="nil"/>
        </w:pBdr>
        <w:rPr>
          <w:color w:val="000000"/>
        </w:rPr>
      </w:pPr>
      <w:r>
        <w:rPr>
          <w:vertAlign w:val="superscript"/>
        </w:rPr>
        <w:footnoteRef/>
      </w:r>
      <w:r>
        <w:rPr>
          <w:rFonts w:ascii="Arial" w:eastAsia="Arial" w:hAnsi="Arial" w:cs="Arial"/>
          <w:color w:val="000000"/>
        </w:rPr>
        <w:t xml:space="preserve"> Véase los asuntos </w:t>
      </w:r>
      <w:r>
        <w:rPr>
          <w:rFonts w:ascii="Arial" w:eastAsia="Arial" w:hAnsi="Arial" w:cs="Arial"/>
          <w:color w:val="000000"/>
          <w:highlight w:val="white"/>
        </w:rPr>
        <w:t>SUP-REP-88/2019, SUP-JRC-13/2018, SUP-REP-163/2018, SUP-JDC-903/2015 y SUP-JDC-904/2015 acumulados.</w:t>
      </w:r>
    </w:p>
  </w:footnote>
  <w:footnote w:id="11">
    <w:p w14:paraId="4377BD44" w14:textId="77777777" w:rsidR="00C300AB" w:rsidRDefault="00E27DA4">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El día y hora de celebración de tal evento que es un hecho público y notorio, en atención a las constancias que existe en el expediente (TEEA-PES-052/2022).</w:t>
      </w:r>
    </w:p>
  </w:footnote>
  <w:footnote w:id="12">
    <w:p w14:paraId="63A4B962" w14:textId="77777777" w:rsidR="00C300AB" w:rsidRDefault="00E27DA4">
      <w:pPr>
        <w:jc w:val="both"/>
      </w:pPr>
      <w:r>
        <w:rPr>
          <w:vertAlign w:val="superscript"/>
        </w:rPr>
        <w:footnoteRef/>
      </w:r>
      <w:r>
        <w:t xml:space="preserve"> </w:t>
      </w:r>
      <w:r>
        <w:rPr>
          <w:rFonts w:ascii="Arial" w:eastAsia="Arial" w:hAnsi="Arial" w:cs="Arial"/>
        </w:rPr>
        <w:t xml:space="preserve">Véase la resolución SUP-RAP-75/2010. </w:t>
      </w:r>
    </w:p>
  </w:footnote>
  <w:footnote w:id="13">
    <w:p w14:paraId="4168E315" w14:textId="77777777" w:rsidR="00C300AB" w:rsidRDefault="00E27DA4">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color w:val="000000"/>
        </w:rPr>
        <w:t>Artículo 248.- Constituyen infracciones al presente Código de las autoridades o los servidores públicos federales, estatales, municipales, órganos autónomos, y cualquier otro ente público: […]</w:t>
      </w:r>
    </w:p>
    <w:p w14:paraId="6FDC677B" w14:textId="77777777" w:rsidR="00C300AB" w:rsidRDefault="00E27DA4">
      <w:pPr>
        <w:pBdr>
          <w:top w:val="nil"/>
          <w:left w:val="nil"/>
          <w:bottom w:val="nil"/>
          <w:right w:val="nil"/>
          <w:between w:val="nil"/>
        </w:pBdr>
        <w:jc w:val="both"/>
        <w:rPr>
          <w:color w:val="000000"/>
        </w:rPr>
      </w:pPr>
      <w:r>
        <w:rPr>
          <w:rFonts w:ascii="Arial" w:eastAsia="Arial" w:hAnsi="Arial" w:cs="Arial"/>
          <w:color w:val="000000"/>
        </w:rPr>
        <w:t xml:space="preserve">III. El incumplimiento del principio de imparcialidad establecido en el artículo 134 de la </w:t>
      </w:r>
      <w:proofErr w:type="gramStart"/>
      <w:r>
        <w:rPr>
          <w:rFonts w:ascii="Arial" w:eastAsia="Arial" w:hAnsi="Arial" w:cs="Arial"/>
          <w:color w:val="000000"/>
        </w:rPr>
        <w:t>CPEUM</w:t>
      </w:r>
      <w:proofErr w:type="gramEnd"/>
      <w:r>
        <w:rPr>
          <w:rFonts w:ascii="Arial" w:eastAsia="Arial" w:hAnsi="Arial" w:cs="Arial"/>
          <w:color w:val="000000"/>
        </w:rPr>
        <w:t xml:space="preserve"> así como en el artículo 89 de la Constitución, cuando tal conducta afecte la equidad de la competencia entre los partidos políticos, entre los aspirantes, precandidatos o candidatos durante los procesos electorales;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ED0C" w14:textId="2E9A1A63" w:rsidR="00C300AB" w:rsidRDefault="00BF678B">
    <w:pPr>
      <w:pBdr>
        <w:top w:val="nil"/>
        <w:left w:val="nil"/>
        <w:bottom w:val="nil"/>
        <w:right w:val="nil"/>
        <w:between w:val="nil"/>
      </w:pBdr>
      <w:tabs>
        <w:tab w:val="center" w:pos="4419"/>
        <w:tab w:val="right" w:pos="8838"/>
      </w:tabs>
      <w:rPr>
        <w:color w:val="000000"/>
      </w:rPr>
    </w:pPr>
    <w:r>
      <w:rPr>
        <w:noProof/>
      </w:rPr>
      <w:pict w14:anchorId="01582B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4547"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27DA4">
      <w:rPr>
        <w:noProof/>
        <w:color w:val="000000"/>
      </w:rPr>
      <mc:AlternateContent>
        <mc:Choice Requires="wps">
          <w:drawing>
            <wp:anchor distT="0" distB="0" distL="0" distR="0" simplePos="0" relativeHeight="251658240" behindDoc="1" locked="0" layoutInCell="1" hidden="0" allowOverlap="1" wp14:anchorId="00A4CDDB" wp14:editId="4D7A0C1F">
              <wp:simplePos x="0" y="0"/>
              <wp:positionH relativeFrom="margin">
                <wp:align>center</wp:align>
              </wp:positionH>
              <wp:positionV relativeFrom="margin">
                <wp:align>center</wp:align>
              </wp:positionV>
              <wp:extent cx="11248858" cy="11248858"/>
              <wp:effectExtent l="0" t="0" r="0" b="0"/>
              <wp:wrapNone/>
              <wp:docPr id="244" name="Rectángulo 24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78D1530C" w14:textId="77777777" w:rsidR="00C300AB" w:rsidRDefault="00E27DA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00A4CDDB" id="Rectángulo 244" o:spid="_x0000_s1032" style="position:absolute;margin-left:0;margin-top:0;width:885.75pt;height:885.7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M/5AEAAJgDAAAOAAAAZHJzL2Uyb0RvYy54bWysU1tu2zAQ/C/QOxD8j/Wy7ESwHBQNXBQI&#10;WqNpDkBTlEWAItklbcnH6Vl6sS4pNXWbv6L6ILjLwXBmuNrcj70iZwFOGl3TbJFSIjQ3jdTHmj5/&#10;3d3cUuI80w1TRouaXoSj99u3bzaDrURuOqMaAQRJtKsGW9POe1slieOd6JlbGCs0HrYGeuaxhGPS&#10;ABuQvVdJnqarZDDQWDBcOIfdh+mQbiN/2wruP7etE56omqI2H1eI6yGsyXbDqiMw20k+y2D/oKJn&#10;UuOlL1QPzDNyAvmKqpccjDOtX3DTJ6ZtJRfRA7rJ0r/cPHXMiugFw3H2JSb3/2j5p/MeiGxqmi+X&#10;lGjW4yN9wdh+fNfHkzIktDGkwboKsU92D3PlcBscjy30BAwme5Ov0/DFINAaGXEi7rJ1keEQXGpa&#10;5GW+KoopczF6whGwui3XxaqkhCMiS8vluigDIpmYww0WnP8gTE/CpqaA6uIV7Pzo/AT9BQlwbXZS&#10;KeyzSuk/GsgZOkkwM8kPOz8extnTwTQXjMNZvpN41yNzfs8AByKjZMAhqan7dmIgKFEfNb7CXbbM&#10;Ubq/LuC6OFwXTPPO4OxxD5RMxXsfZ3FS+e7kTSujo6BrEjPLxeePmcyjGubruo6o3z/U9icAAAD/&#10;/wMAUEsDBBQABgAIAAAAIQCmVpLo2AAAAAcBAAAPAAAAZHJzL2Rvd25yZXYueG1sTI9PT8MwDMXv&#10;SHyHyEjcmDsQDErTif9HUAeIq9eYtiJxqibrCp+eDAnBxXrWs977uVhOzqqRh9B50TCfZaBYam86&#10;aTS8PN8fnYMKkcSQ9cIaPjnAstzfKyg3fisVj6vYqBQiIScNbYx9jhjqlh2Fme9ZkvfuB0cxrUOD&#10;ZqBtCncWj7PsDB11khpa6vmm5fpjtXEaxp7o9uvtwb7eVRU+mhO8uH5CrQ8PpqtLUJGn+HcMO/yE&#10;DmViWvuNmKCshvRI/Jk7b7GYn4Ja/yosC/zPX34DAAD//wMAUEsBAi0AFAAGAAgAAAAhALaDOJL+&#10;AAAA4QEAABMAAAAAAAAAAAAAAAAAAAAAAFtDb250ZW50X1R5cGVzXS54bWxQSwECLQAUAAYACAAA&#10;ACEAOP0h/9YAAACUAQAACwAAAAAAAAAAAAAAAAAvAQAAX3JlbHMvLnJlbHNQSwECLQAUAAYACAAA&#10;ACEAw51DP+QBAACYAwAADgAAAAAAAAAAAAAAAAAuAgAAZHJzL2Uyb0RvYy54bWxQSwECLQAUAAYA&#10;CAAAACEAplaS6NgAAAAHAQAADwAAAAAAAAAAAAAAAAA+BAAAZHJzL2Rvd25yZXYueG1sUEsFBgAA&#10;AAAEAAQA8wAAAEMFAAAAAA==&#10;" filled="f" stroked="f">
              <v:textbox inset="2.53958mm,2.53958mm,2.53958mm,2.53958mm">
                <w:txbxContent>
                  <w:p w14:paraId="78D1530C" w14:textId="77777777" w:rsidR="00C300AB" w:rsidRDefault="00E27DA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D1E6" w14:textId="3C8AAC76" w:rsidR="00C300AB" w:rsidRDefault="00BF678B">
    <w:pPr>
      <w:pBdr>
        <w:top w:val="nil"/>
        <w:left w:val="nil"/>
        <w:bottom w:val="nil"/>
        <w:right w:val="nil"/>
        <w:between w:val="nil"/>
      </w:pBdr>
      <w:tabs>
        <w:tab w:val="center" w:pos="4419"/>
        <w:tab w:val="right" w:pos="8838"/>
      </w:tabs>
      <w:rPr>
        <w:color w:val="000000"/>
      </w:rPr>
    </w:pPr>
    <w:r>
      <w:rPr>
        <w:noProof/>
      </w:rPr>
      <w:pict w14:anchorId="3AB13D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4548"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686984676"/>
        <w:docPartObj>
          <w:docPartGallery w:val="Page Numbers (Margins)"/>
          <w:docPartUnique/>
        </w:docPartObj>
      </w:sdtPr>
      <w:sdtEndPr/>
      <w:sdtContent>
        <w:r w:rsidR="00707F06" w:rsidRPr="00707F06">
          <w:rPr>
            <w:noProof/>
            <w:color w:val="000000"/>
          </w:rPr>
          <mc:AlternateContent>
            <mc:Choice Requires="wps">
              <w:drawing>
                <wp:anchor distT="0" distB="0" distL="114300" distR="114300" simplePos="0" relativeHeight="251660288" behindDoc="0" locked="0" layoutInCell="0" allowOverlap="1" wp14:anchorId="572E4098" wp14:editId="0E47CCF9">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470EDCC" w14:textId="77777777" w:rsidR="00707F06" w:rsidRDefault="00707F0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E4098" id="Rectángulo 1" o:spid="_x0000_s1033"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Cg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ni0rITqQLIR&#10;xqGjR0KbFvA7Zz0NXMH9t51AxZl5b8m669liESc0BYvl5ZwCPM+U5xlhJUEVPHA2bjdhnOqdQ920&#10;9KdZssHCLdld62RFbMXI6kifhirJPT6AOLXncar6/Uz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m/0EDQ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470EDCC" w14:textId="77777777" w:rsidR="00707F06" w:rsidRDefault="00707F0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27DA4">
      <w:rPr>
        <w:noProof/>
        <w:color w:val="000000"/>
      </w:rPr>
      <w:drawing>
        <wp:inline distT="0" distB="0" distL="0" distR="0" wp14:anchorId="5E2FD8A1" wp14:editId="6C9675D9">
          <wp:extent cx="995527" cy="1154534"/>
          <wp:effectExtent l="0" t="0" r="0" b="0"/>
          <wp:docPr id="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9548" w14:textId="2BAC262B" w:rsidR="00C300AB" w:rsidRDefault="00BF678B">
    <w:pPr>
      <w:pBdr>
        <w:top w:val="nil"/>
        <w:left w:val="nil"/>
        <w:bottom w:val="nil"/>
        <w:right w:val="nil"/>
        <w:between w:val="nil"/>
      </w:pBdr>
      <w:tabs>
        <w:tab w:val="center" w:pos="4419"/>
        <w:tab w:val="right" w:pos="8838"/>
      </w:tabs>
      <w:rPr>
        <w:color w:val="000000"/>
      </w:rPr>
    </w:pPr>
    <w:r>
      <w:rPr>
        <w:noProof/>
      </w:rPr>
      <w:pict w14:anchorId="2BBDC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454546"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128D"/>
    <w:multiLevelType w:val="multilevel"/>
    <w:tmpl w:val="DDC2E5A6"/>
    <w:lvl w:ilvl="0">
      <w:start w:val="1"/>
      <w:numFmt w:val="decimal"/>
      <w:lvlText w:val="%1."/>
      <w:lvlJc w:val="left"/>
      <w:pPr>
        <w:ind w:left="2375" w:hanging="390"/>
      </w:pPr>
      <w:rPr>
        <w:rFonts w:ascii="Arial" w:eastAsia="Arial" w:hAnsi="Arial" w:cs="Arial"/>
        <w:b/>
        <w:sz w:val="24"/>
        <w:szCs w:val="24"/>
        <w:shd w:val="clear" w:color="auto" w:fil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18FC30BC"/>
    <w:multiLevelType w:val="multilevel"/>
    <w:tmpl w:val="9F3081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B81C58"/>
    <w:multiLevelType w:val="multilevel"/>
    <w:tmpl w:val="2A545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5A7727"/>
    <w:multiLevelType w:val="multilevel"/>
    <w:tmpl w:val="F0162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3B2CB7"/>
    <w:multiLevelType w:val="multilevel"/>
    <w:tmpl w:val="2B8AA0AE"/>
    <w:lvl w:ilvl="0">
      <w:start w:val="1"/>
      <w:numFmt w:val="decimal"/>
      <w:lvlText w:val="%1."/>
      <w:lvlJc w:val="left"/>
      <w:pPr>
        <w:ind w:left="360" w:hanging="36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4FD60DE0"/>
    <w:multiLevelType w:val="multilevel"/>
    <w:tmpl w:val="158C0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1B2A8A"/>
    <w:multiLevelType w:val="multilevel"/>
    <w:tmpl w:val="5DB0904E"/>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7B2C0FF7"/>
    <w:multiLevelType w:val="multilevel"/>
    <w:tmpl w:val="70108690"/>
    <w:lvl w:ilvl="0">
      <w:start w:val="3"/>
      <w:numFmt w:val="upperRoman"/>
      <w:lvlText w:val="%1."/>
      <w:lvlJc w:val="left"/>
      <w:pPr>
        <w:ind w:left="862" w:hanging="72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511994206">
    <w:abstractNumId w:val="1"/>
  </w:num>
  <w:num w:numId="2" w16cid:durableId="974680065">
    <w:abstractNumId w:val="3"/>
  </w:num>
  <w:num w:numId="3" w16cid:durableId="162548895">
    <w:abstractNumId w:val="4"/>
  </w:num>
  <w:num w:numId="4" w16cid:durableId="912621478">
    <w:abstractNumId w:val="7"/>
  </w:num>
  <w:num w:numId="5" w16cid:durableId="794300043">
    <w:abstractNumId w:val="0"/>
  </w:num>
  <w:num w:numId="6" w16cid:durableId="25066756">
    <w:abstractNumId w:val="5"/>
  </w:num>
  <w:num w:numId="7" w16cid:durableId="378824406">
    <w:abstractNumId w:val="6"/>
  </w:num>
  <w:num w:numId="8" w16cid:durableId="556236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AB"/>
    <w:rsid w:val="00303888"/>
    <w:rsid w:val="003279C8"/>
    <w:rsid w:val="00383CB5"/>
    <w:rsid w:val="005A44F9"/>
    <w:rsid w:val="0062602C"/>
    <w:rsid w:val="00707F06"/>
    <w:rsid w:val="007D10F7"/>
    <w:rsid w:val="00957EB1"/>
    <w:rsid w:val="00A714FF"/>
    <w:rsid w:val="00BD18D3"/>
    <w:rsid w:val="00BF678B"/>
    <w:rsid w:val="00C300AB"/>
    <w:rsid w:val="00CA0C14"/>
    <w:rsid w:val="00E27DA4"/>
    <w:rsid w:val="00E328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768FF"/>
  <w15:docId w15:val="{BC5FD0C3-2C2B-45B4-8D44-F01763CF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279"/>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rPr>
      <w:color w:val="000000"/>
    </w:rPr>
    <w:tblPr>
      <w:tblStyleRowBandSize w:val="1"/>
      <w:tblStyleColBandSize w:val="1"/>
      <w:tblCellMar>
        <w:left w:w="108" w:type="dxa"/>
        <w:right w:w="108" w:type="dxa"/>
      </w:tblCellMar>
    </w:tblPr>
  </w:style>
  <w:style w:type="table" w:customStyle="1" w:styleId="a0">
    <w:basedOn w:val="TableNormal2"/>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2"/>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2"/>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2"/>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a4">
    <w:basedOn w:val="TableNormal2"/>
    <w:rPr>
      <w:color w:val="000000"/>
    </w:rPr>
    <w:tblPr>
      <w:tblStyleRowBandSize w:val="1"/>
      <w:tblStyleColBandSize w:val="1"/>
      <w:tblCellMar>
        <w:left w:w="115" w:type="dxa"/>
        <w:right w:w="115" w:type="dxa"/>
      </w:tblCellMar>
    </w:tblPr>
  </w:style>
  <w:style w:type="table" w:customStyle="1" w:styleId="a5">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2"/>
    <w:rPr>
      <w:color w:val="000000"/>
    </w:rPr>
    <w:tblPr>
      <w:tblStyleRowBandSize w:val="1"/>
      <w:tblStyleColBandSize w:val="1"/>
      <w:tblCellMar>
        <w:left w:w="115" w:type="dxa"/>
        <w:right w:w="115" w:type="dxa"/>
      </w:tblCellMar>
    </w:tblPr>
  </w:style>
  <w:style w:type="table" w:styleId="Tablaconcuadrcula">
    <w:name w:val="Table Grid"/>
    <w:basedOn w:val="Tablanormal"/>
    <w:uiPriority w:val="39"/>
    <w:rsid w:val="00E30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4052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7">
    <w:basedOn w:val="TableNormal1"/>
    <w:rPr>
      <w:color w:val="000000"/>
    </w:rPr>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b">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0"/>
    <w:rPr>
      <w:color w:val="000000"/>
    </w:rPr>
    <w:tblPr>
      <w:tblStyleRowBandSize w:val="1"/>
      <w:tblStyleColBandSize w:val="1"/>
      <w:tblCellMar>
        <w:left w:w="115" w:type="dxa"/>
        <w:right w:w="115" w:type="dxa"/>
      </w:tblCellMar>
    </w:tblPr>
  </w:style>
  <w:style w:type="table" w:customStyle="1" w:styleId="ae">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0"/>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fbid=491933075995188&amp;set=pb.100055354991877.-220752000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photo/?fbid=496452468876582&amp;set=pb.100055354991877.-220752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z8YqD2ViFt/Mfe33OpzoTnMr6Q==">AMUW2mVVDPG4v0WDxljDCMYD7ZTa1gTRLkicxogYW8HErQGhVkK3Fzyhy7fz4XERVBYDK4gR9X8m4IE8rEX4beBj7pkaIE3/9hVKH0ugQeoyk8T5NU9RoIE5ODUR/D/FNW6PTw3iItdd0IrhhjC0wc3l8PXrB8CCKsOjvYJ0HMSy80uaaZiaO8L8sveEB8R3PX8kUYIRkRp2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4114</Words>
  <Characters>22629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2022-06-30T18:02:00Z</cp:lastPrinted>
  <dcterms:created xsi:type="dcterms:W3CDTF">2022-06-30T19:41:00Z</dcterms:created>
  <dcterms:modified xsi:type="dcterms:W3CDTF">2022-06-30T19:41:00Z</dcterms:modified>
</cp:coreProperties>
</file>