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8E1A8" w14:textId="77777777" w:rsidR="004F46F5" w:rsidRDefault="004F46F5">
      <w:pPr>
        <w:ind w:left="3828" w:right="36"/>
        <w:jc w:val="both"/>
        <w:rPr>
          <w:rFonts w:ascii="Arial" w:eastAsia="Arial" w:hAnsi="Arial" w:cs="Arial"/>
          <w:b/>
          <w:sz w:val="24"/>
          <w:szCs w:val="24"/>
        </w:rPr>
      </w:pPr>
      <w:bookmarkStart w:id="0" w:name="_heading=h.gjdgxs" w:colFirst="0" w:colLast="0"/>
      <w:bookmarkEnd w:id="0"/>
    </w:p>
    <w:p w14:paraId="64B49355" w14:textId="3FE1D659" w:rsidR="00CA3CF2" w:rsidRDefault="00C6513E">
      <w:pPr>
        <w:ind w:left="3828" w:right="36"/>
        <w:jc w:val="both"/>
        <w:rPr>
          <w:rFonts w:ascii="Arial" w:eastAsia="Arial" w:hAnsi="Arial" w:cs="Arial"/>
          <w:b/>
          <w:sz w:val="24"/>
          <w:szCs w:val="24"/>
        </w:rPr>
      </w:pPr>
      <w:r>
        <w:rPr>
          <w:rFonts w:ascii="Arial" w:eastAsia="Arial" w:hAnsi="Arial" w:cs="Arial"/>
          <w:b/>
          <w:sz w:val="24"/>
          <w:szCs w:val="24"/>
        </w:rPr>
        <w:t>PROCEDIMIENTO ESPECIAL SANCIONADOR.</w:t>
      </w:r>
    </w:p>
    <w:p w14:paraId="7E8515B1" w14:textId="77777777" w:rsidR="00CA3CF2" w:rsidRDefault="00CA3CF2">
      <w:pPr>
        <w:pBdr>
          <w:top w:val="nil"/>
          <w:left w:val="nil"/>
          <w:bottom w:val="nil"/>
          <w:right w:val="nil"/>
          <w:between w:val="nil"/>
        </w:pBdr>
        <w:ind w:left="3828"/>
        <w:rPr>
          <w:rFonts w:ascii="Arial" w:eastAsia="Arial" w:hAnsi="Arial" w:cs="Arial"/>
          <w:color w:val="000000"/>
          <w:sz w:val="14"/>
          <w:szCs w:val="14"/>
        </w:rPr>
      </w:pPr>
    </w:p>
    <w:p w14:paraId="529E2421" w14:textId="77777777" w:rsidR="00CA3CF2" w:rsidRDefault="00C6513E">
      <w:pPr>
        <w:ind w:left="3828" w:right="36"/>
        <w:jc w:val="both"/>
        <w:rPr>
          <w:rFonts w:ascii="Arial" w:eastAsia="Arial" w:hAnsi="Arial" w:cs="Arial"/>
          <w:b/>
          <w:sz w:val="24"/>
          <w:szCs w:val="24"/>
        </w:rPr>
      </w:pPr>
      <w:r>
        <w:rPr>
          <w:rFonts w:ascii="Arial" w:eastAsia="Arial" w:hAnsi="Arial" w:cs="Arial"/>
          <w:b/>
          <w:sz w:val="24"/>
          <w:szCs w:val="24"/>
        </w:rPr>
        <w:t xml:space="preserve">EXPEDIENTE: </w:t>
      </w:r>
      <w:r>
        <w:rPr>
          <w:rFonts w:ascii="Arial" w:eastAsia="Arial" w:hAnsi="Arial" w:cs="Arial"/>
          <w:sz w:val="24"/>
          <w:szCs w:val="24"/>
        </w:rPr>
        <w:t>TEEA-PES-071/2022.</w:t>
      </w:r>
      <w:r>
        <w:rPr>
          <w:rFonts w:ascii="Arial" w:eastAsia="Arial" w:hAnsi="Arial" w:cs="Arial"/>
          <w:b/>
          <w:sz w:val="24"/>
          <w:szCs w:val="24"/>
        </w:rPr>
        <w:t xml:space="preserve"> </w:t>
      </w:r>
    </w:p>
    <w:p w14:paraId="17DCF782" w14:textId="77777777" w:rsidR="00CA3CF2" w:rsidRDefault="00CA3CF2">
      <w:pPr>
        <w:ind w:left="3828" w:right="36"/>
        <w:jc w:val="both"/>
        <w:rPr>
          <w:rFonts w:ascii="Arial" w:eastAsia="Arial" w:hAnsi="Arial" w:cs="Arial"/>
          <w:b/>
          <w:sz w:val="14"/>
          <w:szCs w:val="14"/>
        </w:rPr>
      </w:pPr>
    </w:p>
    <w:p w14:paraId="130FF0D3" w14:textId="77777777" w:rsidR="00CA3CF2" w:rsidRDefault="00C6513E">
      <w:pPr>
        <w:ind w:left="3828" w:right="36"/>
        <w:jc w:val="both"/>
        <w:rPr>
          <w:rFonts w:ascii="Arial" w:eastAsia="Arial" w:hAnsi="Arial" w:cs="Arial"/>
          <w:sz w:val="24"/>
          <w:szCs w:val="24"/>
        </w:rPr>
      </w:pPr>
      <w:r>
        <w:rPr>
          <w:rFonts w:ascii="Arial" w:eastAsia="Arial" w:hAnsi="Arial" w:cs="Arial"/>
          <w:b/>
          <w:sz w:val="24"/>
          <w:szCs w:val="24"/>
        </w:rPr>
        <w:t>DENUNCIANTE:</w:t>
      </w:r>
      <w:r>
        <w:rPr>
          <w:rFonts w:ascii="Arial" w:eastAsia="Arial" w:hAnsi="Arial" w:cs="Arial"/>
          <w:sz w:val="24"/>
          <w:szCs w:val="24"/>
        </w:rPr>
        <w:t xml:space="preserve"> ISRAEL ÁNGEL RAMÍREZ, REPRESENTANTE SUPLENTE DEL PAN.</w:t>
      </w:r>
    </w:p>
    <w:p w14:paraId="659683C6" w14:textId="77777777" w:rsidR="00CA3CF2" w:rsidRDefault="00CA3CF2">
      <w:pPr>
        <w:ind w:left="3828" w:right="36"/>
        <w:jc w:val="both"/>
        <w:rPr>
          <w:rFonts w:ascii="Arial" w:eastAsia="Arial" w:hAnsi="Arial" w:cs="Arial"/>
          <w:sz w:val="14"/>
          <w:szCs w:val="14"/>
        </w:rPr>
      </w:pPr>
    </w:p>
    <w:p w14:paraId="5A4A3AD0" w14:textId="77777777" w:rsidR="00CA3CF2" w:rsidRDefault="00C6513E">
      <w:pPr>
        <w:ind w:left="3828" w:right="36"/>
        <w:jc w:val="both"/>
        <w:rPr>
          <w:rFonts w:ascii="Arial" w:eastAsia="Arial" w:hAnsi="Arial" w:cs="Arial"/>
          <w:sz w:val="24"/>
          <w:szCs w:val="24"/>
        </w:rPr>
      </w:pPr>
      <w:r>
        <w:rPr>
          <w:rFonts w:ascii="Arial" w:eastAsia="Arial" w:hAnsi="Arial" w:cs="Arial"/>
          <w:b/>
          <w:sz w:val="24"/>
          <w:szCs w:val="24"/>
        </w:rPr>
        <w:t xml:space="preserve">DENUNCIADOS: </w:t>
      </w:r>
      <w:r>
        <w:rPr>
          <w:rFonts w:ascii="Arial" w:eastAsia="Arial" w:hAnsi="Arial" w:cs="Arial"/>
          <w:sz w:val="24"/>
          <w:szCs w:val="24"/>
        </w:rPr>
        <w:t>ANAYELI MUÑOZ MORENO, ENTONCES CANDIDATA DE MOVIMIENTO CIUDADANO A LA GUBERNATURA DEL ESTADO, Y OTROS.</w:t>
      </w:r>
    </w:p>
    <w:p w14:paraId="6CBF2F60" w14:textId="77777777" w:rsidR="00CA3CF2" w:rsidRDefault="00CA3CF2">
      <w:pPr>
        <w:pBdr>
          <w:top w:val="nil"/>
          <w:left w:val="nil"/>
          <w:bottom w:val="nil"/>
          <w:right w:val="nil"/>
          <w:between w:val="nil"/>
        </w:pBdr>
        <w:ind w:left="3828"/>
        <w:rPr>
          <w:rFonts w:ascii="Arial" w:eastAsia="Arial" w:hAnsi="Arial" w:cs="Arial"/>
          <w:color w:val="000000"/>
          <w:sz w:val="14"/>
          <w:szCs w:val="14"/>
        </w:rPr>
      </w:pPr>
    </w:p>
    <w:p w14:paraId="7D8972B4" w14:textId="77777777" w:rsidR="00CA3CF2" w:rsidRDefault="00C6513E">
      <w:pPr>
        <w:ind w:left="3828" w:right="36"/>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1D0254E9" w14:textId="77777777" w:rsidR="00CA3CF2" w:rsidRDefault="00CA3CF2">
      <w:pPr>
        <w:pBdr>
          <w:top w:val="nil"/>
          <w:left w:val="nil"/>
          <w:bottom w:val="nil"/>
          <w:right w:val="nil"/>
          <w:between w:val="nil"/>
        </w:pBdr>
        <w:ind w:left="3828"/>
        <w:rPr>
          <w:rFonts w:ascii="Arial" w:eastAsia="Arial" w:hAnsi="Arial" w:cs="Arial"/>
          <w:color w:val="000000"/>
          <w:sz w:val="14"/>
          <w:szCs w:val="14"/>
        </w:rPr>
      </w:pPr>
    </w:p>
    <w:p w14:paraId="7D80294F" w14:textId="77777777" w:rsidR="00CA3CF2" w:rsidRDefault="00C6513E">
      <w:pPr>
        <w:ind w:left="3828" w:right="36"/>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38BDC485" w14:textId="77777777" w:rsidR="00CA3CF2" w:rsidRDefault="00CA3CF2">
      <w:pPr>
        <w:ind w:left="3828" w:right="36"/>
        <w:jc w:val="both"/>
        <w:rPr>
          <w:rFonts w:ascii="Arial" w:eastAsia="Arial" w:hAnsi="Arial" w:cs="Arial"/>
          <w:sz w:val="24"/>
          <w:szCs w:val="24"/>
        </w:rPr>
      </w:pPr>
    </w:p>
    <w:p w14:paraId="6328EFDE" w14:textId="77777777" w:rsidR="00CA3CF2" w:rsidRDefault="00C6513E">
      <w:pPr>
        <w:ind w:left="3828" w:right="36"/>
        <w:jc w:val="both"/>
        <w:rPr>
          <w:rFonts w:ascii="Arial" w:eastAsia="Arial" w:hAnsi="Arial" w:cs="Arial"/>
          <w:sz w:val="24"/>
          <w:szCs w:val="24"/>
        </w:rPr>
      </w:pPr>
      <w:r>
        <w:rPr>
          <w:rFonts w:ascii="Arial" w:eastAsia="Arial" w:hAnsi="Arial" w:cs="Arial"/>
          <w:b/>
          <w:sz w:val="24"/>
          <w:szCs w:val="24"/>
        </w:rPr>
        <w:t xml:space="preserve">COLABORÓ: </w:t>
      </w:r>
      <w:r>
        <w:rPr>
          <w:rFonts w:ascii="Arial" w:eastAsia="Arial" w:hAnsi="Arial" w:cs="Arial"/>
          <w:sz w:val="24"/>
          <w:szCs w:val="24"/>
        </w:rPr>
        <w:t>GUADALUPE JOCELYN MARTÍNEZ TAVAREZ E IVONNE AZUCENA ZAVALA SOTO.</w:t>
      </w:r>
    </w:p>
    <w:p w14:paraId="3486F16A" w14:textId="77777777" w:rsidR="00CA3CF2" w:rsidRDefault="00CA3CF2">
      <w:pPr>
        <w:pBdr>
          <w:top w:val="nil"/>
          <w:left w:val="nil"/>
          <w:bottom w:val="nil"/>
          <w:right w:val="nil"/>
          <w:between w:val="nil"/>
        </w:pBdr>
        <w:rPr>
          <w:color w:val="000000"/>
        </w:rPr>
      </w:pPr>
    </w:p>
    <w:p w14:paraId="37E83A36" w14:textId="5ED452FF" w:rsidR="00CA3CF2" w:rsidRDefault="00C6513E">
      <w:pPr>
        <w:pBdr>
          <w:top w:val="nil"/>
          <w:left w:val="nil"/>
          <w:bottom w:val="nil"/>
          <w:right w:val="nil"/>
          <w:between w:val="nil"/>
        </w:pBdr>
        <w:spacing w:line="360" w:lineRule="auto"/>
        <w:ind w:right="36"/>
        <w:jc w:val="right"/>
        <w:rPr>
          <w:rFonts w:ascii="Arial" w:eastAsia="Arial" w:hAnsi="Arial" w:cs="Arial"/>
          <w:sz w:val="24"/>
          <w:szCs w:val="24"/>
        </w:rPr>
      </w:pPr>
      <w:r>
        <w:rPr>
          <w:rFonts w:ascii="Arial" w:eastAsia="Arial" w:hAnsi="Arial" w:cs="Arial"/>
          <w:sz w:val="24"/>
          <w:szCs w:val="24"/>
        </w:rPr>
        <w:t xml:space="preserve">Aguascalientes, </w:t>
      </w:r>
      <w:r w:rsidRPr="007F61B4">
        <w:rPr>
          <w:rFonts w:ascii="Arial" w:eastAsia="Arial" w:hAnsi="Arial" w:cs="Arial"/>
          <w:sz w:val="24"/>
          <w:szCs w:val="24"/>
        </w:rPr>
        <w:t xml:space="preserve">Aguascalientes, </w:t>
      </w:r>
      <w:r w:rsidRPr="007F61B4">
        <w:rPr>
          <w:rFonts w:ascii="Arial" w:eastAsia="Arial" w:hAnsi="Arial" w:cs="Arial"/>
          <w:color w:val="000000"/>
          <w:sz w:val="24"/>
          <w:szCs w:val="24"/>
        </w:rPr>
        <w:t xml:space="preserve">a </w:t>
      </w:r>
      <w:r w:rsidR="00F80E94" w:rsidRPr="007F61B4">
        <w:rPr>
          <w:rFonts w:ascii="Arial" w:eastAsia="Arial" w:hAnsi="Arial" w:cs="Arial"/>
          <w:sz w:val="24"/>
          <w:szCs w:val="24"/>
        </w:rPr>
        <w:t>30</w:t>
      </w:r>
      <w:r w:rsidRPr="007F61B4">
        <w:rPr>
          <w:rFonts w:ascii="Arial" w:eastAsia="Arial" w:hAnsi="Arial" w:cs="Arial"/>
          <w:sz w:val="24"/>
          <w:szCs w:val="24"/>
        </w:rPr>
        <w:t xml:space="preserve"> </w:t>
      </w:r>
      <w:r w:rsidRPr="007F61B4">
        <w:rPr>
          <w:rFonts w:ascii="Arial" w:eastAsia="Arial" w:hAnsi="Arial" w:cs="Arial"/>
          <w:color w:val="000000"/>
          <w:sz w:val="24"/>
          <w:szCs w:val="24"/>
        </w:rPr>
        <w:t>de junio</w:t>
      </w:r>
      <w:r>
        <w:rPr>
          <w:rFonts w:ascii="Arial" w:eastAsia="Arial" w:hAnsi="Arial" w:cs="Arial"/>
          <w:color w:val="000000"/>
          <w:sz w:val="24"/>
          <w:szCs w:val="24"/>
        </w:rPr>
        <w:t xml:space="preserve"> de 2022</w:t>
      </w:r>
      <w:r>
        <w:rPr>
          <w:rFonts w:ascii="Arial" w:eastAsia="Arial" w:hAnsi="Arial" w:cs="Arial"/>
          <w:sz w:val="24"/>
          <w:szCs w:val="24"/>
        </w:rPr>
        <w:t>.</w:t>
      </w:r>
    </w:p>
    <w:p w14:paraId="630E0720" w14:textId="77777777" w:rsidR="00CA3CF2" w:rsidRDefault="00CA3CF2">
      <w:pPr>
        <w:pBdr>
          <w:top w:val="nil"/>
          <w:left w:val="nil"/>
          <w:bottom w:val="nil"/>
          <w:right w:val="nil"/>
          <w:between w:val="nil"/>
        </w:pBdr>
        <w:rPr>
          <w:color w:val="000000"/>
        </w:rPr>
      </w:pPr>
    </w:p>
    <w:p w14:paraId="2C344AD7" w14:textId="77777777" w:rsidR="00CA3CF2" w:rsidRDefault="00C6513E">
      <w:pPr>
        <w:spacing w:line="360" w:lineRule="auto"/>
        <w:jc w:val="both"/>
        <w:rPr>
          <w:rFonts w:ascii="Arial" w:eastAsia="Arial" w:hAnsi="Arial" w:cs="Arial"/>
          <w:sz w:val="24"/>
          <w:szCs w:val="24"/>
        </w:rPr>
      </w:pPr>
      <w:bookmarkStart w:id="1" w:name="_heading=h.30j0zll" w:colFirst="0" w:colLast="0"/>
      <w:bookmarkEnd w:id="1"/>
      <w:r>
        <w:rPr>
          <w:rFonts w:ascii="Arial" w:eastAsia="Arial" w:hAnsi="Arial" w:cs="Arial"/>
          <w:b/>
          <w:sz w:val="24"/>
          <w:szCs w:val="24"/>
        </w:rPr>
        <w:t xml:space="preserve">Sentencia del Tribunal Electoral </w:t>
      </w:r>
      <w:r>
        <w:rPr>
          <w:rFonts w:ascii="Arial" w:eastAsia="Arial" w:hAnsi="Arial" w:cs="Arial"/>
          <w:sz w:val="24"/>
          <w:szCs w:val="24"/>
        </w:rPr>
        <w:t xml:space="preserve">que declara: </w:t>
      </w:r>
      <w:r>
        <w:rPr>
          <w:rFonts w:ascii="Arial" w:eastAsia="Arial" w:hAnsi="Arial" w:cs="Arial"/>
          <w:b/>
          <w:i/>
          <w:sz w:val="24"/>
          <w:szCs w:val="24"/>
        </w:rPr>
        <w:t xml:space="preserve">a) </w:t>
      </w:r>
      <w:r>
        <w:rPr>
          <w:rFonts w:ascii="Arial" w:eastAsia="Arial" w:hAnsi="Arial" w:cs="Arial"/>
          <w:sz w:val="24"/>
          <w:szCs w:val="24"/>
        </w:rPr>
        <w:t xml:space="preserve">la </w:t>
      </w:r>
      <w:r>
        <w:rPr>
          <w:rFonts w:ascii="Arial" w:eastAsia="Arial" w:hAnsi="Arial" w:cs="Arial"/>
          <w:b/>
          <w:sz w:val="24"/>
          <w:szCs w:val="24"/>
        </w:rPr>
        <w:t>inexistencia</w:t>
      </w:r>
      <w:r>
        <w:rPr>
          <w:rFonts w:ascii="Arial" w:eastAsia="Arial" w:hAnsi="Arial" w:cs="Arial"/>
          <w:sz w:val="24"/>
          <w:szCs w:val="24"/>
        </w:rPr>
        <w:t xml:space="preserve"> de la infracción atribuida a la entonces candidata Anayeli Muñoz Moreno, a la ciudadana </w:t>
      </w:r>
      <w:proofErr w:type="spellStart"/>
      <w:r>
        <w:rPr>
          <w:rFonts w:ascii="Arial" w:eastAsia="Arial" w:hAnsi="Arial" w:cs="Arial"/>
          <w:sz w:val="24"/>
          <w:szCs w:val="24"/>
        </w:rPr>
        <w:t>Yolytzín</w:t>
      </w:r>
      <w:proofErr w:type="spellEnd"/>
      <w:r>
        <w:rPr>
          <w:rFonts w:ascii="Arial" w:eastAsia="Arial" w:hAnsi="Arial" w:cs="Arial"/>
          <w:sz w:val="24"/>
          <w:szCs w:val="24"/>
        </w:rPr>
        <w:t xml:space="preserve"> Alelí Rodríguez </w:t>
      </w:r>
      <w:proofErr w:type="spellStart"/>
      <w:r>
        <w:rPr>
          <w:rFonts w:ascii="Arial" w:eastAsia="Arial" w:hAnsi="Arial" w:cs="Arial"/>
          <w:sz w:val="24"/>
          <w:szCs w:val="24"/>
        </w:rPr>
        <w:t>Sendejas</w:t>
      </w:r>
      <w:proofErr w:type="spellEnd"/>
      <w:r>
        <w:rPr>
          <w:rFonts w:ascii="Arial" w:eastAsia="Arial" w:hAnsi="Arial" w:cs="Arial"/>
          <w:sz w:val="24"/>
          <w:szCs w:val="24"/>
        </w:rPr>
        <w:t xml:space="preserve">, Diputada de la LXV Legislatura del Congreso, a la ciudadana </w:t>
      </w:r>
      <w:r>
        <w:rPr>
          <w:rFonts w:ascii="Arial" w:eastAsia="Arial" w:hAnsi="Arial" w:cs="Arial"/>
          <w:color w:val="000000"/>
          <w:sz w:val="24"/>
          <w:szCs w:val="24"/>
        </w:rPr>
        <w:t>María Guadalupe Arellano Espinosa y el ciudada</w:t>
      </w:r>
      <w:r>
        <w:rPr>
          <w:rFonts w:ascii="Arial" w:eastAsia="Arial" w:hAnsi="Arial" w:cs="Arial"/>
          <w:sz w:val="24"/>
          <w:szCs w:val="24"/>
        </w:rPr>
        <w:t xml:space="preserve">no </w:t>
      </w:r>
      <w:r>
        <w:rPr>
          <w:rFonts w:ascii="Arial" w:eastAsia="Arial" w:hAnsi="Arial" w:cs="Arial"/>
          <w:color w:val="000000"/>
          <w:sz w:val="24"/>
          <w:szCs w:val="24"/>
        </w:rPr>
        <w:t>Gustavo Adolfo Granados Corzo</w:t>
      </w:r>
      <w:r>
        <w:rPr>
          <w:rFonts w:ascii="Arial" w:eastAsia="Arial" w:hAnsi="Arial" w:cs="Arial"/>
          <w:sz w:val="24"/>
          <w:szCs w:val="24"/>
        </w:rPr>
        <w:t xml:space="preserve"> en su calidad de regidora y regidor del Ayuntamiento de Aguascalientes, consistente en la vulneración a los principios de equidad e imparcialidad en la contienda, derivado de su aparición en una serie de fotografías que promovieron la candidatura de la entonces contendiente y, </w:t>
      </w:r>
      <w:r>
        <w:rPr>
          <w:rFonts w:ascii="Arial" w:eastAsia="Arial" w:hAnsi="Arial" w:cs="Arial"/>
          <w:b/>
          <w:i/>
          <w:sz w:val="24"/>
          <w:szCs w:val="24"/>
        </w:rPr>
        <w:t xml:space="preserve">b) </w:t>
      </w:r>
      <w:r>
        <w:rPr>
          <w:rFonts w:ascii="Arial" w:eastAsia="Arial" w:hAnsi="Arial" w:cs="Arial"/>
          <w:sz w:val="24"/>
          <w:szCs w:val="24"/>
        </w:rPr>
        <w:t xml:space="preserve">la </w:t>
      </w:r>
      <w:r>
        <w:rPr>
          <w:rFonts w:ascii="Arial" w:eastAsia="Arial" w:hAnsi="Arial" w:cs="Arial"/>
          <w:b/>
          <w:sz w:val="24"/>
          <w:szCs w:val="24"/>
        </w:rPr>
        <w:t xml:space="preserve">inexistencia </w:t>
      </w:r>
      <w:r>
        <w:rPr>
          <w:rFonts w:ascii="Arial" w:eastAsia="Arial" w:hAnsi="Arial" w:cs="Arial"/>
          <w:sz w:val="24"/>
          <w:szCs w:val="24"/>
        </w:rPr>
        <w:t xml:space="preserve">de la infracción de </w:t>
      </w:r>
      <w:r>
        <w:rPr>
          <w:rFonts w:ascii="Arial" w:eastAsia="Arial" w:hAnsi="Arial" w:cs="Arial"/>
          <w:i/>
          <w:sz w:val="24"/>
          <w:szCs w:val="24"/>
        </w:rPr>
        <w:t xml:space="preserve">culpa in vigilando </w:t>
      </w:r>
      <w:r>
        <w:rPr>
          <w:rFonts w:ascii="Arial" w:eastAsia="Arial" w:hAnsi="Arial" w:cs="Arial"/>
          <w:sz w:val="24"/>
          <w:szCs w:val="24"/>
        </w:rPr>
        <w:t>atribuida a Movimiento Ciudadano.</w:t>
      </w:r>
    </w:p>
    <w:p w14:paraId="6D27E961" w14:textId="77777777" w:rsidR="00CA3CF2" w:rsidRDefault="00CA3CF2">
      <w:pPr>
        <w:pBdr>
          <w:top w:val="nil"/>
          <w:left w:val="nil"/>
          <w:bottom w:val="nil"/>
          <w:right w:val="nil"/>
          <w:between w:val="nil"/>
        </w:pBdr>
        <w:rPr>
          <w:color w:val="000000"/>
        </w:rPr>
      </w:pPr>
    </w:p>
    <w:p w14:paraId="08126D60" w14:textId="03947D4D" w:rsidR="00CA3CF2" w:rsidRDefault="00C6513E">
      <w:pPr>
        <w:spacing w:line="360" w:lineRule="auto"/>
        <w:jc w:val="both"/>
        <w:rPr>
          <w:rFonts w:ascii="Arial" w:eastAsia="Arial" w:hAnsi="Arial" w:cs="Arial"/>
          <w:sz w:val="24"/>
          <w:szCs w:val="24"/>
        </w:rPr>
      </w:pPr>
      <w:r>
        <w:rPr>
          <w:rFonts w:ascii="Arial" w:eastAsia="Arial" w:hAnsi="Arial" w:cs="Arial"/>
          <w:sz w:val="24"/>
          <w:szCs w:val="24"/>
        </w:rPr>
        <w:t xml:space="preserve">Lo anterior, porque </w:t>
      </w:r>
      <w:r>
        <w:rPr>
          <w:rFonts w:ascii="Arial" w:eastAsia="Arial" w:hAnsi="Arial" w:cs="Arial"/>
          <w:b/>
          <w:sz w:val="24"/>
          <w:szCs w:val="24"/>
        </w:rPr>
        <w:t>este Tribunal Electoral considera</w:t>
      </w:r>
      <w:r>
        <w:rPr>
          <w:rFonts w:ascii="Arial" w:eastAsia="Arial" w:hAnsi="Arial" w:cs="Arial"/>
          <w:sz w:val="24"/>
          <w:szCs w:val="24"/>
        </w:rPr>
        <w:t xml:space="preserve"> que, </w:t>
      </w:r>
      <w:r>
        <w:rPr>
          <w:rFonts w:ascii="Arial" w:eastAsia="Arial" w:hAnsi="Arial" w:cs="Arial"/>
          <w:color w:val="000000"/>
          <w:sz w:val="24"/>
          <w:szCs w:val="24"/>
        </w:rPr>
        <w:t>del análisis de los hechos denunciados y del material probatorio que obra en el expediente</w:t>
      </w:r>
      <w:r>
        <w:rPr>
          <w:rFonts w:ascii="Arial" w:eastAsia="Arial" w:hAnsi="Arial" w:cs="Arial"/>
          <w:sz w:val="24"/>
          <w:szCs w:val="24"/>
        </w:rPr>
        <w:t xml:space="preserve">, se advierte </w:t>
      </w:r>
      <w:r>
        <w:rPr>
          <w:rFonts w:ascii="Arial" w:eastAsia="Arial" w:hAnsi="Arial" w:cs="Arial"/>
          <w:color w:val="000000"/>
          <w:sz w:val="24"/>
          <w:szCs w:val="24"/>
        </w:rPr>
        <w:t>que</w:t>
      </w:r>
      <w:r>
        <w:rPr>
          <w:rFonts w:ascii="Arial" w:eastAsia="Arial" w:hAnsi="Arial" w:cs="Arial"/>
          <w:sz w:val="24"/>
          <w:szCs w:val="24"/>
        </w:rPr>
        <w:t xml:space="preserve"> </w:t>
      </w:r>
      <w:r>
        <w:rPr>
          <w:rFonts w:ascii="Arial" w:eastAsia="Arial" w:hAnsi="Arial" w:cs="Arial"/>
          <w:color w:val="000000"/>
          <w:sz w:val="24"/>
          <w:szCs w:val="24"/>
        </w:rPr>
        <w:t xml:space="preserve">las y los servidores públicos aparecieron en una serie de publicaciones que promocionaron la candidatura denunciada y una serie de eventos de los cuales se desprenden algunas de las fotografías denunciadas, se celebraron en días y horas inhábiles; lo cual </w:t>
      </w:r>
      <w:r>
        <w:rPr>
          <w:rFonts w:ascii="Arial" w:eastAsia="Arial" w:hAnsi="Arial" w:cs="Arial"/>
          <w:b/>
          <w:color w:val="000000"/>
          <w:sz w:val="24"/>
          <w:szCs w:val="24"/>
        </w:rPr>
        <w:t xml:space="preserve">no demuestra, </w:t>
      </w:r>
      <w:r>
        <w:rPr>
          <w:rFonts w:ascii="Arial" w:eastAsia="Arial" w:hAnsi="Arial" w:cs="Arial"/>
          <w:color w:val="000000"/>
          <w:sz w:val="24"/>
          <w:szCs w:val="24"/>
        </w:rPr>
        <w:t>por sí solo,</w:t>
      </w:r>
      <w:r>
        <w:rPr>
          <w:rFonts w:ascii="Arial" w:eastAsia="Arial" w:hAnsi="Arial" w:cs="Arial"/>
          <w:b/>
          <w:color w:val="000000"/>
          <w:sz w:val="24"/>
          <w:szCs w:val="24"/>
        </w:rPr>
        <w:t xml:space="preserve"> un uso indebido de recursos públicos</w:t>
      </w:r>
      <w:r>
        <w:rPr>
          <w:rFonts w:ascii="Arial" w:eastAsia="Arial" w:hAnsi="Arial" w:cs="Arial"/>
          <w:sz w:val="24"/>
          <w:szCs w:val="24"/>
        </w:rPr>
        <w:t xml:space="preserve">, por lo que no se </w:t>
      </w:r>
      <w:r>
        <w:rPr>
          <w:rFonts w:ascii="Arial" w:eastAsia="Arial" w:hAnsi="Arial" w:cs="Arial"/>
          <w:color w:val="000000"/>
          <w:sz w:val="24"/>
          <w:szCs w:val="24"/>
        </w:rPr>
        <w:t xml:space="preserve">cuenta con elementos probatorios suficientes que adminiculados entre sí, permitan advertir alguna vulneración al artículo 134 </w:t>
      </w:r>
      <w:r>
        <w:rPr>
          <w:rFonts w:ascii="Arial" w:eastAsia="Arial" w:hAnsi="Arial" w:cs="Arial"/>
          <w:sz w:val="24"/>
          <w:szCs w:val="24"/>
        </w:rPr>
        <w:t>c</w:t>
      </w:r>
      <w:r>
        <w:rPr>
          <w:rFonts w:ascii="Arial" w:eastAsia="Arial" w:hAnsi="Arial" w:cs="Arial"/>
          <w:color w:val="000000"/>
          <w:sz w:val="24"/>
          <w:szCs w:val="24"/>
        </w:rPr>
        <w:t xml:space="preserve">onstitucional. </w:t>
      </w:r>
    </w:p>
    <w:p w14:paraId="72979A88" w14:textId="77777777" w:rsidR="002539C2" w:rsidRDefault="002539C2" w:rsidP="002539C2">
      <w:pPr>
        <w:pStyle w:val="Sinespaciado"/>
        <w:rPr>
          <w:rFonts w:eastAsia="Arial"/>
        </w:rPr>
      </w:pPr>
    </w:p>
    <w:p w14:paraId="45FAC29B" w14:textId="77777777" w:rsidR="00CA3CF2" w:rsidRPr="002539C2" w:rsidRDefault="00C6513E">
      <w:pPr>
        <w:keepNext/>
        <w:keepLines/>
        <w:pBdr>
          <w:top w:val="nil"/>
          <w:left w:val="nil"/>
          <w:bottom w:val="nil"/>
          <w:right w:val="nil"/>
          <w:between w:val="nil"/>
        </w:pBdr>
        <w:tabs>
          <w:tab w:val="left" w:pos="3402"/>
        </w:tabs>
        <w:ind w:left="4320" w:right="-518" w:firstLine="141"/>
        <w:rPr>
          <w:rFonts w:ascii="Arial" w:eastAsia="Arial" w:hAnsi="Arial" w:cs="Arial"/>
          <w:b/>
          <w:color w:val="000000"/>
          <w:sz w:val="16"/>
          <w:szCs w:val="16"/>
        </w:rPr>
      </w:pPr>
      <w:r w:rsidRPr="002539C2">
        <w:rPr>
          <w:rFonts w:ascii="Arial" w:eastAsia="Arial" w:hAnsi="Arial" w:cs="Arial"/>
          <w:b/>
          <w:color w:val="000000"/>
          <w:sz w:val="16"/>
          <w:szCs w:val="16"/>
        </w:rPr>
        <w:t>Índice</w:t>
      </w:r>
    </w:p>
    <w:p w14:paraId="4008A021" w14:textId="22BC70BE" w:rsidR="00CA3CF2" w:rsidRPr="002539C2" w:rsidRDefault="00C6513E">
      <w:pPr>
        <w:tabs>
          <w:tab w:val="left" w:pos="3402"/>
        </w:tabs>
        <w:ind w:left="1488" w:right="-518"/>
        <w:rPr>
          <w:rFonts w:ascii="Arial" w:eastAsia="Arial" w:hAnsi="Arial" w:cs="Arial"/>
          <w:b/>
          <w:bCs/>
          <w:sz w:val="16"/>
          <w:szCs w:val="16"/>
        </w:rPr>
      </w:pPr>
      <w:r w:rsidRPr="002539C2">
        <w:rPr>
          <w:rFonts w:ascii="Arial" w:eastAsia="Arial" w:hAnsi="Arial" w:cs="Arial"/>
          <w:b/>
          <w:bCs/>
          <w:sz w:val="16"/>
          <w:szCs w:val="16"/>
        </w:rPr>
        <w:t>Antecedentes del caso ………………………………………………………………………</w:t>
      </w:r>
      <w:r w:rsidR="00D146D1">
        <w:rPr>
          <w:rFonts w:ascii="Arial" w:eastAsia="Arial" w:hAnsi="Arial" w:cs="Arial"/>
          <w:b/>
          <w:bCs/>
          <w:sz w:val="16"/>
          <w:szCs w:val="16"/>
        </w:rPr>
        <w:t>…</w:t>
      </w:r>
      <w:proofErr w:type="gramStart"/>
      <w:r w:rsidR="00D146D1">
        <w:rPr>
          <w:rFonts w:ascii="Arial" w:eastAsia="Arial" w:hAnsi="Arial" w:cs="Arial"/>
          <w:b/>
          <w:bCs/>
          <w:sz w:val="16"/>
          <w:szCs w:val="16"/>
        </w:rPr>
        <w:t>…….</w:t>
      </w:r>
      <w:proofErr w:type="gramEnd"/>
      <w:r w:rsidR="00D146D1">
        <w:rPr>
          <w:rFonts w:ascii="Arial" w:eastAsia="Arial" w:hAnsi="Arial" w:cs="Arial"/>
          <w:b/>
          <w:bCs/>
          <w:sz w:val="16"/>
          <w:szCs w:val="16"/>
        </w:rPr>
        <w:t>.</w:t>
      </w:r>
      <w:r w:rsidRPr="002539C2">
        <w:rPr>
          <w:rFonts w:ascii="Arial" w:eastAsia="Arial" w:hAnsi="Arial" w:cs="Arial"/>
          <w:b/>
          <w:bCs/>
          <w:sz w:val="16"/>
          <w:szCs w:val="16"/>
        </w:rPr>
        <w:t>2</w:t>
      </w:r>
    </w:p>
    <w:p w14:paraId="25F3FA71" w14:textId="626C60F2" w:rsidR="00CA3CF2" w:rsidRPr="002539C2" w:rsidRDefault="00C6513E">
      <w:pPr>
        <w:tabs>
          <w:tab w:val="left" w:pos="3402"/>
        </w:tabs>
        <w:ind w:left="1488" w:right="-518"/>
        <w:rPr>
          <w:rFonts w:ascii="Arial" w:eastAsia="Arial" w:hAnsi="Arial" w:cs="Arial"/>
          <w:b/>
          <w:bCs/>
          <w:sz w:val="16"/>
          <w:szCs w:val="16"/>
        </w:rPr>
      </w:pPr>
      <w:r w:rsidRPr="002539C2">
        <w:rPr>
          <w:rFonts w:ascii="Arial" w:eastAsia="Arial" w:hAnsi="Arial" w:cs="Arial"/>
          <w:b/>
          <w:bCs/>
          <w:sz w:val="16"/>
          <w:szCs w:val="16"/>
        </w:rPr>
        <w:t>Competencia ………………………………………………………………………………………</w:t>
      </w:r>
      <w:proofErr w:type="gramStart"/>
      <w:r w:rsidR="00D146D1">
        <w:rPr>
          <w:rFonts w:ascii="Arial" w:eastAsia="Arial" w:hAnsi="Arial" w:cs="Arial"/>
          <w:b/>
          <w:bCs/>
          <w:sz w:val="16"/>
          <w:szCs w:val="16"/>
        </w:rPr>
        <w:t>…....</w:t>
      </w:r>
      <w:proofErr w:type="gramEnd"/>
      <w:r w:rsidRPr="002539C2">
        <w:rPr>
          <w:rFonts w:ascii="Arial" w:eastAsia="Arial" w:hAnsi="Arial" w:cs="Arial"/>
          <w:b/>
          <w:bCs/>
          <w:sz w:val="16"/>
          <w:szCs w:val="16"/>
        </w:rPr>
        <w:t>2</w:t>
      </w:r>
    </w:p>
    <w:p w14:paraId="1BDB7C79" w14:textId="31DED46C" w:rsidR="00CA3CF2" w:rsidRPr="002539C2" w:rsidRDefault="00C6513E">
      <w:pPr>
        <w:tabs>
          <w:tab w:val="left" w:pos="3402"/>
        </w:tabs>
        <w:ind w:left="1488" w:right="-518"/>
        <w:rPr>
          <w:rFonts w:ascii="Arial" w:eastAsia="Arial" w:hAnsi="Arial" w:cs="Arial"/>
          <w:b/>
          <w:bCs/>
          <w:sz w:val="16"/>
          <w:szCs w:val="16"/>
        </w:rPr>
      </w:pPr>
      <w:r w:rsidRPr="002539C2">
        <w:rPr>
          <w:rFonts w:ascii="Arial" w:eastAsia="Arial" w:hAnsi="Arial" w:cs="Arial"/>
          <w:b/>
          <w:bCs/>
          <w:sz w:val="16"/>
          <w:szCs w:val="16"/>
        </w:rPr>
        <w:t>Personería …………………………………………………………………………………………</w:t>
      </w:r>
      <w:proofErr w:type="gramStart"/>
      <w:r w:rsidR="00D146D1">
        <w:rPr>
          <w:rFonts w:ascii="Arial" w:eastAsia="Arial" w:hAnsi="Arial" w:cs="Arial"/>
          <w:b/>
          <w:bCs/>
          <w:sz w:val="16"/>
          <w:szCs w:val="16"/>
        </w:rPr>
        <w:t>…..</w:t>
      </w:r>
      <w:r w:rsidR="002539C2" w:rsidRPr="002539C2">
        <w:rPr>
          <w:rFonts w:ascii="Arial" w:eastAsia="Arial" w:hAnsi="Arial" w:cs="Arial"/>
          <w:b/>
          <w:bCs/>
          <w:sz w:val="8"/>
          <w:szCs w:val="8"/>
        </w:rPr>
        <w:t>.</w:t>
      </w:r>
      <w:r w:rsidR="00D146D1">
        <w:rPr>
          <w:rFonts w:ascii="Arial" w:eastAsia="Arial" w:hAnsi="Arial" w:cs="Arial"/>
          <w:b/>
          <w:bCs/>
          <w:sz w:val="16"/>
          <w:szCs w:val="16"/>
        </w:rPr>
        <w:t>.</w:t>
      </w:r>
      <w:proofErr w:type="gramEnd"/>
      <w:r w:rsidR="00D146D1">
        <w:rPr>
          <w:rFonts w:ascii="Arial" w:eastAsia="Arial" w:hAnsi="Arial" w:cs="Arial"/>
          <w:b/>
          <w:bCs/>
          <w:sz w:val="16"/>
          <w:szCs w:val="16"/>
        </w:rPr>
        <w:t>.</w:t>
      </w:r>
      <w:r w:rsidRPr="002539C2">
        <w:rPr>
          <w:rFonts w:ascii="Arial" w:eastAsia="Arial" w:hAnsi="Arial" w:cs="Arial"/>
          <w:b/>
          <w:bCs/>
          <w:sz w:val="16"/>
          <w:szCs w:val="16"/>
        </w:rPr>
        <w:t>2</w:t>
      </w:r>
    </w:p>
    <w:p w14:paraId="4E42E301" w14:textId="72D00864" w:rsidR="00CA3CF2" w:rsidRPr="002539C2" w:rsidRDefault="00C6513E">
      <w:pPr>
        <w:tabs>
          <w:tab w:val="left" w:pos="3402"/>
        </w:tabs>
        <w:ind w:left="1488" w:right="-518"/>
        <w:rPr>
          <w:rFonts w:ascii="Arial" w:eastAsia="Arial" w:hAnsi="Arial" w:cs="Arial"/>
          <w:b/>
          <w:bCs/>
          <w:sz w:val="16"/>
          <w:szCs w:val="16"/>
        </w:rPr>
      </w:pPr>
      <w:r w:rsidRPr="002539C2">
        <w:rPr>
          <w:rFonts w:ascii="Arial" w:eastAsia="Arial" w:hAnsi="Arial" w:cs="Arial"/>
          <w:b/>
          <w:bCs/>
          <w:sz w:val="16"/>
          <w:szCs w:val="16"/>
        </w:rPr>
        <w:t>Estudio de fondo……………………………………………………………………………</w:t>
      </w:r>
      <w:proofErr w:type="gramStart"/>
      <w:r w:rsidRPr="002539C2">
        <w:rPr>
          <w:rFonts w:ascii="Arial" w:eastAsia="Arial" w:hAnsi="Arial" w:cs="Arial"/>
          <w:b/>
          <w:bCs/>
          <w:sz w:val="16"/>
          <w:szCs w:val="16"/>
        </w:rPr>
        <w:t>…....</w:t>
      </w:r>
      <w:proofErr w:type="gramEnd"/>
      <w:r w:rsidR="00D146D1">
        <w:rPr>
          <w:rFonts w:ascii="Arial" w:eastAsia="Arial" w:hAnsi="Arial" w:cs="Arial"/>
          <w:b/>
          <w:bCs/>
          <w:sz w:val="16"/>
          <w:szCs w:val="16"/>
        </w:rPr>
        <w:t>…....</w:t>
      </w:r>
      <w:r w:rsidRPr="002539C2">
        <w:rPr>
          <w:rFonts w:ascii="Arial" w:eastAsia="Arial" w:hAnsi="Arial" w:cs="Arial"/>
          <w:b/>
          <w:bCs/>
          <w:sz w:val="16"/>
          <w:szCs w:val="16"/>
        </w:rPr>
        <w:t>.3</w:t>
      </w:r>
    </w:p>
    <w:p w14:paraId="770B8E47" w14:textId="4C8802E2" w:rsidR="00CA3CF2" w:rsidRPr="002539C2" w:rsidRDefault="00C6513E">
      <w:pPr>
        <w:tabs>
          <w:tab w:val="left" w:pos="3402"/>
        </w:tabs>
        <w:ind w:left="1488" w:right="-518"/>
        <w:rPr>
          <w:rFonts w:ascii="Arial" w:eastAsia="Arial" w:hAnsi="Arial" w:cs="Arial"/>
          <w:b/>
          <w:bCs/>
          <w:sz w:val="16"/>
          <w:szCs w:val="16"/>
        </w:rPr>
      </w:pPr>
      <w:r w:rsidRPr="002539C2">
        <w:rPr>
          <w:rFonts w:ascii="Arial" w:eastAsia="Arial" w:hAnsi="Arial" w:cs="Arial"/>
          <w:b/>
          <w:bCs/>
          <w:sz w:val="16"/>
          <w:szCs w:val="16"/>
        </w:rPr>
        <w:t>Análisis de fondo …………………………………………………………………………………</w:t>
      </w:r>
      <w:proofErr w:type="gramStart"/>
      <w:r w:rsidR="00D146D1">
        <w:rPr>
          <w:rFonts w:ascii="Arial" w:eastAsia="Arial" w:hAnsi="Arial" w:cs="Arial"/>
          <w:b/>
          <w:bCs/>
          <w:sz w:val="16"/>
          <w:szCs w:val="16"/>
        </w:rPr>
        <w:t>…....</w:t>
      </w:r>
      <w:proofErr w:type="gramEnd"/>
      <w:r w:rsidRPr="002539C2">
        <w:rPr>
          <w:rFonts w:ascii="Arial" w:eastAsia="Arial" w:hAnsi="Arial" w:cs="Arial"/>
          <w:b/>
          <w:bCs/>
          <w:sz w:val="16"/>
          <w:szCs w:val="16"/>
        </w:rPr>
        <w:t>5</w:t>
      </w:r>
    </w:p>
    <w:p w14:paraId="6559EF2D" w14:textId="691296A9" w:rsidR="00CA3CF2" w:rsidRDefault="00C6513E">
      <w:pPr>
        <w:tabs>
          <w:tab w:val="left" w:pos="3402"/>
          <w:tab w:val="right" w:pos="8263"/>
        </w:tabs>
        <w:ind w:left="1488" w:right="-518"/>
        <w:rPr>
          <w:rFonts w:ascii="Arial" w:eastAsia="Arial" w:hAnsi="Arial" w:cs="Arial"/>
          <w:b/>
          <w:bCs/>
          <w:sz w:val="16"/>
          <w:szCs w:val="16"/>
        </w:rPr>
      </w:pPr>
      <w:r w:rsidRPr="002539C2">
        <w:rPr>
          <w:rFonts w:ascii="Arial" w:eastAsia="Arial" w:hAnsi="Arial" w:cs="Arial"/>
          <w:b/>
          <w:bCs/>
          <w:sz w:val="16"/>
          <w:szCs w:val="16"/>
        </w:rPr>
        <w:t>Resolutivo ………………………………………………………………………………………...</w:t>
      </w:r>
      <w:proofErr w:type="gramStart"/>
      <w:r w:rsidR="00D146D1">
        <w:rPr>
          <w:rFonts w:ascii="Arial" w:eastAsia="Arial" w:hAnsi="Arial" w:cs="Arial"/>
          <w:b/>
          <w:bCs/>
          <w:sz w:val="16"/>
          <w:szCs w:val="16"/>
        </w:rPr>
        <w:t>…....</w:t>
      </w:r>
      <w:proofErr w:type="gramEnd"/>
      <w:r w:rsidRPr="002539C2">
        <w:rPr>
          <w:rFonts w:ascii="Arial" w:eastAsia="Arial" w:hAnsi="Arial" w:cs="Arial"/>
          <w:b/>
          <w:bCs/>
          <w:sz w:val="16"/>
          <w:szCs w:val="16"/>
        </w:rPr>
        <w:t>16</w:t>
      </w:r>
    </w:p>
    <w:p w14:paraId="092AB966" w14:textId="47173607" w:rsidR="00D146D1" w:rsidRDefault="00D146D1">
      <w:pPr>
        <w:tabs>
          <w:tab w:val="left" w:pos="3402"/>
          <w:tab w:val="right" w:pos="8263"/>
        </w:tabs>
        <w:ind w:left="1488" w:right="-518"/>
        <w:rPr>
          <w:rFonts w:ascii="Arial" w:eastAsia="Arial" w:hAnsi="Arial" w:cs="Arial"/>
          <w:b/>
          <w:bCs/>
          <w:sz w:val="16"/>
          <w:szCs w:val="16"/>
        </w:rPr>
      </w:pPr>
    </w:p>
    <w:p w14:paraId="60807851" w14:textId="4C73CABF" w:rsidR="00D146D1" w:rsidRPr="002539C2" w:rsidRDefault="00D146D1" w:rsidP="00D146D1">
      <w:pPr>
        <w:tabs>
          <w:tab w:val="left" w:pos="3402"/>
          <w:tab w:val="left" w:pos="5387"/>
          <w:tab w:val="right" w:pos="8263"/>
        </w:tabs>
        <w:ind w:left="1488" w:right="-518"/>
        <w:rPr>
          <w:rFonts w:ascii="Arial" w:eastAsia="Arial" w:hAnsi="Arial" w:cs="Arial"/>
          <w:b/>
          <w:bCs/>
          <w:sz w:val="16"/>
          <w:szCs w:val="16"/>
        </w:rPr>
      </w:pPr>
      <w:r>
        <w:rPr>
          <w:rFonts w:ascii="Arial" w:eastAsia="Arial" w:hAnsi="Arial" w:cs="Arial"/>
          <w:b/>
          <w:bCs/>
          <w:sz w:val="16"/>
          <w:szCs w:val="16"/>
        </w:rPr>
        <w:tab/>
        <w:t xml:space="preserve">                      Glosario</w:t>
      </w:r>
    </w:p>
    <w:tbl>
      <w:tblPr>
        <w:tblStyle w:val="a7"/>
        <w:tblpPr w:leftFromText="141" w:rightFromText="141" w:vertAnchor="text" w:horzAnchor="margin" w:tblpXSpec="center" w:tblpY="158"/>
        <w:tblW w:w="7092" w:type="dxa"/>
        <w:tblInd w:w="0" w:type="dxa"/>
        <w:tblLayout w:type="fixed"/>
        <w:tblLook w:val="0400" w:firstRow="0" w:lastRow="0" w:firstColumn="0" w:lastColumn="0" w:noHBand="0" w:noVBand="1"/>
      </w:tblPr>
      <w:tblGrid>
        <w:gridCol w:w="1702"/>
        <w:gridCol w:w="5390"/>
      </w:tblGrid>
      <w:tr w:rsidR="00D146D1" w:rsidRPr="002539C2" w14:paraId="2A812540" w14:textId="77777777" w:rsidTr="00D146D1">
        <w:trPr>
          <w:trHeight w:val="431"/>
        </w:trPr>
        <w:tc>
          <w:tcPr>
            <w:tcW w:w="1702" w:type="dxa"/>
          </w:tcPr>
          <w:p w14:paraId="55C95A31" w14:textId="77777777" w:rsidR="002539C2" w:rsidRPr="002539C2" w:rsidRDefault="002539C2" w:rsidP="002539C2">
            <w:pPr>
              <w:tabs>
                <w:tab w:val="left" w:pos="4320"/>
              </w:tabs>
              <w:spacing w:line="276" w:lineRule="auto"/>
              <w:ind w:left="-254" w:firstLine="254"/>
              <w:jc w:val="both"/>
              <w:rPr>
                <w:rFonts w:ascii="Arial" w:eastAsia="Arial" w:hAnsi="Arial" w:cs="Arial"/>
                <w:b/>
                <w:sz w:val="16"/>
                <w:szCs w:val="16"/>
              </w:rPr>
            </w:pPr>
            <w:r w:rsidRPr="002539C2">
              <w:rPr>
                <w:rFonts w:ascii="Arial" w:eastAsia="Arial" w:hAnsi="Arial" w:cs="Arial"/>
                <w:b/>
                <w:sz w:val="16"/>
                <w:szCs w:val="16"/>
              </w:rPr>
              <w:t>Denunciante:</w:t>
            </w:r>
          </w:p>
          <w:p w14:paraId="2895F4CD" w14:textId="77777777" w:rsidR="002539C2" w:rsidRPr="002539C2" w:rsidRDefault="002539C2" w:rsidP="002539C2">
            <w:pPr>
              <w:tabs>
                <w:tab w:val="left" w:pos="4320"/>
              </w:tabs>
              <w:spacing w:line="276" w:lineRule="auto"/>
              <w:jc w:val="both"/>
              <w:rPr>
                <w:rFonts w:ascii="Arial" w:eastAsia="Arial" w:hAnsi="Arial" w:cs="Arial"/>
                <w:b/>
                <w:sz w:val="16"/>
                <w:szCs w:val="16"/>
              </w:rPr>
            </w:pPr>
            <w:r w:rsidRPr="002539C2">
              <w:rPr>
                <w:rFonts w:ascii="Arial" w:eastAsia="Arial" w:hAnsi="Arial" w:cs="Arial"/>
                <w:b/>
                <w:sz w:val="16"/>
                <w:szCs w:val="16"/>
              </w:rPr>
              <w:t xml:space="preserve">Denunciados: </w:t>
            </w:r>
          </w:p>
          <w:p w14:paraId="1BDD1EA3" w14:textId="6D43FF84" w:rsidR="002539C2" w:rsidRDefault="002539C2" w:rsidP="002539C2">
            <w:pPr>
              <w:tabs>
                <w:tab w:val="left" w:pos="4320"/>
              </w:tabs>
              <w:spacing w:line="276" w:lineRule="auto"/>
              <w:jc w:val="both"/>
              <w:rPr>
                <w:rFonts w:ascii="Arial" w:eastAsia="Arial" w:hAnsi="Arial" w:cs="Arial"/>
                <w:b/>
                <w:sz w:val="16"/>
                <w:szCs w:val="16"/>
              </w:rPr>
            </w:pPr>
          </w:p>
          <w:p w14:paraId="25AACB17" w14:textId="77777777" w:rsidR="002539C2" w:rsidRPr="002539C2" w:rsidRDefault="002539C2" w:rsidP="002539C2">
            <w:pPr>
              <w:tabs>
                <w:tab w:val="left" w:pos="4320"/>
              </w:tabs>
              <w:spacing w:line="276" w:lineRule="auto"/>
              <w:jc w:val="both"/>
              <w:rPr>
                <w:rFonts w:ascii="Arial" w:eastAsia="Arial" w:hAnsi="Arial" w:cs="Arial"/>
                <w:b/>
                <w:sz w:val="16"/>
                <w:szCs w:val="16"/>
              </w:rPr>
            </w:pPr>
          </w:p>
        </w:tc>
        <w:tc>
          <w:tcPr>
            <w:tcW w:w="5390" w:type="dxa"/>
          </w:tcPr>
          <w:p w14:paraId="243DFD69" w14:textId="77777777" w:rsidR="002539C2" w:rsidRPr="002539C2" w:rsidRDefault="002539C2" w:rsidP="002539C2">
            <w:pPr>
              <w:tabs>
                <w:tab w:val="left" w:pos="4320"/>
              </w:tabs>
              <w:spacing w:line="276" w:lineRule="auto"/>
              <w:ind w:right="-95"/>
              <w:jc w:val="both"/>
              <w:rPr>
                <w:rFonts w:ascii="Arial" w:eastAsia="Arial" w:hAnsi="Arial" w:cs="Arial"/>
                <w:sz w:val="16"/>
                <w:szCs w:val="16"/>
              </w:rPr>
            </w:pPr>
            <w:r w:rsidRPr="002539C2">
              <w:rPr>
                <w:rFonts w:ascii="Arial" w:eastAsia="Arial" w:hAnsi="Arial" w:cs="Arial"/>
                <w:sz w:val="16"/>
                <w:szCs w:val="16"/>
              </w:rPr>
              <w:t>Partido Acción Nacional.</w:t>
            </w:r>
          </w:p>
          <w:p w14:paraId="792F66A1" w14:textId="09611A8B" w:rsidR="00D146D1" w:rsidRPr="002539C2" w:rsidRDefault="002539C2" w:rsidP="002539C2">
            <w:pPr>
              <w:tabs>
                <w:tab w:val="left" w:pos="4320"/>
              </w:tabs>
              <w:spacing w:line="276" w:lineRule="auto"/>
              <w:ind w:right="-95"/>
              <w:jc w:val="both"/>
              <w:rPr>
                <w:rFonts w:ascii="Arial" w:eastAsia="Arial" w:hAnsi="Arial" w:cs="Arial"/>
                <w:sz w:val="16"/>
                <w:szCs w:val="16"/>
              </w:rPr>
            </w:pPr>
            <w:r w:rsidRPr="002539C2">
              <w:rPr>
                <w:rFonts w:ascii="Arial" w:eastAsia="Arial" w:hAnsi="Arial" w:cs="Arial"/>
                <w:sz w:val="16"/>
                <w:szCs w:val="16"/>
              </w:rPr>
              <w:t xml:space="preserve">Anayeli Muñoz Moreno, entonces candidata de Movimiento Ciudadano a la gubernatura del estado, el propio instituto político, así como María </w:t>
            </w:r>
            <w:r w:rsidRPr="002539C2">
              <w:rPr>
                <w:rFonts w:ascii="Arial" w:eastAsia="Arial" w:hAnsi="Arial" w:cs="Arial"/>
                <w:sz w:val="16"/>
                <w:szCs w:val="16"/>
              </w:rPr>
              <w:lastRenderedPageBreak/>
              <w:t xml:space="preserve">Guadalupe Arellano Espinosa, Gustavo Adolfo Granados Corzo y </w:t>
            </w:r>
            <w:proofErr w:type="spellStart"/>
            <w:r w:rsidRPr="002539C2">
              <w:rPr>
                <w:rFonts w:ascii="Arial" w:eastAsia="Arial" w:hAnsi="Arial" w:cs="Arial"/>
                <w:sz w:val="16"/>
                <w:szCs w:val="16"/>
              </w:rPr>
              <w:t>Yolytzín</w:t>
            </w:r>
            <w:proofErr w:type="spellEnd"/>
            <w:r w:rsidRPr="002539C2">
              <w:rPr>
                <w:rFonts w:ascii="Arial" w:eastAsia="Arial" w:hAnsi="Arial" w:cs="Arial"/>
                <w:sz w:val="16"/>
                <w:szCs w:val="16"/>
              </w:rPr>
              <w:t xml:space="preserve"> Alelí Rodríguez </w:t>
            </w:r>
            <w:proofErr w:type="spellStart"/>
            <w:r w:rsidRPr="002539C2">
              <w:rPr>
                <w:rFonts w:ascii="Arial" w:eastAsia="Arial" w:hAnsi="Arial" w:cs="Arial"/>
                <w:sz w:val="16"/>
                <w:szCs w:val="16"/>
              </w:rPr>
              <w:t>Sendejas</w:t>
            </w:r>
            <w:proofErr w:type="spellEnd"/>
            <w:r w:rsidRPr="002539C2">
              <w:rPr>
                <w:rFonts w:ascii="Arial" w:eastAsia="Arial" w:hAnsi="Arial" w:cs="Arial"/>
                <w:sz w:val="16"/>
                <w:szCs w:val="16"/>
              </w:rPr>
              <w:t>.</w:t>
            </w:r>
          </w:p>
        </w:tc>
      </w:tr>
      <w:tr w:rsidR="002539C2" w:rsidRPr="002539C2" w14:paraId="26D81407" w14:textId="77777777" w:rsidTr="00D146D1">
        <w:trPr>
          <w:trHeight w:val="129"/>
        </w:trPr>
        <w:tc>
          <w:tcPr>
            <w:tcW w:w="1701" w:type="dxa"/>
          </w:tcPr>
          <w:p w14:paraId="377EDE58" w14:textId="77777777" w:rsidR="002539C2" w:rsidRPr="002539C2" w:rsidRDefault="002539C2" w:rsidP="002539C2">
            <w:pPr>
              <w:tabs>
                <w:tab w:val="left" w:pos="4320"/>
              </w:tabs>
              <w:spacing w:line="276" w:lineRule="auto"/>
              <w:jc w:val="both"/>
              <w:rPr>
                <w:rFonts w:ascii="Arial" w:eastAsia="Arial" w:hAnsi="Arial" w:cs="Arial"/>
                <w:b/>
                <w:sz w:val="16"/>
                <w:szCs w:val="16"/>
              </w:rPr>
            </w:pPr>
            <w:r w:rsidRPr="002539C2">
              <w:rPr>
                <w:rFonts w:ascii="Arial" w:eastAsia="Arial" w:hAnsi="Arial" w:cs="Arial"/>
                <w:b/>
                <w:sz w:val="16"/>
                <w:szCs w:val="16"/>
              </w:rPr>
              <w:lastRenderedPageBreak/>
              <w:t>Código Electoral:</w:t>
            </w:r>
          </w:p>
          <w:p w14:paraId="1924A47F" w14:textId="77777777" w:rsidR="002539C2" w:rsidRPr="002539C2" w:rsidRDefault="002539C2" w:rsidP="002539C2">
            <w:pPr>
              <w:tabs>
                <w:tab w:val="left" w:pos="4320"/>
              </w:tabs>
              <w:spacing w:line="276" w:lineRule="auto"/>
              <w:jc w:val="both"/>
              <w:rPr>
                <w:rFonts w:ascii="Arial" w:eastAsia="Arial" w:hAnsi="Arial" w:cs="Arial"/>
                <w:b/>
                <w:sz w:val="16"/>
                <w:szCs w:val="16"/>
              </w:rPr>
            </w:pPr>
            <w:r w:rsidRPr="002539C2">
              <w:rPr>
                <w:rFonts w:ascii="Arial" w:eastAsia="Arial" w:hAnsi="Arial" w:cs="Arial"/>
                <w:b/>
                <w:sz w:val="16"/>
                <w:szCs w:val="16"/>
              </w:rPr>
              <w:t>Congreso Local:</w:t>
            </w:r>
          </w:p>
        </w:tc>
        <w:tc>
          <w:tcPr>
            <w:tcW w:w="5391" w:type="dxa"/>
          </w:tcPr>
          <w:p w14:paraId="2DC75D67" w14:textId="77777777" w:rsidR="002539C2" w:rsidRPr="002539C2" w:rsidRDefault="002539C2" w:rsidP="002539C2">
            <w:pPr>
              <w:tabs>
                <w:tab w:val="left" w:pos="4320"/>
              </w:tabs>
              <w:spacing w:line="276" w:lineRule="auto"/>
              <w:ind w:right="-95"/>
              <w:jc w:val="both"/>
              <w:rPr>
                <w:rFonts w:ascii="Arial" w:eastAsia="Arial" w:hAnsi="Arial" w:cs="Arial"/>
                <w:sz w:val="16"/>
                <w:szCs w:val="16"/>
              </w:rPr>
            </w:pPr>
            <w:r w:rsidRPr="002539C2">
              <w:rPr>
                <w:rFonts w:ascii="Arial" w:eastAsia="Arial" w:hAnsi="Arial" w:cs="Arial"/>
                <w:sz w:val="16"/>
                <w:szCs w:val="16"/>
              </w:rPr>
              <w:t xml:space="preserve">Código Electoral del Estado de Aguascalientes Consejo. </w:t>
            </w:r>
          </w:p>
          <w:p w14:paraId="5456F3E9" w14:textId="77777777" w:rsidR="002539C2" w:rsidRPr="002539C2" w:rsidRDefault="002539C2" w:rsidP="002539C2">
            <w:pPr>
              <w:rPr>
                <w:rFonts w:ascii="Arial" w:eastAsia="Arial" w:hAnsi="Arial" w:cs="Arial"/>
                <w:sz w:val="16"/>
                <w:szCs w:val="16"/>
              </w:rPr>
            </w:pPr>
            <w:r w:rsidRPr="002539C2">
              <w:rPr>
                <w:rFonts w:ascii="Arial" w:eastAsia="Arial" w:hAnsi="Arial" w:cs="Arial"/>
                <w:sz w:val="16"/>
                <w:szCs w:val="16"/>
              </w:rPr>
              <w:t xml:space="preserve">Congreso del Estado de Aguascalientes. </w:t>
            </w:r>
          </w:p>
        </w:tc>
      </w:tr>
      <w:tr w:rsidR="002539C2" w:rsidRPr="002539C2" w14:paraId="208E0C24" w14:textId="77777777" w:rsidTr="00D146D1">
        <w:trPr>
          <w:trHeight w:val="184"/>
        </w:trPr>
        <w:tc>
          <w:tcPr>
            <w:tcW w:w="1701" w:type="dxa"/>
          </w:tcPr>
          <w:p w14:paraId="4A8516FA" w14:textId="77777777" w:rsidR="002539C2" w:rsidRPr="002539C2" w:rsidRDefault="002539C2" w:rsidP="002539C2">
            <w:pPr>
              <w:tabs>
                <w:tab w:val="left" w:pos="4320"/>
              </w:tabs>
              <w:spacing w:line="276" w:lineRule="auto"/>
              <w:jc w:val="both"/>
              <w:rPr>
                <w:rFonts w:ascii="Arial" w:eastAsia="Arial" w:hAnsi="Arial" w:cs="Arial"/>
                <w:b/>
                <w:sz w:val="16"/>
                <w:szCs w:val="16"/>
              </w:rPr>
            </w:pPr>
            <w:r w:rsidRPr="002539C2">
              <w:rPr>
                <w:rFonts w:ascii="Arial" w:eastAsia="Arial" w:hAnsi="Arial" w:cs="Arial"/>
                <w:b/>
                <w:sz w:val="16"/>
                <w:szCs w:val="16"/>
              </w:rPr>
              <w:t>Consejo General:</w:t>
            </w:r>
          </w:p>
        </w:tc>
        <w:tc>
          <w:tcPr>
            <w:tcW w:w="5391" w:type="dxa"/>
          </w:tcPr>
          <w:p w14:paraId="6ECF44C4" w14:textId="77777777" w:rsidR="002539C2" w:rsidRPr="002539C2" w:rsidRDefault="002539C2" w:rsidP="002539C2">
            <w:pPr>
              <w:tabs>
                <w:tab w:val="left" w:pos="4320"/>
              </w:tabs>
              <w:spacing w:line="276" w:lineRule="auto"/>
              <w:ind w:right="-95"/>
              <w:jc w:val="both"/>
              <w:rPr>
                <w:rFonts w:ascii="Arial" w:eastAsia="Arial" w:hAnsi="Arial" w:cs="Arial"/>
                <w:sz w:val="16"/>
                <w:szCs w:val="16"/>
              </w:rPr>
            </w:pPr>
            <w:r w:rsidRPr="002539C2">
              <w:rPr>
                <w:rFonts w:ascii="Arial" w:eastAsia="Arial" w:hAnsi="Arial" w:cs="Arial"/>
                <w:sz w:val="16"/>
                <w:szCs w:val="16"/>
              </w:rPr>
              <w:t>General del Instituto Estatal Electoral.</w:t>
            </w:r>
          </w:p>
        </w:tc>
      </w:tr>
      <w:tr w:rsidR="002539C2" w:rsidRPr="002539C2" w14:paraId="0E56A11A" w14:textId="77777777" w:rsidTr="00D146D1">
        <w:trPr>
          <w:trHeight w:val="184"/>
        </w:trPr>
        <w:tc>
          <w:tcPr>
            <w:tcW w:w="1701" w:type="dxa"/>
          </w:tcPr>
          <w:p w14:paraId="04747B27" w14:textId="77777777" w:rsidR="002539C2" w:rsidRPr="002539C2" w:rsidRDefault="002539C2" w:rsidP="002539C2">
            <w:pPr>
              <w:spacing w:line="276" w:lineRule="auto"/>
              <w:jc w:val="both"/>
              <w:rPr>
                <w:rFonts w:ascii="Arial" w:eastAsia="Arial" w:hAnsi="Arial" w:cs="Arial"/>
                <w:b/>
                <w:sz w:val="16"/>
                <w:szCs w:val="16"/>
              </w:rPr>
            </w:pPr>
            <w:r w:rsidRPr="002539C2">
              <w:rPr>
                <w:rFonts w:ascii="Arial" w:eastAsia="Arial" w:hAnsi="Arial" w:cs="Arial"/>
                <w:b/>
                <w:sz w:val="16"/>
                <w:szCs w:val="16"/>
              </w:rPr>
              <w:t>Instituto local:</w:t>
            </w:r>
          </w:p>
          <w:p w14:paraId="03A531E2" w14:textId="77777777" w:rsidR="002539C2" w:rsidRPr="002539C2" w:rsidRDefault="002539C2" w:rsidP="002539C2">
            <w:pPr>
              <w:spacing w:line="276" w:lineRule="auto"/>
              <w:jc w:val="both"/>
              <w:rPr>
                <w:rFonts w:ascii="Arial" w:eastAsia="Arial" w:hAnsi="Arial" w:cs="Arial"/>
                <w:b/>
                <w:sz w:val="16"/>
                <w:szCs w:val="16"/>
              </w:rPr>
            </w:pPr>
            <w:r w:rsidRPr="002539C2">
              <w:rPr>
                <w:rFonts w:ascii="Arial" w:eastAsia="Arial" w:hAnsi="Arial" w:cs="Arial"/>
                <w:b/>
                <w:sz w:val="16"/>
                <w:szCs w:val="16"/>
              </w:rPr>
              <w:t>LEGIPE:</w:t>
            </w:r>
          </w:p>
        </w:tc>
        <w:tc>
          <w:tcPr>
            <w:tcW w:w="5391" w:type="dxa"/>
          </w:tcPr>
          <w:p w14:paraId="73774CBE" w14:textId="77777777" w:rsidR="002539C2" w:rsidRPr="002539C2" w:rsidRDefault="002539C2" w:rsidP="002539C2">
            <w:pPr>
              <w:spacing w:line="276" w:lineRule="auto"/>
              <w:ind w:right="-95"/>
              <w:jc w:val="both"/>
              <w:rPr>
                <w:rFonts w:ascii="Arial" w:eastAsia="Arial" w:hAnsi="Arial" w:cs="Arial"/>
                <w:sz w:val="16"/>
                <w:szCs w:val="16"/>
              </w:rPr>
            </w:pPr>
            <w:r w:rsidRPr="002539C2">
              <w:rPr>
                <w:rFonts w:ascii="Arial" w:eastAsia="Arial" w:hAnsi="Arial" w:cs="Arial"/>
                <w:sz w:val="16"/>
                <w:szCs w:val="16"/>
              </w:rPr>
              <w:t>Instituto Estatal Electoral de Aguascalientes.</w:t>
            </w:r>
          </w:p>
          <w:p w14:paraId="42C80438" w14:textId="77777777" w:rsidR="002539C2" w:rsidRPr="002539C2" w:rsidRDefault="002539C2" w:rsidP="002539C2">
            <w:pPr>
              <w:spacing w:line="276" w:lineRule="auto"/>
              <w:ind w:right="-95"/>
              <w:jc w:val="both"/>
              <w:rPr>
                <w:rFonts w:ascii="Arial" w:eastAsia="Arial" w:hAnsi="Arial" w:cs="Arial"/>
                <w:sz w:val="16"/>
                <w:szCs w:val="16"/>
              </w:rPr>
            </w:pPr>
            <w:r w:rsidRPr="002539C2">
              <w:rPr>
                <w:rFonts w:ascii="Arial" w:eastAsia="Arial" w:hAnsi="Arial" w:cs="Arial"/>
                <w:sz w:val="16"/>
                <w:szCs w:val="16"/>
              </w:rPr>
              <w:t>Ley General de Instituciones y Procedimientos Electorales.</w:t>
            </w:r>
          </w:p>
        </w:tc>
      </w:tr>
      <w:tr w:rsidR="002539C2" w14:paraId="5E57D7EC" w14:textId="77777777" w:rsidTr="00D146D1">
        <w:trPr>
          <w:trHeight w:val="184"/>
        </w:trPr>
        <w:tc>
          <w:tcPr>
            <w:tcW w:w="1701" w:type="dxa"/>
          </w:tcPr>
          <w:p w14:paraId="2C6F243C" w14:textId="77777777" w:rsidR="002539C2" w:rsidRPr="002539C2" w:rsidRDefault="002539C2" w:rsidP="002539C2">
            <w:pPr>
              <w:tabs>
                <w:tab w:val="left" w:pos="4320"/>
              </w:tabs>
              <w:spacing w:line="276" w:lineRule="auto"/>
              <w:jc w:val="both"/>
              <w:rPr>
                <w:rFonts w:ascii="Arial" w:eastAsia="Arial" w:hAnsi="Arial" w:cs="Arial"/>
                <w:b/>
                <w:sz w:val="16"/>
                <w:szCs w:val="16"/>
              </w:rPr>
            </w:pPr>
            <w:r w:rsidRPr="002539C2">
              <w:rPr>
                <w:rFonts w:ascii="Arial" w:eastAsia="Arial" w:hAnsi="Arial" w:cs="Arial"/>
                <w:b/>
                <w:sz w:val="16"/>
                <w:szCs w:val="16"/>
              </w:rPr>
              <w:t>PAN:</w:t>
            </w:r>
          </w:p>
          <w:p w14:paraId="3ECDD7B5" w14:textId="77777777" w:rsidR="002539C2" w:rsidRPr="002539C2" w:rsidRDefault="002539C2" w:rsidP="002539C2">
            <w:pPr>
              <w:spacing w:line="276" w:lineRule="auto"/>
              <w:jc w:val="both"/>
              <w:rPr>
                <w:rFonts w:ascii="Arial" w:eastAsia="Arial" w:hAnsi="Arial" w:cs="Arial"/>
                <w:b/>
                <w:sz w:val="16"/>
                <w:szCs w:val="16"/>
              </w:rPr>
            </w:pPr>
          </w:p>
        </w:tc>
        <w:tc>
          <w:tcPr>
            <w:tcW w:w="5391" w:type="dxa"/>
          </w:tcPr>
          <w:p w14:paraId="79D90049" w14:textId="77777777" w:rsidR="002539C2" w:rsidRDefault="002539C2" w:rsidP="002539C2">
            <w:pPr>
              <w:tabs>
                <w:tab w:val="left" w:pos="4320"/>
              </w:tabs>
              <w:spacing w:line="276" w:lineRule="auto"/>
              <w:ind w:right="-95"/>
              <w:jc w:val="both"/>
              <w:rPr>
                <w:rFonts w:ascii="Arial" w:eastAsia="Arial" w:hAnsi="Arial" w:cs="Arial"/>
                <w:sz w:val="16"/>
                <w:szCs w:val="16"/>
              </w:rPr>
            </w:pPr>
            <w:r w:rsidRPr="002539C2">
              <w:rPr>
                <w:rFonts w:ascii="Arial" w:eastAsia="Arial" w:hAnsi="Arial" w:cs="Arial"/>
                <w:sz w:val="16"/>
                <w:szCs w:val="16"/>
              </w:rPr>
              <w:t>Partido Acción Nacional.</w:t>
            </w:r>
          </w:p>
          <w:p w14:paraId="14ECDFF1" w14:textId="77777777" w:rsidR="002539C2" w:rsidRDefault="002539C2" w:rsidP="002539C2">
            <w:pPr>
              <w:spacing w:line="276" w:lineRule="auto"/>
              <w:ind w:right="-95"/>
              <w:jc w:val="both"/>
              <w:rPr>
                <w:rFonts w:ascii="Arial" w:eastAsia="Arial" w:hAnsi="Arial" w:cs="Arial"/>
                <w:sz w:val="16"/>
                <w:szCs w:val="16"/>
              </w:rPr>
            </w:pPr>
          </w:p>
        </w:tc>
      </w:tr>
    </w:tbl>
    <w:p w14:paraId="46396DCF" w14:textId="1135EE7C" w:rsidR="00CA3CF2" w:rsidRPr="002539C2" w:rsidRDefault="00C6513E">
      <w:pPr>
        <w:tabs>
          <w:tab w:val="left" w:pos="4320"/>
        </w:tabs>
        <w:spacing w:line="360" w:lineRule="auto"/>
        <w:ind w:right="2324"/>
        <w:rPr>
          <w:rFonts w:ascii="Arial" w:eastAsia="Arial" w:hAnsi="Arial" w:cs="Arial"/>
          <w:b/>
          <w:sz w:val="16"/>
          <w:szCs w:val="16"/>
        </w:rPr>
      </w:pPr>
      <w:r w:rsidRPr="002539C2">
        <w:rPr>
          <w:rFonts w:ascii="Arial" w:eastAsia="Arial" w:hAnsi="Arial" w:cs="Arial"/>
          <w:b/>
          <w:sz w:val="16"/>
          <w:szCs w:val="16"/>
        </w:rPr>
        <w:t xml:space="preserve">                                                                                                   </w:t>
      </w:r>
    </w:p>
    <w:p w14:paraId="43D397F8" w14:textId="77777777" w:rsidR="00CA3CF2" w:rsidRDefault="00CA3CF2">
      <w:pPr>
        <w:pBdr>
          <w:top w:val="nil"/>
          <w:left w:val="nil"/>
          <w:bottom w:val="nil"/>
          <w:right w:val="nil"/>
          <w:between w:val="nil"/>
        </w:pBdr>
        <w:rPr>
          <w:color w:val="000000"/>
        </w:rPr>
      </w:pPr>
    </w:p>
    <w:p w14:paraId="2779EE98" w14:textId="77777777" w:rsidR="00CA3CF2" w:rsidRDefault="00C6513E">
      <w:pPr>
        <w:numPr>
          <w:ilvl w:val="0"/>
          <w:numId w:val="1"/>
        </w:numPr>
        <w:pBdr>
          <w:top w:val="nil"/>
          <w:left w:val="nil"/>
          <w:bottom w:val="nil"/>
          <w:right w:val="nil"/>
          <w:between w:val="nil"/>
        </w:pBdr>
        <w:tabs>
          <w:tab w:val="left" w:pos="284"/>
        </w:tabs>
        <w:spacing w:line="360" w:lineRule="auto"/>
        <w:ind w:left="425" w:right="36" w:hanging="425"/>
        <w:jc w:val="both"/>
        <w:rPr>
          <w:rFonts w:ascii="Arial" w:eastAsia="Arial" w:hAnsi="Arial" w:cs="Arial"/>
          <w:color w:val="000000"/>
          <w:sz w:val="24"/>
          <w:szCs w:val="24"/>
        </w:rPr>
      </w:pPr>
      <w:r>
        <w:rPr>
          <w:rFonts w:ascii="Arial" w:eastAsia="Arial" w:hAnsi="Arial" w:cs="Arial"/>
          <w:b/>
          <w:color w:val="000000"/>
          <w:sz w:val="24"/>
          <w:szCs w:val="24"/>
        </w:rPr>
        <w:t>Contexto del caso</w:t>
      </w:r>
      <w:r>
        <w:rPr>
          <w:rFonts w:ascii="Arial" w:eastAsia="Arial" w:hAnsi="Arial" w:cs="Arial"/>
          <w:b/>
          <w:color w:val="000000"/>
          <w:sz w:val="24"/>
          <w:szCs w:val="24"/>
          <w:vertAlign w:val="superscript"/>
        </w:rPr>
        <w:footnoteReference w:id="2"/>
      </w:r>
    </w:p>
    <w:p w14:paraId="0BC30D78" w14:textId="77777777" w:rsidR="00CA3CF2" w:rsidRDefault="00CA3CF2">
      <w:pPr>
        <w:pBdr>
          <w:top w:val="nil"/>
          <w:left w:val="nil"/>
          <w:bottom w:val="nil"/>
          <w:right w:val="nil"/>
          <w:between w:val="nil"/>
        </w:pBdr>
        <w:rPr>
          <w:color w:val="000000"/>
        </w:rPr>
      </w:pPr>
    </w:p>
    <w:p w14:paraId="54E87CAC" w14:textId="77777777" w:rsidR="00CA3CF2" w:rsidRDefault="00C6513E">
      <w:pPr>
        <w:tabs>
          <w:tab w:val="left" w:pos="284"/>
        </w:tabs>
        <w:spacing w:line="360" w:lineRule="auto"/>
        <w:jc w:val="both"/>
        <w:rPr>
          <w:rFonts w:ascii="Arial" w:eastAsia="Arial" w:hAnsi="Arial" w:cs="Arial"/>
          <w:sz w:val="24"/>
          <w:szCs w:val="24"/>
        </w:rPr>
      </w:pPr>
      <w:r>
        <w:rPr>
          <w:rFonts w:ascii="Arial" w:eastAsia="Arial" w:hAnsi="Arial" w:cs="Arial"/>
          <w:b/>
          <w:sz w:val="24"/>
          <w:szCs w:val="24"/>
        </w:rPr>
        <w:t>1. PEL (2021-2022).</w:t>
      </w:r>
      <w:r>
        <w:rPr>
          <w:rFonts w:ascii="Arial" w:eastAsia="Arial" w:hAnsi="Arial" w:cs="Arial"/>
          <w:sz w:val="24"/>
          <w:szCs w:val="24"/>
        </w:rPr>
        <w:t xml:space="preserve"> El 7 de octubre de 2021, inició el proceso electoral local para renovar la gubernatura del estado de Aguascalientes.</w:t>
      </w:r>
      <w:r>
        <w:rPr>
          <w:rFonts w:ascii="Arial" w:eastAsia="Arial" w:hAnsi="Arial" w:cs="Arial"/>
          <w:sz w:val="24"/>
          <w:szCs w:val="24"/>
          <w:vertAlign w:val="superscript"/>
        </w:rPr>
        <w:footnoteReference w:id="3"/>
      </w:r>
    </w:p>
    <w:p w14:paraId="7603C8A5" w14:textId="77777777" w:rsidR="00CA3CF2" w:rsidRDefault="00CA3CF2">
      <w:pPr>
        <w:pBdr>
          <w:top w:val="nil"/>
          <w:left w:val="nil"/>
          <w:bottom w:val="nil"/>
          <w:right w:val="nil"/>
          <w:between w:val="nil"/>
        </w:pBdr>
        <w:rPr>
          <w:color w:val="000000"/>
        </w:rPr>
      </w:pPr>
    </w:p>
    <w:p w14:paraId="0A354CF1" w14:textId="77777777" w:rsidR="00CA3CF2" w:rsidRDefault="00C6513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bookmarkStart w:id="2" w:name="_heading=h.1fob9te" w:colFirst="0" w:colLast="0"/>
      <w:bookmarkEnd w:id="2"/>
      <w:r>
        <w:rPr>
          <w:rFonts w:ascii="Arial" w:eastAsia="Arial" w:hAnsi="Arial" w:cs="Arial"/>
          <w:b/>
          <w:sz w:val="24"/>
          <w:szCs w:val="24"/>
        </w:rPr>
        <w:t xml:space="preserve">2. Denuncia. </w:t>
      </w:r>
      <w:r>
        <w:rPr>
          <w:rFonts w:ascii="Arial" w:eastAsia="Arial" w:hAnsi="Arial" w:cs="Arial"/>
          <w:sz w:val="24"/>
          <w:szCs w:val="24"/>
        </w:rPr>
        <w:t xml:space="preserve">El 5 de junio, el PAN presentó una queja ante el Instituto Local, en contra de Movimiento Ciudadano y su entonces candidata a la gubernatura del estado, Anayeli Muñoz Moreno, así como de las y los servidores públicos y militantes del referido instituto político, María Guadalupe Arellano Espinosa, Gustavo Adolfo Granados Corzo y </w:t>
      </w:r>
      <w:proofErr w:type="spellStart"/>
      <w:r>
        <w:rPr>
          <w:rFonts w:ascii="Arial" w:eastAsia="Arial" w:hAnsi="Arial" w:cs="Arial"/>
          <w:sz w:val="24"/>
          <w:szCs w:val="24"/>
        </w:rPr>
        <w:t>Yolytzín</w:t>
      </w:r>
      <w:proofErr w:type="spellEnd"/>
      <w:r>
        <w:rPr>
          <w:rFonts w:ascii="Arial" w:eastAsia="Arial" w:hAnsi="Arial" w:cs="Arial"/>
          <w:sz w:val="24"/>
          <w:szCs w:val="24"/>
        </w:rPr>
        <w:t xml:space="preserve"> Alelí Rodríguez </w:t>
      </w:r>
      <w:proofErr w:type="spellStart"/>
      <w:r>
        <w:rPr>
          <w:rFonts w:ascii="Arial" w:eastAsia="Arial" w:hAnsi="Arial" w:cs="Arial"/>
          <w:sz w:val="24"/>
          <w:szCs w:val="24"/>
        </w:rPr>
        <w:t>Sendejas</w:t>
      </w:r>
      <w:proofErr w:type="spellEnd"/>
      <w:r>
        <w:rPr>
          <w:rFonts w:ascii="Arial" w:eastAsia="Arial" w:hAnsi="Arial" w:cs="Arial"/>
          <w:sz w:val="24"/>
          <w:szCs w:val="24"/>
        </w:rPr>
        <w:t>, por la supuesta vulneración a los principios de equidad, imparcialidad y neutralidad en la contienda, derivado del uso indebido de recursos públicos, así como coacción en el voto de la ciudadanía, en favor de la candidata cuestionada. Asimismo, solicitó la adopción de medidas cautelares.</w:t>
      </w:r>
    </w:p>
    <w:p w14:paraId="39D57BB7" w14:textId="77777777" w:rsidR="00CA3CF2" w:rsidRDefault="00CA3CF2">
      <w:pPr>
        <w:pBdr>
          <w:top w:val="nil"/>
          <w:left w:val="nil"/>
          <w:bottom w:val="nil"/>
          <w:right w:val="nil"/>
          <w:between w:val="nil"/>
        </w:pBdr>
        <w:rPr>
          <w:color w:val="000000"/>
        </w:rPr>
      </w:pPr>
    </w:p>
    <w:p w14:paraId="4DF7DDDE" w14:textId="77777777" w:rsidR="00CA3CF2" w:rsidRDefault="00C6513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3. Radicación y admisión (IEE/PES/099/2022).</w:t>
      </w:r>
      <w:r>
        <w:rPr>
          <w:rFonts w:ascii="Arial" w:eastAsia="Arial" w:hAnsi="Arial" w:cs="Arial"/>
          <w:sz w:val="24"/>
          <w:szCs w:val="24"/>
        </w:rPr>
        <w:t xml:space="preserve"> Al día siguiente,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radicó la queja, asignándole el número de expediente IEE/PES/099/2022. El 14 consecuente, admitió a trámite la denuncia y, además, fijó fecha para la celebración de la audiencia de pruebas y alegatos. </w:t>
      </w:r>
    </w:p>
    <w:p w14:paraId="390764F1" w14:textId="77777777" w:rsidR="00CA3CF2" w:rsidRDefault="00CA3CF2">
      <w:pPr>
        <w:pBdr>
          <w:top w:val="nil"/>
          <w:left w:val="nil"/>
          <w:bottom w:val="nil"/>
          <w:right w:val="nil"/>
          <w:between w:val="nil"/>
        </w:pBdr>
        <w:tabs>
          <w:tab w:val="left" w:pos="567"/>
        </w:tabs>
        <w:ind w:right="36"/>
        <w:jc w:val="both"/>
        <w:rPr>
          <w:rFonts w:ascii="Arial" w:eastAsia="Arial" w:hAnsi="Arial" w:cs="Arial"/>
          <w:sz w:val="24"/>
          <w:szCs w:val="24"/>
        </w:rPr>
      </w:pPr>
    </w:p>
    <w:p w14:paraId="6BB83C7A" w14:textId="77777777" w:rsidR="00CA3CF2" w:rsidRDefault="00C6513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4. Valoración de las medidas cautelares.</w:t>
      </w:r>
      <w:r>
        <w:rPr>
          <w:rFonts w:ascii="Arial" w:eastAsia="Arial" w:hAnsi="Arial" w:cs="Arial"/>
          <w:sz w:val="24"/>
          <w:szCs w:val="24"/>
        </w:rPr>
        <w:t xml:space="preserve"> El 15 de junio, el </w:t>
      </w:r>
      <w:proofErr w:type="gramStart"/>
      <w:r>
        <w:rPr>
          <w:rFonts w:ascii="Arial" w:eastAsia="Arial" w:hAnsi="Arial" w:cs="Arial"/>
          <w:sz w:val="24"/>
          <w:szCs w:val="24"/>
        </w:rPr>
        <w:t>Secretario Ejecutivo</w:t>
      </w:r>
      <w:proofErr w:type="gramEnd"/>
      <w:r>
        <w:rPr>
          <w:rFonts w:ascii="Arial" w:eastAsia="Arial" w:hAnsi="Arial" w:cs="Arial"/>
          <w:sz w:val="24"/>
          <w:szCs w:val="24"/>
        </w:rPr>
        <w:t xml:space="preserve"> determinó no proponer a la Comisión de Quejas y Denuncias, la adopción de las medidas cautelares solicitadas por el quejoso, en atención a que al momento de su valoración, no existía afectación alguna a un bien jurídico, dado que ya había concluido la etapa de la jornada electoral. </w:t>
      </w:r>
    </w:p>
    <w:p w14:paraId="15F506BD" w14:textId="77777777" w:rsidR="00CA3CF2" w:rsidRDefault="00CA3CF2">
      <w:pPr>
        <w:pBdr>
          <w:top w:val="nil"/>
          <w:left w:val="nil"/>
          <w:bottom w:val="nil"/>
          <w:right w:val="nil"/>
          <w:between w:val="nil"/>
        </w:pBdr>
        <w:rPr>
          <w:color w:val="000000"/>
        </w:rPr>
      </w:pPr>
    </w:p>
    <w:p w14:paraId="74104238" w14:textId="77777777" w:rsidR="00CA3CF2" w:rsidRDefault="00C6513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5. Escrito de desistimiento.</w:t>
      </w:r>
      <w:r>
        <w:rPr>
          <w:rFonts w:ascii="Arial" w:eastAsia="Arial" w:hAnsi="Arial" w:cs="Arial"/>
          <w:sz w:val="24"/>
          <w:szCs w:val="24"/>
        </w:rPr>
        <w:t xml:space="preserve"> El 17 de junio, el PAN presentó ante el Instituto Local, un escrito en el que pretende desistirse de la presente queja, por así convenir a sus intereses y porque, a su dicho, no se trata de hechos graves ni se vulneran los principios rectores de la función electoral. </w:t>
      </w:r>
    </w:p>
    <w:p w14:paraId="2EC95C13" w14:textId="77777777" w:rsidR="00CA3CF2" w:rsidRDefault="00CA3CF2">
      <w:pPr>
        <w:pBdr>
          <w:top w:val="nil"/>
          <w:left w:val="nil"/>
          <w:bottom w:val="nil"/>
          <w:right w:val="nil"/>
          <w:between w:val="nil"/>
        </w:pBdr>
        <w:rPr>
          <w:color w:val="000000"/>
        </w:rPr>
      </w:pPr>
    </w:p>
    <w:p w14:paraId="7DDE16F2" w14:textId="77777777" w:rsidR="00CA3CF2" w:rsidRDefault="00C6513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t>6. Audiencia de pruebas y alegatos, y remisión del expediente.</w:t>
      </w:r>
      <w:r>
        <w:rPr>
          <w:rFonts w:ascii="Arial" w:eastAsia="Arial" w:hAnsi="Arial" w:cs="Arial"/>
          <w:sz w:val="24"/>
          <w:szCs w:val="24"/>
        </w:rPr>
        <w:t xml:space="preserve"> Al día siguiente, la Secretaría Ejecutiva celebró la audiencia de pruebas y alegatos, y a su vez, rindió el informe circunstanciado. Posterior a ello, remitió el expediente a este Tribunal. </w:t>
      </w:r>
    </w:p>
    <w:p w14:paraId="4C233E25" w14:textId="77777777" w:rsidR="00CA3CF2" w:rsidRDefault="00CA3CF2">
      <w:pPr>
        <w:pBdr>
          <w:top w:val="nil"/>
          <w:left w:val="nil"/>
          <w:bottom w:val="nil"/>
          <w:right w:val="nil"/>
          <w:between w:val="nil"/>
        </w:pBdr>
        <w:rPr>
          <w:color w:val="000000"/>
        </w:rPr>
      </w:pPr>
    </w:p>
    <w:p w14:paraId="7F13F192" w14:textId="77777777" w:rsidR="00CA3CF2" w:rsidRDefault="00C6513E">
      <w:pPr>
        <w:pBdr>
          <w:top w:val="nil"/>
          <w:left w:val="nil"/>
          <w:bottom w:val="nil"/>
          <w:right w:val="nil"/>
          <w:between w:val="nil"/>
        </w:pBdr>
        <w:tabs>
          <w:tab w:val="left" w:pos="567"/>
        </w:tabs>
        <w:spacing w:line="360" w:lineRule="auto"/>
        <w:ind w:right="36"/>
        <w:jc w:val="both"/>
        <w:rPr>
          <w:rFonts w:ascii="Arial" w:eastAsia="Arial" w:hAnsi="Arial" w:cs="Arial"/>
          <w:sz w:val="24"/>
          <w:szCs w:val="24"/>
        </w:rPr>
      </w:pPr>
      <w:r>
        <w:rPr>
          <w:rFonts w:ascii="Arial" w:eastAsia="Arial" w:hAnsi="Arial" w:cs="Arial"/>
          <w:b/>
          <w:sz w:val="24"/>
          <w:szCs w:val="24"/>
        </w:rPr>
        <w:lastRenderedPageBreak/>
        <w:t>7. Turno y radicación del expediente (TEEA-PES-071/2022).</w:t>
      </w:r>
      <w:r>
        <w:rPr>
          <w:rFonts w:ascii="Arial" w:eastAsia="Arial" w:hAnsi="Arial" w:cs="Arial"/>
          <w:sz w:val="24"/>
          <w:szCs w:val="24"/>
        </w:rPr>
        <w:t xml:space="preserve"> En misma fecha, la Magistrada </w:t>
      </w:r>
      <w:proofErr w:type="gramStart"/>
      <w:r>
        <w:rPr>
          <w:rFonts w:ascii="Arial" w:eastAsia="Arial" w:hAnsi="Arial" w:cs="Arial"/>
          <w:sz w:val="24"/>
          <w:szCs w:val="24"/>
        </w:rPr>
        <w:t>Presidenta</w:t>
      </w:r>
      <w:proofErr w:type="gramEnd"/>
      <w:r>
        <w:rPr>
          <w:rFonts w:ascii="Arial" w:eastAsia="Arial" w:hAnsi="Arial" w:cs="Arial"/>
          <w:sz w:val="24"/>
          <w:szCs w:val="24"/>
        </w:rPr>
        <w:t xml:space="preserve"> ordenó el registro del asunto con el número de expediente TEEA-PES-071/2022 y lo turnó a la Ponencia de la Magistrada Laura Hortensia Llamas Hernández, quien en su oportunidad lo radicó, y al no existir ningún trámite pendiente, ordenó la formulación del proyecto.</w:t>
      </w:r>
      <w:r>
        <w:rPr>
          <w:rFonts w:ascii="Arial" w:eastAsia="Arial" w:hAnsi="Arial" w:cs="Arial"/>
          <w:sz w:val="24"/>
          <w:szCs w:val="24"/>
          <w:vertAlign w:val="superscript"/>
        </w:rPr>
        <w:footnoteReference w:id="4"/>
      </w:r>
    </w:p>
    <w:p w14:paraId="3B276FF7" w14:textId="77777777" w:rsidR="00CA3CF2" w:rsidRDefault="00CA3CF2">
      <w:pPr>
        <w:pBdr>
          <w:top w:val="nil"/>
          <w:left w:val="nil"/>
          <w:bottom w:val="nil"/>
          <w:right w:val="nil"/>
          <w:between w:val="nil"/>
        </w:pBdr>
        <w:rPr>
          <w:color w:val="000000"/>
        </w:rPr>
      </w:pPr>
    </w:p>
    <w:p w14:paraId="72FF2F5E" w14:textId="77777777" w:rsidR="00CA3CF2" w:rsidRDefault="00C6513E">
      <w:pPr>
        <w:pBdr>
          <w:top w:val="nil"/>
          <w:left w:val="nil"/>
          <w:bottom w:val="nil"/>
          <w:right w:val="nil"/>
          <w:between w:val="nil"/>
        </w:pBdr>
        <w:tabs>
          <w:tab w:val="left" w:pos="284"/>
        </w:tabs>
        <w:spacing w:line="360" w:lineRule="auto"/>
        <w:ind w:right="36"/>
        <w:jc w:val="both"/>
        <w:rPr>
          <w:rFonts w:ascii="Arial" w:eastAsia="Arial" w:hAnsi="Arial" w:cs="Arial"/>
          <w:sz w:val="24"/>
          <w:szCs w:val="24"/>
        </w:rPr>
      </w:pPr>
      <w:r>
        <w:rPr>
          <w:rFonts w:ascii="Arial" w:eastAsia="Arial" w:hAnsi="Arial" w:cs="Arial"/>
          <w:b/>
          <w:sz w:val="24"/>
          <w:szCs w:val="24"/>
        </w:rPr>
        <w:t xml:space="preserve">II. Competencia. </w:t>
      </w:r>
      <w:r>
        <w:rPr>
          <w:rFonts w:ascii="Arial" w:eastAsia="Arial" w:hAnsi="Arial" w:cs="Arial"/>
          <w:sz w:val="24"/>
          <w:szCs w:val="24"/>
        </w:rPr>
        <w:t xml:space="preserve">Este Tribunal Electoral es competente para resolver el presente procedimiento especial sancionador, porque se relaciona con la posible vulneración a los principios de equidad, neutralidad e imparcialidad en la contienda, obligación que se encuentra prevista en el artículo 248, fracción III, del Código Electoral, en relación con el diverso 134 de la Constitución General, por el supuesto uso indebido de recursos públicos derivado de la asistencia de una serie de servidores públicos, a actos proselitistas en días y horas hábiles, en favor de la entonces candidata Anayeli Muñoz Moreno. Lo anterior, de conformidad con los artículos 252, fracción II, 268, fracción I, 274 y 275 del Código Electoral. </w:t>
      </w:r>
    </w:p>
    <w:p w14:paraId="42C924C8" w14:textId="77777777" w:rsidR="00CA3CF2" w:rsidRDefault="00CA3CF2">
      <w:pPr>
        <w:pBdr>
          <w:top w:val="nil"/>
          <w:left w:val="nil"/>
          <w:bottom w:val="nil"/>
          <w:right w:val="nil"/>
          <w:between w:val="nil"/>
        </w:pBdr>
        <w:rPr>
          <w:color w:val="000000"/>
        </w:rPr>
      </w:pPr>
    </w:p>
    <w:p w14:paraId="3994DB68" w14:textId="77777777" w:rsidR="00CA3CF2" w:rsidRDefault="00C6513E">
      <w:pPr>
        <w:numPr>
          <w:ilvl w:val="0"/>
          <w:numId w:val="7"/>
        </w:numPr>
        <w:pBdr>
          <w:top w:val="nil"/>
          <w:left w:val="nil"/>
          <w:bottom w:val="nil"/>
          <w:right w:val="nil"/>
          <w:between w:val="nil"/>
        </w:pBdr>
        <w:tabs>
          <w:tab w:val="left" w:pos="426"/>
        </w:tabs>
        <w:spacing w:line="360" w:lineRule="auto"/>
        <w:ind w:left="0" w:right="36" w:hanging="11"/>
        <w:jc w:val="both"/>
        <w:rPr>
          <w:rFonts w:ascii="Arial" w:eastAsia="Arial" w:hAnsi="Arial" w:cs="Arial"/>
          <w:color w:val="000000"/>
          <w:sz w:val="24"/>
          <w:szCs w:val="24"/>
        </w:rPr>
      </w:pPr>
      <w:r>
        <w:rPr>
          <w:rFonts w:ascii="Arial" w:eastAsia="Arial" w:hAnsi="Arial" w:cs="Arial"/>
          <w:b/>
          <w:color w:val="000000"/>
          <w:sz w:val="24"/>
          <w:szCs w:val="24"/>
        </w:rPr>
        <w:t xml:space="preserve">Personería. </w:t>
      </w:r>
      <w:r>
        <w:rPr>
          <w:rFonts w:ascii="Arial" w:eastAsia="Arial" w:hAnsi="Arial" w:cs="Arial"/>
          <w:color w:val="000000"/>
          <w:sz w:val="24"/>
          <w:szCs w:val="24"/>
        </w:rPr>
        <w:t xml:space="preserve">La autoridad instructora tuvo por acreditada la personería del denunciante y </w:t>
      </w:r>
      <w:r>
        <w:rPr>
          <w:rFonts w:ascii="Arial" w:eastAsia="Arial" w:hAnsi="Arial" w:cs="Arial"/>
          <w:sz w:val="24"/>
          <w:szCs w:val="24"/>
        </w:rPr>
        <w:t>los denunciados</w:t>
      </w:r>
      <w:r>
        <w:rPr>
          <w:rFonts w:ascii="Arial" w:eastAsia="Arial" w:hAnsi="Arial" w:cs="Arial"/>
          <w:color w:val="000000"/>
          <w:sz w:val="24"/>
          <w:szCs w:val="24"/>
        </w:rPr>
        <w:t>.</w:t>
      </w:r>
    </w:p>
    <w:p w14:paraId="1EB1FAF3" w14:textId="77777777" w:rsidR="00CA3CF2" w:rsidRDefault="00CA3CF2">
      <w:pPr>
        <w:pBdr>
          <w:top w:val="nil"/>
          <w:left w:val="nil"/>
          <w:bottom w:val="nil"/>
          <w:right w:val="nil"/>
          <w:between w:val="nil"/>
        </w:pBdr>
        <w:rPr>
          <w:color w:val="000000"/>
        </w:rPr>
      </w:pPr>
    </w:p>
    <w:p w14:paraId="2CF511C6" w14:textId="77777777" w:rsidR="00CA3CF2" w:rsidRDefault="00C6513E">
      <w:pPr>
        <w:numPr>
          <w:ilvl w:val="0"/>
          <w:numId w:val="7"/>
        </w:numPr>
        <w:pBdr>
          <w:top w:val="nil"/>
          <w:left w:val="nil"/>
          <w:bottom w:val="nil"/>
          <w:right w:val="nil"/>
          <w:between w:val="nil"/>
        </w:pBdr>
        <w:tabs>
          <w:tab w:val="left" w:pos="426"/>
        </w:tabs>
        <w:spacing w:line="360" w:lineRule="auto"/>
        <w:ind w:left="0" w:right="36" w:hanging="11"/>
        <w:jc w:val="both"/>
        <w:rPr>
          <w:rFonts w:ascii="Arial" w:eastAsia="Arial" w:hAnsi="Arial" w:cs="Arial"/>
          <w:color w:val="000000"/>
          <w:sz w:val="24"/>
          <w:szCs w:val="24"/>
        </w:rPr>
      </w:pPr>
      <w:r>
        <w:rPr>
          <w:rFonts w:ascii="Arial" w:eastAsia="Arial" w:hAnsi="Arial" w:cs="Arial"/>
          <w:b/>
          <w:color w:val="000000"/>
          <w:sz w:val="24"/>
          <w:szCs w:val="24"/>
        </w:rPr>
        <w:t>Causales de improcedencia.</w:t>
      </w:r>
      <w:r>
        <w:rPr>
          <w:rFonts w:ascii="Arial" w:eastAsia="Arial" w:hAnsi="Arial" w:cs="Arial"/>
          <w:color w:val="000000"/>
          <w:sz w:val="24"/>
          <w:szCs w:val="24"/>
        </w:rPr>
        <w:t xml:space="preserve"> Las partes denunciadas, en sus escritos de contestación, refieren que la denuncia presentada en su contra es </w:t>
      </w:r>
      <w:r>
        <w:rPr>
          <w:rFonts w:ascii="Arial" w:eastAsia="Arial" w:hAnsi="Arial" w:cs="Arial"/>
          <w:b/>
          <w:color w:val="000000"/>
          <w:sz w:val="24"/>
          <w:szCs w:val="24"/>
        </w:rPr>
        <w:t>frívola</w:t>
      </w:r>
      <w:r>
        <w:rPr>
          <w:rFonts w:ascii="Arial" w:eastAsia="Arial" w:hAnsi="Arial" w:cs="Arial"/>
          <w:color w:val="000000"/>
          <w:sz w:val="24"/>
          <w:szCs w:val="24"/>
        </w:rPr>
        <w:t>, ya que no se ofrecieron elementos de prueba que permitan acreditar los hechos denunciados.</w:t>
      </w:r>
    </w:p>
    <w:p w14:paraId="50B79612" w14:textId="77777777" w:rsidR="00CA3CF2" w:rsidRDefault="00CA3CF2">
      <w:pPr>
        <w:pBdr>
          <w:top w:val="nil"/>
          <w:left w:val="nil"/>
          <w:bottom w:val="nil"/>
          <w:right w:val="nil"/>
          <w:between w:val="nil"/>
        </w:pBdr>
        <w:rPr>
          <w:color w:val="000000"/>
        </w:rPr>
      </w:pPr>
    </w:p>
    <w:p w14:paraId="2E0512C5" w14:textId="77777777" w:rsidR="00CA3CF2" w:rsidRDefault="00C6513E">
      <w:pPr>
        <w:spacing w:line="360" w:lineRule="auto"/>
        <w:ind w:right="36"/>
        <w:jc w:val="both"/>
        <w:rPr>
          <w:sz w:val="24"/>
          <w:szCs w:val="24"/>
        </w:rPr>
      </w:pPr>
      <w:r>
        <w:rPr>
          <w:rFonts w:ascii="Arial" w:eastAsia="Arial" w:hAnsi="Arial" w:cs="Arial"/>
          <w:color w:val="000000"/>
          <w:sz w:val="24"/>
          <w:szCs w:val="24"/>
        </w:rPr>
        <w:t>El artículo 270, fracción V, del Código Electoral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13ADEE6E" w14:textId="77777777" w:rsidR="00CA3CF2" w:rsidRDefault="00C6513E">
      <w:pPr>
        <w:spacing w:before="240" w:line="360" w:lineRule="auto"/>
        <w:ind w:right="40"/>
        <w:jc w:val="both"/>
        <w:rPr>
          <w:rFonts w:ascii="Arial" w:eastAsia="Arial" w:hAnsi="Arial" w:cs="Arial"/>
          <w:color w:val="000000"/>
          <w:sz w:val="24"/>
          <w:szCs w:val="24"/>
        </w:rPr>
      </w:pPr>
      <w:r>
        <w:rPr>
          <w:rFonts w:ascii="Arial" w:eastAsia="Arial" w:hAnsi="Arial" w:cs="Arial"/>
          <w:color w:val="000000"/>
          <w:sz w:val="24"/>
          <w:szCs w:val="24"/>
        </w:rPr>
        <w:t>Al respecto, este Tribunal considera que del escrito de la denuncia y de las constancias del expediente, se advierte que el denunciante señaló los hechos y las infracciones que, a su criterio se acreditan, además de que ofreció la pruebas que estimó pertinente, por tanto, no es posible actualizar tal causal de improcedencia, pues el quejoso ofreció las pruebas que consideró necesarias para la acreditación de los hechos cuestionados. Por tanto, la posible actualización de la infracción, en todo caso, es materia de análisis en el estudio de fondo de la presente resolución.</w:t>
      </w:r>
    </w:p>
    <w:p w14:paraId="12A0A3CB" w14:textId="77777777" w:rsidR="00CA3CF2" w:rsidRDefault="00CA3CF2">
      <w:pPr>
        <w:pBdr>
          <w:top w:val="nil"/>
          <w:left w:val="nil"/>
          <w:bottom w:val="nil"/>
          <w:right w:val="nil"/>
          <w:between w:val="nil"/>
        </w:pBdr>
        <w:rPr>
          <w:color w:val="000000"/>
        </w:rPr>
      </w:pPr>
    </w:p>
    <w:p w14:paraId="37B84E35" w14:textId="77777777" w:rsidR="00CA3CF2" w:rsidRDefault="00C6513E">
      <w:pPr>
        <w:tabs>
          <w:tab w:val="left" w:pos="426"/>
        </w:tabs>
        <w:spacing w:line="360" w:lineRule="auto"/>
        <w:ind w:right="40"/>
        <w:jc w:val="both"/>
        <w:rPr>
          <w:rFonts w:ascii="Arial" w:eastAsia="Arial" w:hAnsi="Arial" w:cs="Arial"/>
          <w:sz w:val="24"/>
          <w:szCs w:val="24"/>
        </w:rPr>
      </w:pPr>
      <w:r>
        <w:rPr>
          <w:rFonts w:ascii="Arial" w:eastAsia="Arial" w:hAnsi="Arial" w:cs="Arial"/>
          <w:sz w:val="24"/>
          <w:szCs w:val="24"/>
        </w:rPr>
        <w:t xml:space="preserve">Ahora bien, en cuanto a los argumentos encaminados a desacreditar que los hechos cuestionados constituyen una violación en materia electoral; este órgano jurisdiccional estima que, dado que se cuestiona el uso indebido de recursos públicos derivado de la asistencia de servidores públicos a un evento proselitista en días y horas hábiles, ello constituye la posible vulneración al artículo 248, fracción III, del Código Electoral, en relación </w:t>
      </w:r>
      <w:r>
        <w:rPr>
          <w:rFonts w:ascii="Arial" w:eastAsia="Arial" w:hAnsi="Arial" w:cs="Arial"/>
          <w:sz w:val="24"/>
          <w:szCs w:val="24"/>
        </w:rPr>
        <w:lastRenderedPageBreak/>
        <w:t xml:space="preserve">con el diverso 134 de la Constitución General.  Por lo anterior, la conducta denunciada sí se encuentra prevista en la normativa electoral, y la posible inobservancia a tal obligación debe ser materia de estudio por este Tribunal Electoral. </w:t>
      </w:r>
    </w:p>
    <w:p w14:paraId="349D0838" w14:textId="77777777" w:rsidR="00CA3CF2" w:rsidRDefault="00CA3CF2">
      <w:pPr>
        <w:pBdr>
          <w:top w:val="nil"/>
          <w:left w:val="nil"/>
          <w:bottom w:val="nil"/>
          <w:right w:val="nil"/>
          <w:between w:val="nil"/>
        </w:pBdr>
        <w:rPr>
          <w:color w:val="000000"/>
        </w:rPr>
      </w:pPr>
    </w:p>
    <w:p w14:paraId="07511255" w14:textId="77777777" w:rsidR="00CA3CF2" w:rsidRDefault="00C6513E">
      <w:pPr>
        <w:numPr>
          <w:ilvl w:val="0"/>
          <w:numId w:val="7"/>
        </w:numPr>
        <w:pBdr>
          <w:top w:val="nil"/>
          <w:left w:val="nil"/>
          <w:bottom w:val="nil"/>
          <w:right w:val="nil"/>
          <w:between w:val="nil"/>
        </w:pBdr>
        <w:tabs>
          <w:tab w:val="left" w:pos="426"/>
        </w:tabs>
        <w:spacing w:line="360" w:lineRule="auto"/>
        <w:ind w:right="36" w:hanging="862"/>
        <w:jc w:val="both"/>
        <w:rPr>
          <w:rFonts w:ascii="Arial" w:eastAsia="Arial" w:hAnsi="Arial" w:cs="Arial"/>
          <w:color w:val="000000"/>
          <w:sz w:val="24"/>
          <w:szCs w:val="24"/>
        </w:rPr>
      </w:pPr>
      <w:r>
        <w:rPr>
          <w:rFonts w:ascii="Arial" w:eastAsia="Arial" w:hAnsi="Arial" w:cs="Arial"/>
          <w:b/>
          <w:color w:val="000000"/>
          <w:sz w:val="24"/>
          <w:szCs w:val="24"/>
        </w:rPr>
        <w:t xml:space="preserve">Análisis preliminar que atiende el escrito de desistimiento </w:t>
      </w:r>
    </w:p>
    <w:p w14:paraId="4C38ED04" w14:textId="77777777" w:rsidR="00CA3CF2" w:rsidRDefault="00CA3CF2">
      <w:pPr>
        <w:pBdr>
          <w:top w:val="nil"/>
          <w:left w:val="nil"/>
          <w:bottom w:val="nil"/>
          <w:right w:val="nil"/>
          <w:between w:val="nil"/>
        </w:pBdr>
        <w:rPr>
          <w:color w:val="000000"/>
        </w:rPr>
      </w:pPr>
    </w:p>
    <w:p w14:paraId="3EE99DC0" w14:textId="77777777" w:rsidR="00CA3CF2" w:rsidRDefault="00C6513E">
      <w:pPr>
        <w:pBdr>
          <w:top w:val="nil"/>
          <w:left w:val="nil"/>
          <w:bottom w:val="nil"/>
          <w:right w:val="nil"/>
          <w:between w:val="nil"/>
        </w:pBdr>
        <w:shd w:val="clear" w:color="auto" w:fill="FFFFFF"/>
        <w:spacing w:line="36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De las constancias existen en el expediente, este Tribunal Electoral advierte que el día 17 de junio, el denunciante presentó un escrito de desistimiento dirigido al Secretario Ejecutivo a fin de que el presente procedimiento sancionador no continuara sustanciándose, por el hecho de que ya no es de su interés continuar con este; cuestión que sustentó con el argumento relativo a que el escrito en </w:t>
      </w:r>
      <w:r>
        <w:rPr>
          <w:rFonts w:ascii="Arial" w:eastAsia="Arial" w:hAnsi="Arial" w:cs="Arial"/>
          <w:sz w:val="24"/>
          <w:szCs w:val="24"/>
          <w:highlight w:val="white"/>
        </w:rPr>
        <w:t>comentado</w:t>
      </w:r>
      <w:r>
        <w:rPr>
          <w:rFonts w:ascii="Arial" w:eastAsia="Arial" w:hAnsi="Arial" w:cs="Arial"/>
          <w:color w:val="000000"/>
          <w:sz w:val="24"/>
          <w:szCs w:val="24"/>
          <w:highlight w:val="white"/>
        </w:rPr>
        <w:t xml:space="preserve"> se presentó de forma previa a la elaboración del proyecto de resolución, al mismo tiempo, argumentó que las conductas cuestionadas no versan sobre violaciones graves. </w:t>
      </w:r>
    </w:p>
    <w:p w14:paraId="2355ACC9" w14:textId="77777777" w:rsidR="00CA3CF2" w:rsidRDefault="00CA3CF2">
      <w:pPr>
        <w:pBdr>
          <w:top w:val="nil"/>
          <w:left w:val="nil"/>
          <w:bottom w:val="nil"/>
          <w:right w:val="nil"/>
          <w:between w:val="nil"/>
        </w:pBdr>
        <w:rPr>
          <w:color w:val="000000"/>
          <w:highlight w:val="white"/>
        </w:rPr>
      </w:pPr>
    </w:p>
    <w:p w14:paraId="28D27349" w14:textId="0C7FA7F0" w:rsidR="00CA3CF2" w:rsidRDefault="00C6513E">
      <w:pPr>
        <w:pBdr>
          <w:top w:val="nil"/>
          <w:left w:val="nil"/>
          <w:bottom w:val="nil"/>
          <w:right w:val="nil"/>
          <w:between w:val="nil"/>
        </w:pBdr>
        <w:shd w:val="clear" w:color="auto" w:fill="FFFFFF"/>
        <w:spacing w:line="360" w:lineRule="auto"/>
        <w:jc w:val="both"/>
        <w:rPr>
          <w:rFonts w:ascii="Arial" w:eastAsia="Arial" w:hAnsi="Arial" w:cs="Arial"/>
          <w:color w:val="000000"/>
          <w:sz w:val="24"/>
          <w:szCs w:val="24"/>
          <w:highlight w:val="yellow"/>
        </w:rPr>
      </w:pPr>
      <w:r>
        <w:rPr>
          <w:rFonts w:ascii="Arial" w:eastAsia="Arial" w:hAnsi="Arial" w:cs="Arial"/>
          <w:color w:val="000000"/>
          <w:sz w:val="24"/>
          <w:szCs w:val="24"/>
          <w:highlight w:val="white"/>
        </w:rPr>
        <w:t>Al respecto, la Sala Superior ha sostenido</w:t>
      </w:r>
      <w:r w:rsidR="00D146D1" w:rsidRPr="00D146D1">
        <w:rPr>
          <w:rFonts w:ascii="Arial" w:eastAsia="Arial" w:hAnsi="Arial" w:cs="Arial"/>
          <w:sz w:val="24"/>
          <w:szCs w:val="24"/>
          <w:vertAlign w:val="superscript"/>
        </w:rPr>
        <w:footnoteReference w:id="5"/>
      </w:r>
      <w:r>
        <w:rPr>
          <w:rFonts w:ascii="Arial" w:eastAsia="Arial" w:hAnsi="Arial" w:cs="Arial"/>
          <w:color w:val="000000"/>
          <w:sz w:val="24"/>
          <w:szCs w:val="24"/>
          <w:highlight w:val="white"/>
        </w:rPr>
        <w:t xml:space="preserve"> que las acciones de desistimientos </w:t>
      </w:r>
      <w:r>
        <w:rPr>
          <w:rFonts w:ascii="Arial" w:eastAsia="Arial" w:hAnsi="Arial" w:cs="Arial"/>
          <w:b/>
          <w:color w:val="000000"/>
          <w:sz w:val="24"/>
          <w:szCs w:val="24"/>
          <w:highlight w:val="white"/>
        </w:rPr>
        <w:t>son improcedentes</w:t>
      </w:r>
      <w:r>
        <w:rPr>
          <w:rFonts w:ascii="Arial" w:eastAsia="Arial" w:hAnsi="Arial" w:cs="Arial"/>
          <w:color w:val="000000"/>
          <w:sz w:val="24"/>
          <w:szCs w:val="24"/>
          <w:highlight w:val="white"/>
        </w:rPr>
        <w:t xml:space="preserve"> cuando la controversia a dirimir verse sobre la </w:t>
      </w:r>
      <w:r>
        <w:rPr>
          <w:rFonts w:ascii="Arial" w:eastAsia="Arial" w:hAnsi="Arial" w:cs="Arial"/>
          <w:b/>
          <w:color w:val="000000"/>
          <w:sz w:val="24"/>
          <w:szCs w:val="24"/>
          <w:highlight w:val="white"/>
        </w:rPr>
        <w:t>posible vulneración a principios electorales</w:t>
      </w:r>
      <w:r>
        <w:rPr>
          <w:rFonts w:ascii="Arial" w:eastAsia="Arial" w:hAnsi="Arial" w:cs="Arial"/>
          <w:color w:val="000000"/>
          <w:sz w:val="24"/>
          <w:szCs w:val="24"/>
          <w:highlight w:val="white"/>
        </w:rPr>
        <w:t xml:space="preserve">, ya que ello se trata del ejercicio de una acción tuitiva, situación que se traduce en la protección y salvaguarda del </w:t>
      </w:r>
      <w:r>
        <w:rPr>
          <w:rFonts w:ascii="Arial" w:eastAsia="Arial" w:hAnsi="Arial" w:cs="Arial"/>
          <w:b/>
          <w:color w:val="000000"/>
          <w:sz w:val="24"/>
          <w:szCs w:val="24"/>
          <w:highlight w:val="white"/>
        </w:rPr>
        <w:t>interés público,</w:t>
      </w:r>
      <w:r>
        <w:rPr>
          <w:rFonts w:ascii="Arial" w:eastAsia="Arial" w:hAnsi="Arial" w:cs="Arial"/>
          <w:color w:val="000000"/>
          <w:sz w:val="24"/>
          <w:szCs w:val="24"/>
          <w:highlight w:val="white"/>
        </w:rPr>
        <w:t xml:space="preserve"> lo cual rebasa los intereses individuales de quien presentó la queja, al no ser la única persona titular de interés jurídico supuestamente afectado</w:t>
      </w:r>
      <w:r w:rsidR="00D146D1">
        <w:rPr>
          <w:rFonts w:ascii="Arial" w:eastAsia="Arial" w:hAnsi="Arial" w:cs="Arial"/>
          <w:color w:val="000000"/>
          <w:sz w:val="24"/>
          <w:szCs w:val="24"/>
          <w:highlight w:val="white"/>
        </w:rPr>
        <w:t>.</w:t>
      </w:r>
    </w:p>
    <w:p w14:paraId="2C9D9050" w14:textId="77777777" w:rsidR="00CA3CF2" w:rsidRDefault="00CA3CF2">
      <w:pPr>
        <w:pBdr>
          <w:top w:val="nil"/>
          <w:left w:val="nil"/>
          <w:bottom w:val="nil"/>
          <w:right w:val="nil"/>
          <w:between w:val="nil"/>
        </w:pBdr>
        <w:rPr>
          <w:color w:val="000000"/>
          <w:highlight w:val="white"/>
        </w:rPr>
      </w:pPr>
    </w:p>
    <w:p w14:paraId="33B609E8" w14:textId="77777777" w:rsidR="00CA3CF2" w:rsidRDefault="00C6513E">
      <w:pPr>
        <w:pBdr>
          <w:top w:val="nil"/>
          <w:left w:val="nil"/>
          <w:bottom w:val="nil"/>
          <w:right w:val="nil"/>
          <w:between w:val="nil"/>
        </w:pBdr>
        <w:shd w:val="clear" w:color="auto" w:fill="FFFFFF"/>
        <w:spacing w:line="360" w:lineRule="auto"/>
        <w:jc w:val="both"/>
        <w:rPr>
          <w:rFonts w:ascii="Arial" w:eastAsia="Arial" w:hAnsi="Arial" w:cs="Arial"/>
          <w:color w:val="000000"/>
          <w:sz w:val="24"/>
          <w:szCs w:val="24"/>
          <w:highlight w:val="white"/>
        </w:rPr>
      </w:pPr>
      <w:r>
        <w:rPr>
          <w:rFonts w:ascii="Arial" w:eastAsia="Arial" w:hAnsi="Arial" w:cs="Arial"/>
          <w:color w:val="000000"/>
          <w:sz w:val="24"/>
          <w:szCs w:val="24"/>
          <w:highlight w:val="white"/>
        </w:rPr>
        <w:t xml:space="preserve">Asimismo, es criterio del referido órgano jurisdiccional que, si bien, lo comentado ha sido aplicable para la sustanciación de los medios de impugnación, lo cierto es que tal razonamiento resulta igualmente aplicable a los procedimientos sancionadores, pues estos también tienen como fin procurar la salvaguarda de los principios rectores de la materia electoral. </w:t>
      </w:r>
    </w:p>
    <w:p w14:paraId="69A6CFA3" w14:textId="77777777" w:rsidR="00CA3CF2" w:rsidRDefault="00CA3CF2">
      <w:pPr>
        <w:pBdr>
          <w:top w:val="nil"/>
          <w:left w:val="nil"/>
          <w:bottom w:val="nil"/>
          <w:right w:val="nil"/>
          <w:between w:val="nil"/>
        </w:pBdr>
        <w:rPr>
          <w:color w:val="000000"/>
          <w:highlight w:val="white"/>
        </w:rPr>
      </w:pPr>
    </w:p>
    <w:p w14:paraId="3F788F8F" w14:textId="77777777" w:rsidR="00CA3CF2" w:rsidRDefault="00C6513E">
      <w:pPr>
        <w:pBdr>
          <w:top w:val="nil"/>
          <w:left w:val="nil"/>
          <w:bottom w:val="nil"/>
          <w:right w:val="nil"/>
          <w:between w:val="nil"/>
        </w:pBdr>
        <w:shd w:val="clear" w:color="auto" w:fill="FFFFFF"/>
        <w:spacing w:line="360" w:lineRule="auto"/>
        <w:jc w:val="both"/>
        <w:rPr>
          <w:rFonts w:ascii="Arial" w:eastAsia="Arial" w:hAnsi="Arial" w:cs="Arial"/>
          <w:b/>
          <w:color w:val="000000"/>
          <w:sz w:val="24"/>
          <w:szCs w:val="24"/>
          <w:highlight w:val="white"/>
        </w:rPr>
      </w:pPr>
      <w:r>
        <w:rPr>
          <w:rFonts w:ascii="Arial" w:eastAsia="Arial" w:hAnsi="Arial" w:cs="Arial"/>
          <w:color w:val="000000"/>
          <w:sz w:val="24"/>
          <w:szCs w:val="24"/>
          <w:highlight w:val="white"/>
        </w:rPr>
        <w:t xml:space="preserve">Por tanto, este Tribunal Electoral estima que el escrito de desistimiento </w:t>
      </w:r>
      <w:r>
        <w:rPr>
          <w:rFonts w:ascii="Arial" w:eastAsia="Arial" w:hAnsi="Arial" w:cs="Arial"/>
          <w:b/>
          <w:color w:val="000000"/>
          <w:sz w:val="24"/>
          <w:szCs w:val="24"/>
          <w:highlight w:val="white"/>
        </w:rPr>
        <w:t>es improcedente</w:t>
      </w:r>
      <w:r>
        <w:rPr>
          <w:rFonts w:ascii="Arial" w:eastAsia="Arial" w:hAnsi="Arial" w:cs="Arial"/>
          <w:color w:val="000000"/>
          <w:sz w:val="24"/>
          <w:szCs w:val="24"/>
          <w:highlight w:val="white"/>
        </w:rPr>
        <w:t xml:space="preserve">, dado que, con independencia de que esté dirigido hacia la autoridad administrativa, resulta importante pronunciarse a través de la presente sentencia que pondrá fin al asunto la acción de la que pretende desistirse. Por ello, el hecho de que en la presente problemática se involucren los principios constituciones de imparcialidad, neutralidad y equidad en la contienda, demuestra la </w:t>
      </w:r>
      <w:r>
        <w:rPr>
          <w:rFonts w:ascii="Arial" w:eastAsia="Arial" w:hAnsi="Arial" w:cs="Arial"/>
          <w:b/>
          <w:color w:val="000000"/>
          <w:sz w:val="24"/>
          <w:szCs w:val="24"/>
          <w:highlight w:val="white"/>
        </w:rPr>
        <w:t>existencia de un interés público</w:t>
      </w:r>
      <w:r>
        <w:rPr>
          <w:rFonts w:ascii="Arial" w:eastAsia="Arial" w:hAnsi="Arial" w:cs="Arial"/>
          <w:color w:val="000000"/>
          <w:sz w:val="24"/>
          <w:szCs w:val="24"/>
          <w:highlight w:val="white"/>
        </w:rPr>
        <w:t xml:space="preserve"> sobre lo que se decida en la presente controversia y, por tanto, esta situación </w:t>
      </w:r>
      <w:r>
        <w:rPr>
          <w:rFonts w:ascii="Arial" w:eastAsia="Arial" w:hAnsi="Arial" w:cs="Arial"/>
          <w:b/>
          <w:color w:val="000000"/>
          <w:sz w:val="24"/>
          <w:szCs w:val="24"/>
          <w:highlight w:val="white"/>
        </w:rPr>
        <w:t xml:space="preserve">excede los intereses del partido político interesado. </w:t>
      </w:r>
    </w:p>
    <w:p w14:paraId="0F2837A5" w14:textId="77777777" w:rsidR="00CA3CF2" w:rsidRDefault="00CA3CF2">
      <w:pPr>
        <w:pBdr>
          <w:top w:val="nil"/>
          <w:left w:val="nil"/>
          <w:bottom w:val="nil"/>
          <w:right w:val="nil"/>
          <w:between w:val="nil"/>
        </w:pBdr>
        <w:rPr>
          <w:color w:val="000000"/>
        </w:rPr>
      </w:pPr>
    </w:p>
    <w:p w14:paraId="14EB6E7D" w14:textId="77777777" w:rsidR="00CA3CF2" w:rsidRDefault="00C6513E">
      <w:pPr>
        <w:numPr>
          <w:ilvl w:val="0"/>
          <w:numId w:val="7"/>
        </w:numPr>
        <w:pBdr>
          <w:top w:val="nil"/>
          <w:left w:val="nil"/>
          <w:bottom w:val="nil"/>
          <w:right w:val="nil"/>
          <w:between w:val="nil"/>
        </w:pBdr>
        <w:tabs>
          <w:tab w:val="left" w:pos="426"/>
        </w:tabs>
        <w:spacing w:line="360" w:lineRule="auto"/>
        <w:ind w:right="36" w:hanging="862"/>
        <w:jc w:val="both"/>
        <w:rPr>
          <w:rFonts w:ascii="Arial" w:eastAsia="Arial" w:hAnsi="Arial" w:cs="Arial"/>
          <w:color w:val="000000"/>
          <w:sz w:val="24"/>
          <w:szCs w:val="24"/>
        </w:rPr>
      </w:pPr>
      <w:r>
        <w:rPr>
          <w:rFonts w:ascii="Arial" w:eastAsia="Arial" w:hAnsi="Arial" w:cs="Arial"/>
          <w:b/>
          <w:color w:val="000000"/>
          <w:sz w:val="24"/>
          <w:szCs w:val="24"/>
        </w:rPr>
        <w:t xml:space="preserve">Estudio de fondo </w:t>
      </w:r>
    </w:p>
    <w:p w14:paraId="26FA7812" w14:textId="77777777" w:rsidR="00CA3CF2" w:rsidRDefault="00CA3CF2">
      <w:pPr>
        <w:pBdr>
          <w:top w:val="nil"/>
          <w:left w:val="nil"/>
          <w:bottom w:val="nil"/>
          <w:right w:val="nil"/>
          <w:between w:val="nil"/>
        </w:pBdr>
        <w:rPr>
          <w:color w:val="000000"/>
          <w:sz w:val="14"/>
          <w:szCs w:val="14"/>
        </w:rPr>
      </w:pPr>
    </w:p>
    <w:p w14:paraId="71DD0907" w14:textId="77777777" w:rsidR="00CA3CF2" w:rsidRDefault="00C6513E">
      <w:p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Pr>
          <w:rFonts w:ascii="Arial" w:eastAsia="Arial" w:hAnsi="Arial" w:cs="Arial"/>
          <w:b/>
          <w:sz w:val="24"/>
          <w:szCs w:val="24"/>
        </w:rPr>
        <w:t xml:space="preserve">1. Hechos denunciados. </w:t>
      </w:r>
      <w:r>
        <w:rPr>
          <w:rFonts w:ascii="Arial" w:eastAsia="Arial" w:hAnsi="Arial" w:cs="Arial"/>
          <w:sz w:val="24"/>
          <w:szCs w:val="24"/>
        </w:rPr>
        <w:t xml:space="preserve">El PAN refiere que las partes denunciadas vulneraron los principios de neutralidad, equidad e imparcialidad en la contienda, derivado de una serie de publicaciones en el perfil de Facebook de la entonces candidata Anayeli Muñoz Moreno, en </w:t>
      </w:r>
      <w:r>
        <w:rPr>
          <w:rFonts w:ascii="Arial" w:eastAsia="Arial" w:hAnsi="Arial" w:cs="Arial"/>
          <w:sz w:val="24"/>
          <w:szCs w:val="24"/>
        </w:rPr>
        <w:lastRenderedPageBreak/>
        <w:t>las que se advierte la asistencia de diversos funcionarios públicos a eventos proselitistas en favor de la entonces candidata cuestionada, en el curso de días y horas hábiles, lo cual implicó, el uso indebido de recursos públicos.</w:t>
      </w:r>
    </w:p>
    <w:p w14:paraId="47B03E1D" w14:textId="77777777" w:rsidR="00CA3CF2" w:rsidRDefault="00CA3CF2">
      <w:pPr>
        <w:pBdr>
          <w:top w:val="nil"/>
          <w:left w:val="nil"/>
          <w:bottom w:val="nil"/>
          <w:right w:val="nil"/>
          <w:between w:val="nil"/>
        </w:pBdr>
        <w:rPr>
          <w:color w:val="000000"/>
        </w:rPr>
      </w:pPr>
    </w:p>
    <w:p w14:paraId="4F4BC004" w14:textId="77777777" w:rsidR="00CA3CF2" w:rsidRDefault="00C6513E">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 xml:space="preserve">Las y los servidores públicos, así como las publicaciones cuestionadas, son las siguientes: </w:t>
      </w:r>
    </w:p>
    <w:p w14:paraId="28123F5B" w14:textId="77777777" w:rsidR="00CA3CF2" w:rsidRDefault="00CA3CF2">
      <w:pPr>
        <w:pBdr>
          <w:top w:val="nil"/>
          <w:left w:val="nil"/>
          <w:bottom w:val="nil"/>
          <w:right w:val="nil"/>
          <w:between w:val="nil"/>
        </w:pBdr>
        <w:rPr>
          <w:color w:val="000000"/>
        </w:rPr>
      </w:pPr>
    </w:p>
    <w:tbl>
      <w:tblPr>
        <w:tblStyle w:val="a8"/>
        <w:tblW w:w="9676"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419"/>
        <w:gridCol w:w="2821"/>
        <w:gridCol w:w="4436"/>
      </w:tblGrid>
      <w:tr w:rsidR="00CA3CF2" w14:paraId="6BDACE56" w14:textId="77777777" w:rsidTr="00CA3C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9" w:type="dxa"/>
          </w:tcPr>
          <w:p w14:paraId="5F156118" w14:textId="77777777" w:rsidR="00CA3CF2" w:rsidRDefault="00C6513E">
            <w:pPr>
              <w:tabs>
                <w:tab w:val="left" w:pos="426"/>
              </w:tabs>
              <w:spacing w:line="360" w:lineRule="auto"/>
              <w:ind w:right="36"/>
              <w:jc w:val="center"/>
              <w:rPr>
                <w:rFonts w:ascii="Arial" w:eastAsia="Arial" w:hAnsi="Arial" w:cs="Arial"/>
                <w:sz w:val="24"/>
                <w:szCs w:val="24"/>
                <w:u w:val="single"/>
              </w:rPr>
            </w:pPr>
            <w:r>
              <w:rPr>
                <w:rFonts w:ascii="Arial" w:eastAsia="Arial" w:hAnsi="Arial" w:cs="Arial"/>
                <w:sz w:val="24"/>
                <w:szCs w:val="24"/>
                <w:u w:val="single"/>
              </w:rPr>
              <w:t>Servidor público</w:t>
            </w:r>
          </w:p>
        </w:tc>
        <w:tc>
          <w:tcPr>
            <w:tcW w:w="2821" w:type="dxa"/>
          </w:tcPr>
          <w:p w14:paraId="523ACA28" w14:textId="77777777" w:rsidR="00CA3CF2" w:rsidRDefault="00C6513E">
            <w:pPr>
              <w:tabs>
                <w:tab w:val="left" w:pos="426"/>
              </w:tabs>
              <w:spacing w:line="360" w:lineRule="auto"/>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u w:val="single"/>
              </w:rPr>
            </w:pPr>
            <w:r>
              <w:rPr>
                <w:rFonts w:ascii="Arial" w:eastAsia="Arial" w:hAnsi="Arial" w:cs="Arial"/>
                <w:sz w:val="24"/>
                <w:szCs w:val="24"/>
                <w:u w:val="single"/>
              </w:rPr>
              <w:t>Cargo</w:t>
            </w:r>
          </w:p>
        </w:tc>
        <w:tc>
          <w:tcPr>
            <w:tcW w:w="4436" w:type="dxa"/>
          </w:tcPr>
          <w:p w14:paraId="346A44B6" w14:textId="77777777" w:rsidR="00CA3CF2" w:rsidRDefault="00C6513E">
            <w:pPr>
              <w:tabs>
                <w:tab w:val="left" w:pos="426"/>
              </w:tabs>
              <w:spacing w:line="360" w:lineRule="auto"/>
              <w:ind w:right="36"/>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4"/>
                <w:szCs w:val="24"/>
                <w:u w:val="single"/>
              </w:rPr>
            </w:pPr>
            <w:r>
              <w:rPr>
                <w:rFonts w:ascii="Arial" w:eastAsia="Arial" w:hAnsi="Arial" w:cs="Arial"/>
                <w:sz w:val="24"/>
                <w:szCs w:val="24"/>
                <w:u w:val="single"/>
              </w:rPr>
              <w:t>Fotografía representativa de las publicaciones:</w:t>
            </w:r>
          </w:p>
        </w:tc>
      </w:tr>
      <w:tr w:rsidR="00CA3CF2" w14:paraId="7D76D10A" w14:textId="77777777" w:rsidTr="00CA3C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9" w:type="dxa"/>
          </w:tcPr>
          <w:p w14:paraId="442A9960" w14:textId="77777777" w:rsidR="00CA3CF2" w:rsidRDefault="00C6513E">
            <w:pPr>
              <w:tabs>
                <w:tab w:val="left" w:pos="426"/>
              </w:tabs>
              <w:spacing w:line="360" w:lineRule="auto"/>
              <w:ind w:right="36"/>
              <w:jc w:val="both"/>
              <w:rPr>
                <w:rFonts w:ascii="Arial" w:eastAsia="Arial" w:hAnsi="Arial" w:cs="Arial"/>
                <w:sz w:val="24"/>
                <w:szCs w:val="24"/>
              </w:rPr>
            </w:pPr>
            <w:proofErr w:type="spellStart"/>
            <w:r>
              <w:rPr>
                <w:rFonts w:ascii="Arial" w:eastAsia="Arial" w:hAnsi="Arial" w:cs="Arial"/>
                <w:sz w:val="24"/>
                <w:szCs w:val="24"/>
              </w:rPr>
              <w:t>Yolytzín</w:t>
            </w:r>
            <w:proofErr w:type="spellEnd"/>
            <w:r>
              <w:rPr>
                <w:rFonts w:ascii="Arial" w:eastAsia="Arial" w:hAnsi="Arial" w:cs="Arial"/>
                <w:sz w:val="24"/>
                <w:szCs w:val="24"/>
              </w:rPr>
              <w:t xml:space="preserve"> Alelí Rodríguez </w:t>
            </w:r>
            <w:proofErr w:type="spellStart"/>
            <w:r>
              <w:rPr>
                <w:rFonts w:ascii="Arial" w:eastAsia="Arial" w:hAnsi="Arial" w:cs="Arial"/>
                <w:sz w:val="24"/>
                <w:szCs w:val="24"/>
              </w:rPr>
              <w:t>Sendejas</w:t>
            </w:r>
            <w:proofErr w:type="spellEnd"/>
            <w:r>
              <w:rPr>
                <w:rFonts w:ascii="Arial" w:eastAsia="Arial" w:hAnsi="Arial" w:cs="Arial"/>
                <w:sz w:val="24"/>
                <w:szCs w:val="24"/>
              </w:rPr>
              <w:t xml:space="preserve"> </w:t>
            </w:r>
          </w:p>
        </w:tc>
        <w:tc>
          <w:tcPr>
            <w:tcW w:w="2821" w:type="dxa"/>
          </w:tcPr>
          <w:p w14:paraId="314AD383" w14:textId="77777777" w:rsidR="00CA3CF2" w:rsidRDefault="00C6513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Diputada de la LXV legislatura del Congreso Local</w:t>
            </w:r>
          </w:p>
        </w:tc>
        <w:tc>
          <w:tcPr>
            <w:tcW w:w="4436" w:type="dxa"/>
          </w:tcPr>
          <w:p w14:paraId="1EA1280D" w14:textId="77777777" w:rsidR="00CA3CF2" w:rsidRDefault="00C6513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Publicación 2 y 9:</w:t>
            </w:r>
          </w:p>
          <w:p w14:paraId="278A3DEF" w14:textId="77777777" w:rsidR="00CA3CF2" w:rsidRDefault="00C6513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noProof/>
              </w:rPr>
              <w:drawing>
                <wp:inline distT="0" distB="0" distL="0" distR="0" wp14:anchorId="6077FFE4" wp14:editId="76A0A5DE">
                  <wp:extent cx="2631344" cy="1889572"/>
                  <wp:effectExtent l="0" t="0" r="0" b="0"/>
                  <wp:docPr id="23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8"/>
                          <a:srcRect l="40104" t="23929" r="17122" b="21470"/>
                          <a:stretch>
                            <a:fillRect/>
                          </a:stretch>
                        </pic:blipFill>
                        <pic:spPr>
                          <a:xfrm>
                            <a:off x="0" y="0"/>
                            <a:ext cx="2631344" cy="1889572"/>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0C081FE6" wp14:editId="2EBC83E9">
                      <wp:simplePos x="0" y="0"/>
                      <wp:positionH relativeFrom="column">
                        <wp:posOffset>1104900</wp:posOffset>
                      </wp:positionH>
                      <wp:positionV relativeFrom="paragraph">
                        <wp:posOffset>1104900</wp:posOffset>
                      </wp:positionV>
                      <wp:extent cx="452168" cy="538432"/>
                      <wp:effectExtent l="0" t="0" r="0" b="0"/>
                      <wp:wrapNone/>
                      <wp:docPr id="220" name="Elipse 220"/>
                      <wp:cNvGraphicFramePr/>
                      <a:graphic xmlns:a="http://schemas.openxmlformats.org/drawingml/2006/main">
                        <a:graphicData uri="http://schemas.microsoft.com/office/word/2010/wordprocessingShape">
                          <wps:wsp>
                            <wps:cNvSpPr/>
                            <wps:spPr>
                              <a:xfrm>
                                <a:off x="5138966" y="3529834"/>
                                <a:ext cx="414068" cy="500332"/>
                              </a:xfrm>
                              <a:prstGeom prst="ellipse">
                                <a:avLst/>
                              </a:prstGeom>
                              <a:noFill/>
                              <a:ln w="38100" cap="flat" cmpd="sng">
                                <a:solidFill>
                                  <a:srgbClr val="FF0000"/>
                                </a:solidFill>
                                <a:prstDash val="solid"/>
                                <a:round/>
                                <a:headEnd type="none" w="sm" len="sm"/>
                                <a:tailEnd type="none" w="sm" len="sm"/>
                              </a:ln>
                            </wps:spPr>
                            <wps:txbx>
                              <w:txbxContent>
                                <w:p w14:paraId="2F65095A" w14:textId="77777777" w:rsidR="00CA3CF2" w:rsidRDefault="00CA3CF2">
                                  <w:pPr>
                                    <w:textDirection w:val="btLr"/>
                                  </w:pPr>
                                </w:p>
                              </w:txbxContent>
                            </wps:txbx>
                            <wps:bodyPr spcFirstLastPara="1" wrap="square" lIns="91425" tIns="91425" rIns="91425" bIns="91425" anchor="ctr" anchorCtr="0">
                              <a:noAutofit/>
                            </wps:bodyPr>
                          </wps:wsp>
                        </a:graphicData>
                      </a:graphic>
                    </wp:anchor>
                  </w:drawing>
                </mc:Choice>
                <mc:Fallback>
                  <w:pict>
                    <v:oval w14:anchorId="0C081FE6" id="Elipse 220" o:spid="_x0000_s1026" style="position:absolute;left:0;text-align:left;margin-left:87pt;margin-top:87pt;width:35.6pt;height:42.4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" filled="f" strokecolor="red" strokeweight="3pt">
                      <v:stroke startarrowwidth="narrow" startarrowlength="short" endarrowwidth="narrow" endarrowlength="short"/>
                      <v:textbox inset="2.53958mm,2.53958mm,2.53958mm,2.53958mm">
                        <w:txbxContent>
                          <w:p w14:paraId="2F65095A" w14:textId="77777777" w:rsidR="00CA3CF2" w:rsidRDefault="00CA3CF2">
                            <w:pPr>
                              <w:textDirection w:val="btLr"/>
                            </w:pPr>
                          </w:p>
                        </w:txbxContent>
                      </v:textbox>
                    </v:oval>
                  </w:pict>
                </mc:Fallback>
              </mc:AlternateContent>
            </w:r>
          </w:p>
        </w:tc>
      </w:tr>
      <w:tr w:rsidR="00CA3CF2" w14:paraId="6CABEBDD" w14:textId="77777777" w:rsidTr="00CA3CF2">
        <w:tc>
          <w:tcPr>
            <w:cnfStyle w:val="001000000000" w:firstRow="0" w:lastRow="0" w:firstColumn="1" w:lastColumn="0" w:oddVBand="0" w:evenVBand="0" w:oddHBand="0" w:evenHBand="0" w:firstRowFirstColumn="0" w:firstRowLastColumn="0" w:lastRowFirstColumn="0" w:lastRowLastColumn="0"/>
            <w:tcW w:w="2419" w:type="dxa"/>
          </w:tcPr>
          <w:p w14:paraId="523E56F5" w14:textId="77777777" w:rsidR="00CA3CF2" w:rsidRDefault="00C6513E">
            <w:pP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María Guadalupe Arellano Espinosa</w:t>
            </w:r>
          </w:p>
        </w:tc>
        <w:tc>
          <w:tcPr>
            <w:tcW w:w="2821" w:type="dxa"/>
          </w:tcPr>
          <w:p w14:paraId="3C9AC541" w14:textId="77777777" w:rsidR="00CA3CF2" w:rsidRDefault="00C6513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Regidora del Ayuntamiento de Aguascalientes 2021-2024</w:t>
            </w:r>
          </w:p>
        </w:tc>
        <w:tc>
          <w:tcPr>
            <w:tcW w:w="4436" w:type="dxa"/>
          </w:tcPr>
          <w:p w14:paraId="188E16B2" w14:textId="77777777" w:rsidR="00CA3CF2" w:rsidRDefault="00C6513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Publicación 7:</w:t>
            </w:r>
          </w:p>
          <w:p w14:paraId="1E097A77" w14:textId="77777777" w:rsidR="00CA3CF2" w:rsidRDefault="00C6513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noProof/>
              </w:rPr>
              <w:drawing>
                <wp:inline distT="0" distB="0" distL="0" distR="0" wp14:anchorId="111D54D1" wp14:editId="2D4BA13B">
                  <wp:extent cx="2614240" cy="1734199"/>
                  <wp:effectExtent l="0" t="0" r="0" b="0"/>
                  <wp:docPr id="2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l="39964" t="27420" r="17540" b="22469"/>
                          <a:stretch>
                            <a:fillRect/>
                          </a:stretch>
                        </pic:blipFill>
                        <pic:spPr>
                          <a:xfrm>
                            <a:off x="0" y="0"/>
                            <a:ext cx="2614240" cy="1734199"/>
                          </a:xfrm>
                          <a:prstGeom prst="rect">
                            <a:avLst/>
                          </a:prstGeom>
                          <a:ln/>
                        </pic:spPr>
                      </pic:pic>
                    </a:graphicData>
                  </a:graphic>
                </wp:inline>
              </w:drawing>
            </w:r>
            <w:r>
              <w:rPr>
                <w:noProof/>
              </w:rPr>
              <mc:AlternateContent>
                <mc:Choice Requires="wps">
                  <w:drawing>
                    <wp:anchor distT="0" distB="0" distL="114300" distR="114300" simplePos="0" relativeHeight="251659264" behindDoc="0" locked="0" layoutInCell="1" hidden="0" allowOverlap="1" wp14:anchorId="49751CF7" wp14:editId="2CE502FA">
                      <wp:simplePos x="0" y="0"/>
                      <wp:positionH relativeFrom="column">
                        <wp:posOffset>25401</wp:posOffset>
                      </wp:positionH>
                      <wp:positionV relativeFrom="paragraph">
                        <wp:posOffset>419100</wp:posOffset>
                      </wp:positionV>
                      <wp:extent cx="565749" cy="593641"/>
                      <wp:effectExtent l="0" t="0" r="0" b="0"/>
                      <wp:wrapNone/>
                      <wp:docPr id="234" name="Elipse 234"/>
                      <wp:cNvGraphicFramePr/>
                      <a:graphic xmlns:a="http://schemas.openxmlformats.org/drawingml/2006/main">
                        <a:graphicData uri="http://schemas.microsoft.com/office/word/2010/wordprocessingShape">
                          <wps:wsp>
                            <wps:cNvSpPr/>
                            <wps:spPr>
                              <a:xfrm>
                                <a:off x="5082176" y="3502230"/>
                                <a:ext cx="527649" cy="555541"/>
                              </a:xfrm>
                              <a:prstGeom prst="ellipse">
                                <a:avLst/>
                              </a:prstGeom>
                              <a:noFill/>
                              <a:ln w="38100" cap="flat" cmpd="sng">
                                <a:solidFill>
                                  <a:srgbClr val="FF0000"/>
                                </a:solidFill>
                                <a:prstDash val="solid"/>
                                <a:round/>
                                <a:headEnd type="none" w="sm" len="sm"/>
                                <a:tailEnd type="none" w="sm" len="sm"/>
                              </a:ln>
                            </wps:spPr>
                            <wps:txbx>
                              <w:txbxContent>
                                <w:p w14:paraId="5F2262F4" w14:textId="77777777" w:rsidR="00CA3CF2" w:rsidRDefault="00CA3CF2">
                                  <w:pPr>
                                    <w:textDirection w:val="btLr"/>
                                  </w:pPr>
                                </w:p>
                              </w:txbxContent>
                            </wps:txbx>
                            <wps:bodyPr spcFirstLastPara="1" wrap="square" lIns="91425" tIns="91425" rIns="91425" bIns="91425" anchor="ctr" anchorCtr="0">
                              <a:noAutofit/>
                            </wps:bodyPr>
                          </wps:wsp>
                        </a:graphicData>
                      </a:graphic>
                    </wp:anchor>
                  </w:drawing>
                </mc:Choice>
                <mc:Fallback>
                  <w:pict>
                    <v:oval w14:anchorId="49751CF7" id="Elipse 234" o:spid="_x0000_s1027" style="position:absolute;left:0;text-align:left;margin-left:2pt;margin-top:33pt;width:44.55pt;height:46.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" filled="f" strokecolor="red" strokeweight="3pt">
                      <v:stroke startarrowwidth="narrow" startarrowlength="short" endarrowwidth="narrow" endarrowlength="short"/>
                      <v:textbox inset="2.53958mm,2.53958mm,2.53958mm,2.53958mm">
                        <w:txbxContent>
                          <w:p w14:paraId="5F2262F4" w14:textId="77777777" w:rsidR="00CA3CF2" w:rsidRDefault="00CA3CF2">
                            <w:pPr>
                              <w:textDirection w:val="btLr"/>
                            </w:pPr>
                          </w:p>
                        </w:txbxContent>
                      </v:textbox>
                    </v:oval>
                  </w:pict>
                </mc:Fallback>
              </mc:AlternateContent>
            </w:r>
          </w:p>
        </w:tc>
      </w:tr>
      <w:tr w:rsidR="00CA3CF2" w14:paraId="0FDE846D" w14:textId="77777777" w:rsidTr="00CA3C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9" w:type="dxa"/>
            <w:vMerge w:val="restart"/>
          </w:tcPr>
          <w:p w14:paraId="1A8465D0" w14:textId="77777777" w:rsidR="00CA3CF2" w:rsidRDefault="00C6513E">
            <w:pPr>
              <w:tabs>
                <w:tab w:val="left" w:pos="426"/>
              </w:tabs>
              <w:spacing w:line="360" w:lineRule="auto"/>
              <w:ind w:right="36"/>
              <w:jc w:val="both"/>
              <w:rPr>
                <w:rFonts w:ascii="Arial" w:eastAsia="Arial" w:hAnsi="Arial" w:cs="Arial"/>
                <w:sz w:val="24"/>
                <w:szCs w:val="24"/>
              </w:rPr>
            </w:pPr>
            <w:r>
              <w:rPr>
                <w:rFonts w:ascii="Arial" w:eastAsia="Arial" w:hAnsi="Arial" w:cs="Arial"/>
                <w:sz w:val="24"/>
                <w:szCs w:val="24"/>
              </w:rPr>
              <w:t>Gustavo Adolfo Granados Corzo</w:t>
            </w:r>
          </w:p>
        </w:tc>
        <w:tc>
          <w:tcPr>
            <w:tcW w:w="2821" w:type="dxa"/>
            <w:vMerge w:val="restart"/>
          </w:tcPr>
          <w:p w14:paraId="64429F06" w14:textId="77777777" w:rsidR="00CA3CF2" w:rsidRDefault="00C6513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Regidor del Ayuntamiento de Aguascalientes 2021-2024</w:t>
            </w:r>
          </w:p>
        </w:tc>
        <w:tc>
          <w:tcPr>
            <w:tcW w:w="4436" w:type="dxa"/>
          </w:tcPr>
          <w:p w14:paraId="6ADB8770" w14:textId="77777777" w:rsidR="00CA3CF2" w:rsidRDefault="00C6513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Publicación 1:</w:t>
            </w:r>
          </w:p>
          <w:p w14:paraId="02E7C0DD" w14:textId="77777777" w:rsidR="00CA3CF2" w:rsidRDefault="00C6513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noProof/>
              </w:rPr>
              <w:drawing>
                <wp:inline distT="0" distB="0" distL="0" distR="0" wp14:anchorId="68B00317" wp14:editId="43737421">
                  <wp:extent cx="2631497" cy="1760083"/>
                  <wp:effectExtent l="0" t="0" r="0" b="0"/>
                  <wp:docPr id="23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39683" t="27419" r="17540" b="21722"/>
                          <a:stretch>
                            <a:fillRect/>
                          </a:stretch>
                        </pic:blipFill>
                        <pic:spPr>
                          <a:xfrm>
                            <a:off x="0" y="0"/>
                            <a:ext cx="2631497" cy="1760083"/>
                          </a:xfrm>
                          <a:prstGeom prst="rect">
                            <a:avLst/>
                          </a:prstGeom>
                          <a:ln/>
                        </pic:spPr>
                      </pic:pic>
                    </a:graphicData>
                  </a:graphic>
                </wp:inline>
              </w:drawing>
            </w:r>
            <w:r>
              <w:rPr>
                <w:noProof/>
              </w:rPr>
              <mc:AlternateContent>
                <mc:Choice Requires="wps">
                  <w:drawing>
                    <wp:anchor distT="0" distB="0" distL="114300" distR="114300" simplePos="0" relativeHeight="251660288" behindDoc="0" locked="0" layoutInCell="1" hidden="0" allowOverlap="1" wp14:anchorId="3F3AE99C" wp14:editId="5220D46C">
                      <wp:simplePos x="0" y="0"/>
                      <wp:positionH relativeFrom="column">
                        <wp:posOffset>368300</wp:posOffset>
                      </wp:positionH>
                      <wp:positionV relativeFrom="paragraph">
                        <wp:posOffset>520700</wp:posOffset>
                      </wp:positionV>
                      <wp:extent cx="322772" cy="348651"/>
                      <wp:effectExtent l="0" t="0" r="0" b="0"/>
                      <wp:wrapNone/>
                      <wp:docPr id="228" name="Elipse 228"/>
                      <wp:cNvGraphicFramePr/>
                      <a:graphic xmlns:a="http://schemas.openxmlformats.org/drawingml/2006/main">
                        <a:graphicData uri="http://schemas.microsoft.com/office/word/2010/wordprocessingShape">
                          <wps:wsp>
                            <wps:cNvSpPr/>
                            <wps:spPr>
                              <a:xfrm>
                                <a:off x="5203664" y="3624725"/>
                                <a:ext cx="284672" cy="310551"/>
                              </a:xfrm>
                              <a:prstGeom prst="ellipse">
                                <a:avLst/>
                              </a:prstGeom>
                              <a:noFill/>
                              <a:ln w="38100" cap="flat" cmpd="sng">
                                <a:solidFill>
                                  <a:srgbClr val="FF0000"/>
                                </a:solidFill>
                                <a:prstDash val="solid"/>
                                <a:round/>
                                <a:headEnd type="none" w="sm" len="sm"/>
                                <a:tailEnd type="none" w="sm" len="sm"/>
                              </a:ln>
                            </wps:spPr>
                            <wps:txbx>
                              <w:txbxContent>
                                <w:p w14:paraId="043613B6" w14:textId="77777777" w:rsidR="00CA3CF2" w:rsidRDefault="00CA3CF2">
                                  <w:pPr>
                                    <w:textDirection w:val="btLr"/>
                                  </w:pPr>
                                </w:p>
                              </w:txbxContent>
                            </wps:txbx>
                            <wps:bodyPr spcFirstLastPara="1" wrap="square" lIns="91425" tIns="91425" rIns="91425" bIns="91425" anchor="ctr" anchorCtr="0">
                              <a:noAutofit/>
                            </wps:bodyPr>
                          </wps:wsp>
                        </a:graphicData>
                      </a:graphic>
                    </wp:anchor>
                  </w:drawing>
                </mc:Choice>
                <mc:Fallback>
                  <w:pict>
                    <v:oval w14:anchorId="3F3AE99C" id="Elipse 228" o:spid="_x0000_s1028" style="position:absolute;left:0;text-align:left;margin-left:29pt;margin-top:41pt;width:25.4pt;height:27.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" filled="f" strokecolor="red" strokeweight="3pt">
                      <v:stroke startarrowwidth="narrow" startarrowlength="short" endarrowwidth="narrow" endarrowlength="short"/>
                      <v:textbox inset="2.53958mm,2.53958mm,2.53958mm,2.53958mm">
                        <w:txbxContent>
                          <w:p w14:paraId="043613B6" w14:textId="77777777" w:rsidR="00CA3CF2" w:rsidRDefault="00CA3CF2">
                            <w:pPr>
                              <w:textDirection w:val="btLr"/>
                            </w:pPr>
                          </w:p>
                        </w:txbxContent>
                      </v:textbox>
                    </v:oval>
                  </w:pict>
                </mc:Fallback>
              </mc:AlternateContent>
            </w:r>
          </w:p>
        </w:tc>
      </w:tr>
      <w:tr w:rsidR="00CA3CF2" w14:paraId="346AA34E" w14:textId="77777777" w:rsidTr="00CA3CF2">
        <w:tc>
          <w:tcPr>
            <w:cnfStyle w:val="001000000000" w:firstRow="0" w:lastRow="0" w:firstColumn="1" w:lastColumn="0" w:oddVBand="0" w:evenVBand="0" w:oddHBand="0" w:evenHBand="0" w:firstRowFirstColumn="0" w:firstRowLastColumn="0" w:lastRowFirstColumn="0" w:lastRowLastColumn="0"/>
            <w:tcW w:w="2419" w:type="dxa"/>
            <w:vMerge/>
          </w:tcPr>
          <w:p w14:paraId="668B0E88" w14:textId="77777777" w:rsidR="00CA3CF2" w:rsidRDefault="00CA3CF2">
            <w:pPr>
              <w:widowControl w:val="0"/>
              <w:pBdr>
                <w:top w:val="nil"/>
                <w:left w:val="nil"/>
                <w:bottom w:val="nil"/>
                <w:right w:val="nil"/>
                <w:between w:val="nil"/>
              </w:pBdr>
              <w:spacing w:line="276" w:lineRule="auto"/>
              <w:rPr>
                <w:rFonts w:ascii="Arial" w:eastAsia="Arial" w:hAnsi="Arial" w:cs="Arial"/>
                <w:sz w:val="24"/>
                <w:szCs w:val="24"/>
              </w:rPr>
            </w:pPr>
          </w:p>
        </w:tc>
        <w:tc>
          <w:tcPr>
            <w:tcW w:w="2821" w:type="dxa"/>
            <w:vMerge/>
          </w:tcPr>
          <w:p w14:paraId="7FB96C71" w14:textId="77777777" w:rsidR="00CA3CF2" w:rsidRDefault="00CA3CF2">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4436" w:type="dxa"/>
          </w:tcPr>
          <w:p w14:paraId="0782209E" w14:textId="77777777" w:rsidR="00CA3CF2" w:rsidRDefault="00C6513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Publicación 3:</w:t>
            </w:r>
          </w:p>
          <w:p w14:paraId="262A00BA" w14:textId="77777777" w:rsidR="00CA3CF2" w:rsidRDefault="00C6513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noProof/>
              </w:rPr>
              <w:lastRenderedPageBreak/>
              <w:drawing>
                <wp:inline distT="0" distB="0" distL="0" distR="0" wp14:anchorId="50820967" wp14:editId="27AF89EA">
                  <wp:extent cx="2640086" cy="1760056"/>
                  <wp:effectExtent l="0" t="0" r="0" b="0"/>
                  <wp:docPr id="23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l="39824" t="27918" r="17260" b="21224"/>
                          <a:stretch>
                            <a:fillRect/>
                          </a:stretch>
                        </pic:blipFill>
                        <pic:spPr>
                          <a:xfrm>
                            <a:off x="0" y="0"/>
                            <a:ext cx="2640086" cy="1760056"/>
                          </a:xfrm>
                          <a:prstGeom prst="rect">
                            <a:avLst/>
                          </a:prstGeom>
                          <a:ln/>
                        </pic:spPr>
                      </pic:pic>
                    </a:graphicData>
                  </a:graphic>
                </wp:inline>
              </w:drawing>
            </w:r>
            <w:r>
              <w:rPr>
                <w:noProof/>
              </w:rPr>
              <mc:AlternateContent>
                <mc:Choice Requires="wps">
                  <w:drawing>
                    <wp:anchor distT="0" distB="0" distL="114300" distR="114300" simplePos="0" relativeHeight="251661312" behindDoc="0" locked="0" layoutInCell="1" hidden="0" allowOverlap="1" wp14:anchorId="144A9327" wp14:editId="0BFBFB0A">
                      <wp:simplePos x="0" y="0"/>
                      <wp:positionH relativeFrom="column">
                        <wp:posOffset>1993900</wp:posOffset>
                      </wp:positionH>
                      <wp:positionV relativeFrom="paragraph">
                        <wp:posOffset>63500</wp:posOffset>
                      </wp:positionV>
                      <wp:extent cx="710961" cy="831730"/>
                      <wp:effectExtent l="0" t="0" r="0" b="0"/>
                      <wp:wrapNone/>
                      <wp:docPr id="233" name="Elipse 233"/>
                      <wp:cNvGraphicFramePr/>
                      <a:graphic xmlns:a="http://schemas.openxmlformats.org/drawingml/2006/main">
                        <a:graphicData uri="http://schemas.microsoft.com/office/word/2010/wordprocessingShape">
                          <wps:wsp>
                            <wps:cNvSpPr/>
                            <wps:spPr>
                              <a:xfrm>
                                <a:off x="5009570" y="3383185"/>
                                <a:ext cx="672861" cy="793630"/>
                              </a:xfrm>
                              <a:prstGeom prst="ellipse">
                                <a:avLst/>
                              </a:prstGeom>
                              <a:noFill/>
                              <a:ln w="38100" cap="flat" cmpd="sng">
                                <a:solidFill>
                                  <a:srgbClr val="FF0000"/>
                                </a:solidFill>
                                <a:prstDash val="solid"/>
                                <a:round/>
                                <a:headEnd type="none" w="sm" len="sm"/>
                                <a:tailEnd type="none" w="sm" len="sm"/>
                              </a:ln>
                            </wps:spPr>
                            <wps:txbx>
                              <w:txbxContent>
                                <w:p w14:paraId="51B2FB04" w14:textId="77777777" w:rsidR="00CA3CF2" w:rsidRDefault="00CA3CF2">
                                  <w:pPr>
                                    <w:textDirection w:val="btLr"/>
                                  </w:pPr>
                                </w:p>
                              </w:txbxContent>
                            </wps:txbx>
                            <wps:bodyPr spcFirstLastPara="1" wrap="square" lIns="91425" tIns="91425" rIns="91425" bIns="91425" anchor="ctr" anchorCtr="0">
                              <a:noAutofit/>
                            </wps:bodyPr>
                          </wps:wsp>
                        </a:graphicData>
                      </a:graphic>
                    </wp:anchor>
                  </w:drawing>
                </mc:Choice>
                <mc:Fallback>
                  <w:pict>
                    <v:oval w14:anchorId="144A9327" id="Elipse 233" o:spid="_x0000_s1029" style="position:absolute;left:0;text-align:left;margin-left:157pt;margin-top:5pt;width:56pt;height:6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" filled="f" strokecolor="red" strokeweight="3pt">
                      <v:stroke startarrowwidth="narrow" startarrowlength="short" endarrowwidth="narrow" endarrowlength="short"/>
                      <v:textbox inset="2.53958mm,2.53958mm,2.53958mm,2.53958mm">
                        <w:txbxContent>
                          <w:p w14:paraId="51B2FB04" w14:textId="77777777" w:rsidR="00CA3CF2" w:rsidRDefault="00CA3CF2">
                            <w:pPr>
                              <w:textDirection w:val="btLr"/>
                            </w:pPr>
                          </w:p>
                        </w:txbxContent>
                      </v:textbox>
                    </v:oval>
                  </w:pict>
                </mc:Fallback>
              </mc:AlternateContent>
            </w:r>
          </w:p>
        </w:tc>
      </w:tr>
      <w:tr w:rsidR="00CA3CF2" w14:paraId="61667197" w14:textId="77777777" w:rsidTr="00CA3C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9" w:type="dxa"/>
            <w:vMerge/>
          </w:tcPr>
          <w:p w14:paraId="7A07C8F7" w14:textId="77777777" w:rsidR="00CA3CF2" w:rsidRDefault="00CA3CF2">
            <w:pPr>
              <w:widowControl w:val="0"/>
              <w:pBdr>
                <w:top w:val="nil"/>
                <w:left w:val="nil"/>
                <w:bottom w:val="nil"/>
                <w:right w:val="nil"/>
                <w:between w:val="nil"/>
              </w:pBdr>
              <w:spacing w:line="276" w:lineRule="auto"/>
              <w:rPr>
                <w:rFonts w:ascii="Arial" w:eastAsia="Arial" w:hAnsi="Arial" w:cs="Arial"/>
                <w:sz w:val="24"/>
                <w:szCs w:val="24"/>
              </w:rPr>
            </w:pPr>
          </w:p>
        </w:tc>
        <w:tc>
          <w:tcPr>
            <w:tcW w:w="2821" w:type="dxa"/>
            <w:vMerge/>
          </w:tcPr>
          <w:p w14:paraId="17B59F93" w14:textId="77777777" w:rsidR="00CA3CF2" w:rsidRDefault="00CA3CF2">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p>
        </w:tc>
        <w:tc>
          <w:tcPr>
            <w:tcW w:w="4436" w:type="dxa"/>
          </w:tcPr>
          <w:p w14:paraId="2DB776FC" w14:textId="77777777" w:rsidR="00CA3CF2" w:rsidRDefault="00C6513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Publicación 5:</w:t>
            </w:r>
          </w:p>
          <w:p w14:paraId="725C7E4E" w14:textId="77777777" w:rsidR="00CA3CF2" w:rsidRDefault="00C6513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noProof/>
              </w:rPr>
              <w:drawing>
                <wp:inline distT="0" distB="0" distL="0" distR="0" wp14:anchorId="5CDA6721" wp14:editId="41B3352E">
                  <wp:extent cx="2631219" cy="1742642"/>
                  <wp:effectExtent l="0" t="0" r="0" b="0"/>
                  <wp:docPr id="2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l="39964" t="27170" r="17264" b="22475"/>
                          <a:stretch>
                            <a:fillRect/>
                          </a:stretch>
                        </pic:blipFill>
                        <pic:spPr>
                          <a:xfrm>
                            <a:off x="0" y="0"/>
                            <a:ext cx="2631219" cy="1742642"/>
                          </a:xfrm>
                          <a:prstGeom prst="rect">
                            <a:avLst/>
                          </a:prstGeom>
                          <a:ln/>
                        </pic:spPr>
                      </pic:pic>
                    </a:graphicData>
                  </a:graphic>
                </wp:inline>
              </w:drawing>
            </w:r>
            <w:r>
              <w:rPr>
                <w:noProof/>
              </w:rPr>
              <mc:AlternateContent>
                <mc:Choice Requires="wps">
                  <w:drawing>
                    <wp:anchor distT="0" distB="0" distL="114300" distR="114300" simplePos="0" relativeHeight="251662336" behindDoc="0" locked="0" layoutInCell="1" hidden="0" allowOverlap="1" wp14:anchorId="130BF789" wp14:editId="4D2403BB">
                      <wp:simplePos x="0" y="0"/>
                      <wp:positionH relativeFrom="column">
                        <wp:posOffset>1371600</wp:posOffset>
                      </wp:positionH>
                      <wp:positionV relativeFrom="paragraph">
                        <wp:posOffset>850900</wp:posOffset>
                      </wp:positionV>
                      <wp:extent cx="365904" cy="443541"/>
                      <wp:effectExtent l="0" t="0" r="0" b="0"/>
                      <wp:wrapNone/>
                      <wp:docPr id="224" name="Elipse 224"/>
                      <wp:cNvGraphicFramePr/>
                      <a:graphic xmlns:a="http://schemas.openxmlformats.org/drawingml/2006/main">
                        <a:graphicData uri="http://schemas.microsoft.com/office/word/2010/wordprocessingShape">
                          <wps:wsp>
                            <wps:cNvSpPr/>
                            <wps:spPr>
                              <a:xfrm>
                                <a:off x="5182098" y="3577280"/>
                                <a:ext cx="327804" cy="405441"/>
                              </a:xfrm>
                              <a:prstGeom prst="ellipse">
                                <a:avLst/>
                              </a:prstGeom>
                              <a:noFill/>
                              <a:ln w="38100" cap="flat" cmpd="sng">
                                <a:solidFill>
                                  <a:srgbClr val="FF0000"/>
                                </a:solidFill>
                                <a:prstDash val="solid"/>
                                <a:round/>
                                <a:headEnd type="none" w="sm" len="sm"/>
                                <a:tailEnd type="none" w="sm" len="sm"/>
                              </a:ln>
                            </wps:spPr>
                            <wps:txbx>
                              <w:txbxContent>
                                <w:p w14:paraId="7CE2BD68" w14:textId="77777777" w:rsidR="00CA3CF2" w:rsidRDefault="00CA3CF2">
                                  <w:pPr>
                                    <w:textDirection w:val="btLr"/>
                                  </w:pPr>
                                </w:p>
                              </w:txbxContent>
                            </wps:txbx>
                            <wps:bodyPr spcFirstLastPara="1" wrap="square" lIns="91425" tIns="91425" rIns="91425" bIns="91425" anchor="ctr" anchorCtr="0">
                              <a:noAutofit/>
                            </wps:bodyPr>
                          </wps:wsp>
                        </a:graphicData>
                      </a:graphic>
                    </wp:anchor>
                  </w:drawing>
                </mc:Choice>
                <mc:Fallback>
                  <w:pict>
                    <v:oval w14:anchorId="130BF789" id="Elipse 224" o:spid="_x0000_s1030" style="position:absolute;left:0;text-align:left;margin-left:108pt;margin-top:67pt;width:28.8pt;height:34.9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" filled="f" strokecolor="red" strokeweight="3pt">
                      <v:stroke startarrowwidth="narrow" startarrowlength="short" endarrowwidth="narrow" endarrowlength="short"/>
                      <v:textbox inset="2.53958mm,2.53958mm,2.53958mm,2.53958mm">
                        <w:txbxContent>
                          <w:p w14:paraId="7CE2BD68" w14:textId="77777777" w:rsidR="00CA3CF2" w:rsidRDefault="00CA3CF2">
                            <w:pPr>
                              <w:textDirection w:val="btLr"/>
                            </w:pPr>
                          </w:p>
                        </w:txbxContent>
                      </v:textbox>
                    </v:oval>
                  </w:pict>
                </mc:Fallback>
              </mc:AlternateContent>
            </w:r>
          </w:p>
        </w:tc>
      </w:tr>
      <w:tr w:rsidR="00CA3CF2" w14:paraId="4054A24F" w14:textId="77777777" w:rsidTr="00CA3CF2">
        <w:tc>
          <w:tcPr>
            <w:cnfStyle w:val="001000000000" w:firstRow="0" w:lastRow="0" w:firstColumn="1" w:lastColumn="0" w:oddVBand="0" w:evenVBand="0" w:oddHBand="0" w:evenHBand="0" w:firstRowFirstColumn="0" w:firstRowLastColumn="0" w:lastRowFirstColumn="0" w:lastRowLastColumn="0"/>
            <w:tcW w:w="2419" w:type="dxa"/>
            <w:vMerge/>
          </w:tcPr>
          <w:p w14:paraId="3220A66B" w14:textId="77777777" w:rsidR="00CA3CF2" w:rsidRDefault="00CA3CF2">
            <w:pPr>
              <w:widowControl w:val="0"/>
              <w:pBdr>
                <w:top w:val="nil"/>
                <w:left w:val="nil"/>
                <w:bottom w:val="nil"/>
                <w:right w:val="nil"/>
                <w:between w:val="nil"/>
              </w:pBdr>
              <w:spacing w:line="276" w:lineRule="auto"/>
              <w:rPr>
                <w:rFonts w:ascii="Arial" w:eastAsia="Arial" w:hAnsi="Arial" w:cs="Arial"/>
                <w:sz w:val="24"/>
                <w:szCs w:val="24"/>
              </w:rPr>
            </w:pPr>
          </w:p>
        </w:tc>
        <w:tc>
          <w:tcPr>
            <w:tcW w:w="2821" w:type="dxa"/>
            <w:vMerge/>
          </w:tcPr>
          <w:p w14:paraId="299D1450" w14:textId="77777777" w:rsidR="00CA3CF2" w:rsidRDefault="00CA3CF2">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p>
        </w:tc>
        <w:tc>
          <w:tcPr>
            <w:tcW w:w="4436" w:type="dxa"/>
          </w:tcPr>
          <w:p w14:paraId="0A2118CF" w14:textId="77777777" w:rsidR="00CA3CF2" w:rsidRDefault="00C6513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 xml:space="preserve">Publicación 6: </w:t>
            </w:r>
          </w:p>
          <w:p w14:paraId="32C16536" w14:textId="77777777" w:rsidR="00CA3CF2" w:rsidRDefault="00C6513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noProof/>
              </w:rPr>
              <w:drawing>
                <wp:inline distT="0" distB="0" distL="0" distR="0" wp14:anchorId="79B00947" wp14:editId="7160DBA8">
                  <wp:extent cx="2631244" cy="1760082"/>
                  <wp:effectExtent l="0" t="0" r="0" b="0"/>
                  <wp:docPr id="24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l="39964" t="27419" r="17264" b="21722"/>
                          <a:stretch>
                            <a:fillRect/>
                          </a:stretch>
                        </pic:blipFill>
                        <pic:spPr>
                          <a:xfrm>
                            <a:off x="0" y="0"/>
                            <a:ext cx="2631244" cy="1760082"/>
                          </a:xfrm>
                          <a:prstGeom prst="rect">
                            <a:avLst/>
                          </a:prstGeom>
                          <a:ln/>
                        </pic:spPr>
                      </pic:pic>
                    </a:graphicData>
                  </a:graphic>
                </wp:inline>
              </w:drawing>
            </w:r>
            <w:r>
              <w:rPr>
                <w:noProof/>
              </w:rPr>
              <mc:AlternateContent>
                <mc:Choice Requires="wps">
                  <w:drawing>
                    <wp:anchor distT="0" distB="0" distL="114300" distR="114300" simplePos="0" relativeHeight="251663360" behindDoc="0" locked="0" layoutInCell="1" hidden="0" allowOverlap="1" wp14:anchorId="2BD7A768" wp14:editId="0B3DFF80">
                      <wp:simplePos x="0" y="0"/>
                      <wp:positionH relativeFrom="column">
                        <wp:posOffset>2235200</wp:posOffset>
                      </wp:positionH>
                      <wp:positionV relativeFrom="paragraph">
                        <wp:posOffset>165100</wp:posOffset>
                      </wp:positionV>
                      <wp:extent cx="512552" cy="624696"/>
                      <wp:effectExtent l="0" t="0" r="0" b="0"/>
                      <wp:wrapNone/>
                      <wp:docPr id="219" name="Elipse 219"/>
                      <wp:cNvGraphicFramePr/>
                      <a:graphic xmlns:a="http://schemas.openxmlformats.org/drawingml/2006/main">
                        <a:graphicData uri="http://schemas.microsoft.com/office/word/2010/wordprocessingShape">
                          <wps:wsp>
                            <wps:cNvSpPr/>
                            <wps:spPr>
                              <a:xfrm>
                                <a:off x="5108774" y="3486702"/>
                                <a:ext cx="474452" cy="586596"/>
                              </a:xfrm>
                              <a:prstGeom prst="ellipse">
                                <a:avLst/>
                              </a:prstGeom>
                              <a:noFill/>
                              <a:ln w="38100" cap="flat" cmpd="sng">
                                <a:solidFill>
                                  <a:srgbClr val="FF0000"/>
                                </a:solidFill>
                                <a:prstDash val="solid"/>
                                <a:round/>
                                <a:headEnd type="none" w="sm" len="sm"/>
                                <a:tailEnd type="none" w="sm" len="sm"/>
                              </a:ln>
                            </wps:spPr>
                            <wps:txbx>
                              <w:txbxContent>
                                <w:p w14:paraId="25F7E143" w14:textId="77777777" w:rsidR="00CA3CF2" w:rsidRDefault="00CA3CF2">
                                  <w:pPr>
                                    <w:textDirection w:val="btLr"/>
                                  </w:pPr>
                                </w:p>
                              </w:txbxContent>
                            </wps:txbx>
                            <wps:bodyPr spcFirstLastPara="1" wrap="square" lIns="91425" tIns="91425" rIns="91425" bIns="91425" anchor="ctr" anchorCtr="0">
                              <a:noAutofit/>
                            </wps:bodyPr>
                          </wps:wsp>
                        </a:graphicData>
                      </a:graphic>
                    </wp:anchor>
                  </w:drawing>
                </mc:Choice>
                <mc:Fallback>
                  <w:pict>
                    <v:oval w14:anchorId="2BD7A768" id="Elipse 219" o:spid="_x0000_s1031" style="position:absolute;left:0;text-align:left;margin-left:176pt;margin-top:13pt;width:40.35pt;height:49.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" filled="f" strokecolor="red" strokeweight="3pt">
                      <v:stroke startarrowwidth="narrow" startarrowlength="short" endarrowwidth="narrow" endarrowlength="short"/>
                      <v:textbox inset="2.53958mm,2.53958mm,2.53958mm,2.53958mm">
                        <w:txbxContent>
                          <w:p w14:paraId="25F7E143" w14:textId="77777777" w:rsidR="00CA3CF2" w:rsidRDefault="00CA3CF2">
                            <w:pPr>
                              <w:textDirection w:val="btLr"/>
                            </w:pPr>
                          </w:p>
                        </w:txbxContent>
                      </v:textbox>
                    </v:oval>
                  </w:pict>
                </mc:Fallback>
              </mc:AlternateContent>
            </w:r>
          </w:p>
        </w:tc>
      </w:tr>
      <w:tr w:rsidR="00CA3CF2" w14:paraId="75F6A7F4" w14:textId="77777777" w:rsidTr="00CA3C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6" w:type="dxa"/>
            <w:gridSpan w:val="3"/>
            <w:shd w:val="clear" w:color="auto" w:fill="000000"/>
          </w:tcPr>
          <w:p w14:paraId="09E37470" w14:textId="77777777" w:rsidR="00CA3CF2" w:rsidRDefault="00C6513E">
            <w:pPr>
              <w:tabs>
                <w:tab w:val="left" w:pos="426"/>
              </w:tabs>
              <w:spacing w:line="360" w:lineRule="auto"/>
              <w:ind w:right="36"/>
              <w:jc w:val="center"/>
              <w:rPr>
                <w:rFonts w:ascii="Arial" w:eastAsia="Arial" w:hAnsi="Arial" w:cs="Arial"/>
                <w:sz w:val="24"/>
                <w:szCs w:val="24"/>
                <w:u w:val="single"/>
              </w:rPr>
            </w:pPr>
            <w:r>
              <w:rPr>
                <w:rFonts w:ascii="Arial" w:eastAsia="Arial" w:hAnsi="Arial" w:cs="Arial"/>
                <w:sz w:val="24"/>
                <w:szCs w:val="24"/>
                <w:u w:val="single"/>
              </w:rPr>
              <w:t>Aparición conjunta</w:t>
            </w:r>
          </w:p>
        </w:tc>
      </w:tr>
      <w:tr w:rsidR="00CA3CF2" w14:paraId="26FCE291" w14:textId="77777777" w:rsidTr="00CA3CF2">
        <w:tc>
          <w:tcPr>
            <w:cnfStyle w:val="001000000000" w:firstRow="0" w:lastRow="0" w:firstColumn="1" w:lastColumn="0" w:oddVBand="0" w:evenVBand="0" w:oddHBand="0" w:evenHBand="0" w:firstRowFirstColumn="0" w:firstRowLastColumn="0" w:lastRowFirstColumn="0" w:lastRowLastColumn="0"/>
            <w:tcW w:w="5240" w:type="dxa"/>
            <w:gridSpan w:val="2"/>
          </w:tcPr>
          <w:p w14:paraId="12962F7C" w14:textId="77777777" w:rsidR="00CA3CF2" w:rsidRDefault="00C6513E">
            <w:pPr>
              <w:numPr>
                <w:ilvl w:val="0"/>
                <w:numId w:val="8"/>
              </w:numPr>
              <w:pBdr>
                <w:top w:val="nil"/>
                <w:left w:val="nil"/>
                <w:bottom w:val="nil"/>
                <w:right w:val="nil"/>
                <w:between w:val="nil"/>
              </w:pBdr>
              <w:tabs>
                <w:tab w:val="left" w:pos="426"/>
              </w:tabs>
              <w:spacing w:line="360" w:lineRule="auto"/>
              <w:ind w:left="458" w:right="36"/>
              <w:jc w:val="both"/>
              <w:rPr>
                <w:rFonts w:ascii="Arial" w:eastAsia="Arial" w:hAnsi="Arial" w:cs="Arial"/>
                <w:color w:val="000000"/>
                <w:sz w:val="24"/>
                <w:szCs w:val="24"/>
              </w:rPr>
            </w:pPr>
            <w:bookmarkStart w:id="3" w:name="_heading=h.3dy6vkm" w:colFirst="0" w:colLast="0"/>
            <w:bookmarkEnd w:id="3"/>
            <w:proofErr w:type="spellStart"/>
            <w:r>
              <w:rPr>
                <w:rFonts w:ascii="Arial" w:eastAsia="Arial" w:hAnsi="Arial" w:cs="Arial"/>
                <w:b w:val="0"/>
                <w:color w:val="000000"/>
                <w:sz w:val="24"/>
                <w:szCs w:val="24"/>
              </w:rPr>
              <w:t>Yolytzín</w:t>
            </w:r>
            <w:proofErr w:type="spellEnd"/>
            <w:r>
              <w:rPr>
                <w:rFonts w:ascii="Arial" w:eastAsia="Arial" w:hAnsi="Arial" w:cs="Arial"/>
                <w:b w:val="0"/>
                <w:color w:val="000000"/>
                <w:sz w:val="24"/>
                <w:szCs w:val="24"/>
              </w:rPr>
              <w:t xml:space="preserve"> Alelí Rodríguez </w:t>
            </w:r>
            <w:proofErr w:type="spellStart"/>
            <w:r>
              <w:rPr>
                <w:rFonts w:ascii="Arial" w:eastAsia="Arial" w:hAnsi="Arial" w:cs="Arial"/>
                <w:b w:val="0"/>
                <w:color w:val="000000"/>
                <w:sz w:val="24"/>
                <w:szCs w:val="24"/>
              </w:rPr>
              <w:t>Sendejas</w:t>
            </w:r>
            <w:proofErr w:type="spellEnd"/>
            <w:r>
              <w:rPr>
                <w:rFonts w:ascii="Arial" w:eastAsia="Arial" w:hAnsi="Arial" w:cs="Arial"/>
                <w:b w:val="0"/>
                <w:color w:val="000000"/>
                <w:sz w:val="24"/>
                <w:szCs w:val="24"/>
              </w:rPr>
              <w:t xml:space="preserve"> </w:t>
            </w:r>
          </w:p>
          <w:p w14:paraId="26A854A2" w14:textId="77777777" w:rsidR="00CA3CF2" w:rsidRDefault="00C6513E">
            <w:pPr>
              <w:numPr>
                <w:ilvl w:val="0"/>
                <w:numId w:val="8"/>
              </w:numPr>
              <w:pBdr>
                <w:top w:val="nil"/>
                <w:left w:val="nil"/>
                <w:bottom w:val="nil"/>
                <w:right w:val="nil"/>
                <w:between w:val="nil"/>
              </w:pBdr>
              <w:tabs>
                <w:tab w:val="left" w:pos="426"/>
              </w:tabs>
              <w:spacing w:line="360" w:lineRule="auto"/>
              <w:ind w:left="458" w:right="36"/>
              <w:jc w:val="both"/>
              <w:rPr>
                <w:rFonts w:ascii="Arial" w:eastAsia="Arial" w:hAnsi="Arial" w:cs="Arial"/>
                <w:color w:val="000000"/>
                <w:sz w:val="24"/>
                <w:szCs w:val="24"/>
              </w:rPr>
            </w:pPr>
            <w:r>
              <w:rPr>
                <w:rFonts w:ascii="Arial" w:eastAsia="Arial" w:hAnsi="Arial" w:cs="Arial"/>
                <w:b w:val="0"/>
                <w:color w:val="000000"/>
                <w:sz w:val="24"/>
                <w:szCs w:val="24"/>
              </w:rPr>
              <w:t>Gustavo Adolfo Granados Corzo</w:t>
            </w:r>
          </w:p>
        </w:tc>
        <w:tc>
          <w:tcPr>
            <w:tcW w:w="4436" w:type="dxa"/>
          </w:tcPr>
          <w:p w14:paraId="22C38140" w14:textId="77777777" w:rsidR="00CA3CF2" w:rsidRDefault="00C6513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 xml:space="preserve">Publicación 4: </w:t>
            </w:r>
          </w:p>
          <w:p w14:paraId="41424925" w14:textId="77777777" w:rsidR="00CA3CF2" w:rsidRDefault="00C6513E">
            <w:pPr>
              <w:tabs>
                <w:tab w:val="left" w:pos="426"/>
              </w:tabs>
              <w:spacing w:line="360" w:lineRule="auto"/>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noProof/>
              </w:rPr>
              <w:drawing>
                <wp:inline distT="0" distB="0" distL="0" distR="0" wp14:anchorId="647F863F" wp14:editId="0B4E1A4C">
                  <wp:extent cx="2571101" cy="1785966"/>
                  <wp:effectExtent l="0" t="0" r="0" b="0"/>
                  <wp:docPr id="2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l="40805" t="27419" r="17400" b="20975"/>
                          <a:stretch>
                            <a:fillRect/>
                          </a:stretch>
                        </pic:blipFill>
                        <pic:spPr>
                          <a:xfrm>
                            <a:off x="0" y="0"/>
                            <a:ext cx="2571101" cy="1785966"/>
                          </a:xfrm>
                          <a:prstGeom prst="rect">
                            <a:avLst/>
                          </a:prstGeom>
                          <a:ln/>
                        </pic:spPr>
                      </pic:pic>
                    </a:graphicData>
                  </a:graphic>
                </wp:inline>
              </w:drawing>
            </w:r>
            <w:r>
              <w:rPr>
                <w:noProof/>
              </w:rPr>
              <mc:AlternateContent>
                <mc:Choice Requires="wps">
                  <w:drawing>
                    <wp:anchor distT="0" distB="0" distL="114300" distR="114300" simplePos="0" relativeHeight="251664384" behindDoc="0" locked="0" layoutInCell="1" hidden="0" allowOverlap="1" wp14:anchorId="4E538F4E" wp14:editId="76AD77ED">
                      <wp:simplePos x="0" y="0"/>
                      <wp:positionH relativeFrom="column">
                        <wp:posOffset>1676400</wp:posOffset>
                      </wp:positionH>
                      <wp:positionV relativeFrom="paragraph">
                        <wp:posOffset>368300</wp:posOffset>
                      </wp:positionV>
                      <wp:extent cx="314145" cy="391783"/>
                      <wp:effectExtent l="0" t="0" r="0" b="0"/>
                      <wp:wrapNone/>
                      <wp:docPr id="230" name="Elipse 230"/>
                      <wp:cNvGraphicFramePr/>
                      <a:graphic xmlns:a="http://schemas.openxmlformats.org/drawingml/2006/main">
                        <a:graphicData uri="http://schemas.microsoft.com/office/word/2010/wordprocessingShape">
                          <wps:wsp>
                            <wps:cNvSpPr/>
                            <wps:spPr>
                              <a:xfrm>
                                <a:off x="5207978" y="3603159"/>
                                <a:ext cx="276045" cy="353683"/>
                              </a:xfrm>
                              <a:prstGeom prst="ellipse">
                                <a:avLst/>
                              </a:prstGeom>
                              <a:noFill/>
                              <a:ln w="38100" cap="flat" cmpd="sng">
                                <a:solidFill>
                                  <a:srgbClr val="FF0000"/>
                                </a:solidFill>
                                <a:prstDash val="solid"/>
                                <a:round/>
                                <a:headEnd type="none" w="sm" len="sm"/>
                                <a:tailEnd type="none" w="sm" len="sm"/>
                              </a:ln>
                            </wps:spPr>
                            <wps:txbx>
                              <w:txbxContent>
                                <w:p w14:paraId="06F95EE6" w14:textId="77777777" w:rsidR="00CA3CF2" w:rsidRDefault="00CA3CF2">
                                  <w:pPr>
                                    <w:textDirection w:val="btLr"/>
                                  </w:pPr>
                                </w:p>
                              </w:txbxContent>
                            </wps:txbx>
                            <wps:bodyPr spcFirstLastPara="1" wrap="square" lIns="91425" tIns="91425" rIns="91425" bIns="91425" anchor="ctr" anchorCtr="0">
                              <a:noAutofit/>
                            </wps:bodyPr>
                          </wps:wsp>
                        </a:graphicData>
                      </a:graphic>
                    </wp:anchor>
                  </w:drawing>
                </mc:Choice>
                <mc:Fallback>
                  <w:pict>
                    <v:oval w14:anchorId="4E538F4E" id="Elipse 230" o:spid="_x0000_s1032" style="position:absolute;left:0;text-align:left;margin-left:132pt;margin-top:29pt;width:24.75pt;height:30.8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" filled="f" strokecolor="red" strokeweight="3pt">
                      <v:stroke startarrowwidth="narrow" startarrowlength="short" endarrowwidth="narrow" endarrowlength="short"/>
                      <v:textbox inset="2.53958mm,2.53958mm,2.53958mm,2.53958mm">
                        <w:txbxContent>
                          <w:p w14:paraId="06F95EE6" w14:textId="77777777" w:rsidR="00CA3CF2" w:rsidRDefault="00CA3CF2">
                            <w:pPr>
                              <w:textDirection w:val="btLr"/>
                            </w:pPr>
                          </w:p>
                        </w:txbxContent>
                      </v:textbox>
                    </v:oval>
                  </w:pict>
                </mc:Fallback>
              </mc:AlternateContent>
            </w:r>
            <w:r>
              <w:rPr>
                <w:noProof/>
              </w:rPr>
              <mc:AlternateContent>
                <mc:Choice Requires="wps">
                  <w:drawing>
                    <wp:anchor distT="0" distB="0" distL="114300" distR="114300" simplePos="0" relativeHeight="251665408" behindDoc="0" locked="0" layoutInCell="1" hidden="0" allowOverlap="1" wp14:anchorId="77DEC212" wp14:editId="37C819DC">
                      <wp:simplePos x="0" y="0"/>
                      <wp:positionH relativeFrom="column">
                        <wp:posOffset>1701800</wp:posOffset>
                      </wp:positionH>
                      <wp:positionV relativeFrom="paragraph">
                        <wp:posOffset>711200</wp:posOffset>
                      </wp:positionV>
                      <wp:extent cx="383156" cy="434915"/>
                      <wp:effectExtent l="0" t="0" r="0" b="0"/>
                      <wp:wrapNone/>
                      <wp:docPr id="226" name="Elipse 226"/>
                      <wp:cNvGraphicFramePr/>
                      <a:graphic xmlns:a="http://schemas.openxmlformats.org/drawingml/2006/main">
                        <a:graphicData uri="http://schemas.microsoft.com/office/word/2010/wordprocessingShape">
                          <wps:wsp>
                            <wps:cNvSpPr/>
                            <wps:spPr>
                              <a:xfrm>
                                <a:off x="5173472" y="3581593"/>
                                <a:ext cx="345056" cy="396815"/>
                              </a:xfrm>
                              <a:prstGeom prst="ellipse">
                                <a:avLst/>
                              </a:prstGeom>
                              <a:noFill/>
                              <a:ln w="38100" cap="flat" cmpd="sng">
                                <a:solidFill>
                                  <a:srgbClr val="FF0000"/>
                                </a:solidFill>
                                <a:prstDash val="solid"/>
                                <a:round/>
                                <a:headEnd type="none" w="sm" len="sm"/>
                                <a:tailEnd type="none" w="sm" len="sm"/>
                              </a:ln>
                            </wps:spPr>
                            <wps:txbx>
                              <w:txbxContent>
                                <w:p w14:paraId="2F2B6F74" w14:textId="77777777" w:rsidR="00CA3CF2" w:rsidRDefault="00CA3CF2">
                                  <w:pPr>
                                    <w:textDirection w:val="btLr"/>
                                  </w:pPr>
                                </w:p>
                              </w:txbxContent>
                            </wps:txbx>
                            <wps:bodyPr spcFirstLastPara="1" wrap="square" lIns="91425" tIns="91425" rIns="91425" bIns="91425" anchor="ctr" anchorCtr="0">
                              <a:noAutofit/>
                            </wps:bodyPr>
                          </wps:wsp>
                        </a:graphicData>
                      </a:graphic>
                    </wp:anchor>
                  </w:drawing>
                </mc:Choice>
                <mc:Fallback>
                  <w:pict>
                    <v:oval w14:anchorId="77DEC212" id="Elipse 226" o:spid="_x0000_s1033" style="position:absolute;left:0;text-align:left;margin-left:134pt;margin-top:56pt;width:30.15pt;height:34.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" filled="f" strokecolor="red" strokeweight="3pt">
                      <v:stroke startarrowwidth="narrow" startarrowlength="short" endarrowwidth="narrow" endarrowlength="short"/>
                      <v:textbox inset="2.53958mm,2.53958mm,2.53958mm,2.53958mm">
                        <w:txbxContent>
                          <w:p w14:paraId="2F2B6F74" w14:textId="77777777" w:rsidR="00CA3CF2" w:rsidRDefault="00CA3CF2">
                            <w:pPr>
                              <w:textDirection w:val="btLr"/>
                            </w:pPr>
                          </w:p>
                        </w:txbxContent>
                      </v:textbox>
                    </v:oval>
                  </w:pict>
                </mc:Fallback>
              </mc:AlternateContent>
            </w:r>
            <w:r>
              <w:rPr>
                <w:noProof/>
              </w:rPr>
              <mc:AlternateContent>
                <mc:Choice Requires="wps">
                  <w:drawing>
                    <wp:anchor distT="45720" distB="45720" distL="114300" distR="114300" simplePos="0" relativeHeight="251666432" behindDoc="0" locked="0" layoutInCell="1" hidden="0" allowOverlap="1" wp14:anchorId="1294E75D" wp14:editId="757C9779">
                      <wp:simplePos x="0" y="0"/>
                      <wp:positionH relativeFrom="column">
                        <wp:posOffset>1981200</wp:posOffset>
                      </wp:positionH>
                      <wp:positionV relativeFrom="paragraph">
                        <wp:posOffset>896620</wp:posOffset>
                      </wp:positionV>
                      <wp:extent cx="449664" cy="324916"/>
                      <wp:effectExtent l="0" t="0" r="0" b="0"/>
                      <wp:wrapNone/>
                      <wp:docPr id="227" name="Rectángulo 227"/>
                      <wp:cNvGraphicFramePr/>
                      <a:graphic xmlns:a="http://schemas.openxmlformats.org/drawingml/2006/main">
                        <a:graphicData uri="http://schemas.microsoft.com/office/word/2010/wordprocessingShape">
                          <wps:wsp>
                            <wps:cNvSpPr/>
                            <wps:spPr>
                              <a:xfrm flipH="1">
                                <a:off x="5125931" y="3622305"/>
                                <a:ext cx="440139" cy="315391"/>
                              </a:xfrm>
                              <a:prstGeom prst="rect">
                                <a:avLst/>
                              </a:prstGeom>
                              <a:noFill/>
                              <a:ln>
                                <a:noFill/>
                              </a:ln>
                            </wps:spPr>
                            <wps:txbx>
                              <w:txbxContent>
                                <w:p w14:paraId="5BDAB1EA" w14:textId="77777777" w:rsidR="00CA3CF2" w:rsidRDefault="00C6513E">
                                  <w:pPr>
                                    <w:textDirection w:val="btLr"/>
                                  </w:pPr>
                                  <w:r>
                                    <w:rPr>
                                      <w:b/>
                                      <w:color w:val="FF0000"/>
                                    </w:rPr>
                                    <w:t>1</w:t>
                                  </w:r>
                                </w:p>
                              </w:txbxContent>
                            </wps:txbx>
                            <wps:bodyPr spcFirstLastPara="1" wrap="square" lIns="91425" tIns="45700" rIns="91425" bIns="45700" anchor="t" anchorCtr="0">
                              <a:noAutofit/>
                            </wps:bodyPr>
                          </wps:wsp>
                        </a:graphicData>
                      </a:graphic>
                    </wp:anchor>
                  </w:drawing>
                </mc:Choice>
                <mc:Fallback>
                  <w:pict>
                    <v:rect w14:anchorId="1294E75D" id="Rectángulo 227" o:spid="_x0000_s1034" style="position:absolute;left:0;text-align:left;margin-left:156pt;margin-top:70.6pt;width:35.4pt;height:25.6pt;flip:x;z-index:25166643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" filled="f" stroked="f">
                      <v:textbox inset="2.53958mm,1.2694mm,2.53958mm,1.2694mm">
                        <w:txbxContent>
                          <w:p w14:paraId="5BDAB1EA" w14:textId="77777777" w:rsidR="00CA3CF2" w:rsidRDefault="00C6513E">
                            <w:pPr>
                              <w:textDirection w:val="btLr"/>
                            </w:pPr>
                            <w:r>
                              <w:rPr>
                                <w:b/>
                                <w:color w:val="FF0000"/>
                              </w:rPr>
                              <w:t>1</w:t>
                            </w:r>
                          </w:p>
                        </w:txbxContent>
                      </v:textbox>
                    </v:rect>
                  </w:pict>
                </mc:Fallback>
              </mc:AlternateContent>
            </w:r>
            <w:r>
              <w:rPr>
                <w:noProof/>
              </w:rPr>
              <mc:AlternateContent>
                <mc:Choice Requires="wps">
                  <w:drawing>
                    <wp:anchor distT="45720" distB="45720" distL="114300" distR="114300" simplePos="0" relativeHeight="251667456" behindDoc="0" locked="0" layoutInCell="1" hidden="0" allowOverlap="1" wp14:anchorId="47CC021B" wp14:editId="7879971A">
                      <wp:simplePos x="0" y="0"/>
                      <wp:positionH relativeFrom="column">
                        <wp:posOffset>1752600</wp:posOffset>
                      </wp:positionH>
                      <wp:positionV relativeFrom="paragraph">
                        <wp:posOffset>185420</wp:posOffset>
                      </wp:positionV>
                      <wp:extent cx="2370455" cy="1414145"/>
                      <wp:effectExtent l="0" t="0" r="0" b="0"/>
                      <wp:wrapNone/>
                      <wp:docPr id="232" name="Rectángulo 232"/>
                      <wp:cNvGraphicFramePr/>
                      <a:graphic xmlns:a="http://schemas.openxmlformats.org/drawingml/2006/main">
                        <a:graphicData uri="http://schemas.microsoft.com/office/word/2010/wordprocessingShape">
                          <wps:wsp>
                            <wps:cNvSpPr/>
                            <wps:spPr>
                              <a:xfrm>
                                <a:off x="4165535" y="3077690"/>
                                <a:ext cx="2360930" cy="1404620"/>
                              </a:xfrm>
                              <a:prstGeom prst="rect">
                                <a:avLst/>
                              </a:prstGeom>
                              <a:noFill/>
                              <a:ln>
                                <a:noFill/>
                              </a:ln>
                            </wps:spPr>
                            <wps:txbx>
                              <w:txbxContent>
                                <w:p w14:paraId="3F847A06" w14:textId="77777777" w:rsidR="00CA3CF2" w:rsidRDefault="00C6513E">
                                  <w:pPr>
                                    <w:textDirection w:val="btLr"/>
                                  </w:pPr>
                                  <w:r>
                                    <w:rPr>
                                      <w:b/>
                                      <w:color w:val="FF0000"/>
                                    </w:rPr>
                                    <w:t>2</w:t>
                                  </w:r>
                                </w:p>
                              </w:txbxContent>
                            </wps:txbx>
                            <wps:bodyPr spcFirstLastPara="1" wrap="square" lIns="91425" tIns="45700" rIns="91425" bIns="45700" anchor="t" anchorCtr="0">
                              <a:noAutofit/>
                            </wps:bodyPr>
                          </wps:wsp>
                        </a:graphicData>
                      </a:graphic>
                    </wp:anchor>
                  </w:drawing>
                </mc:Choice>
                <mc:Fallback>
                  <w:pict>
                    <v:rect w14:anchorId="47CC021B" id="Rectángulo 232" o:spid="_x0000_s1035" style="position:absolute;left:0;text-align:left;margin-left:138pt;margin-top:14.6pt;width:186.65pt;height:111.35pt;z-index:25166745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" filled="f" stroked="f">
                      <v:textbox inset="2.53958mm,1.2694mm,2.53958mm,1.2694mm">
                        <w:txbxContent>
                          <w:p w14:paraId="3F847A06" w14:textId="77777777" w:rsidR="00CA3CF2" w:rsidRDefault="00C6513E">
                            <w:pPr>
                              <w:textDirection w:val="btLr"/>
                            </w:pPr>
                            <w:r>
                              <w:rPr>
                                <w:b/>
                                <w:color w:val="FF0000"/>
                              </w:rPr>
                              <w:t>2</w:t>
                            </w:r>
                          </w:p>
                        </w:txbxContent>
                      </v:textbox>
                    </v:rect>
                  </w:pict>
                </mc:Fallback>
              </mc:AlternateContent>
            </w:r>
          </w:p>
        </w:tc>
      </w:tr>
      <w:tr w:rsidR="00CA3CF2" w14:paraId="0CA6E596" w14:textId="77777777" w:rsidTr="00CA3C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gridSpan w:val="2"/>
          </w:tcPr>
          <w:p w14:paraId="4E8C8B26" w14:textId="77777777" w:rsidR="00CA3CF2" w:rsidRDefault="00C6513E">
            <w:pPr>
              <w:numPr>
                <w:ilvl w:val="0"/>
                <w:numId w:val="2"/>
              </w:numPr>
              <w:pBdr>
                <w:top w:val="nil"/>
                <w:left w:val="nil"/>
                <w:bottom w:val="nil"/>
                <w:right w:val="nil"/>
                <w:between w:val="nil"/>
              </w:pBdr>
              <w:tabs>
                <w:tab w:val="left" w:pos="426"/>
              </w:tabs>
              <w:spacing w:line="360" w:lineRule="auto"/>
              <w:ind w:left="458" w:right="36"/>
              <w:jc w:val="both"/>
              <w:rPr>
                <w:rFonts w:ascii="Arial" w:eastAsia="Arial" w:hAnsi="Arial" w:cs="Arial"/>
                <w:color w:val="000000"/>
                <w:sz w:val="24"/>
                <w:szCs w:val="24"/>
              </w:rPr>
            </w:pPr>
            <w:proofErr w:type="spellStart"/>
            <w:r>
              <w:rPr>
                <w:rFonts w:ascii="Arial" w:eastAsia="Arial" w:hAnsi="Arial" w:cs="Arial"/>
                <w:b w:val="0"/>
                <w:color w:val="000000"/>
                <w:sz w:val="24"/>
                <w:szCs w:val="24"/>
              </w:rPr>
              <w:t>Yolytzín</w:t>
            </w:r>
            <w:proofErr w:type="spellEnd"/>
            <w:r>
              <w:rPr>
                <w:rFonts w:ascii="Arial" w:eastAsia="Arial" w:hAnsi="Arial" w:cs="Arial"/>
                <w:b w:val="0"/>
                <w:color w:val="000000"/>
                <w:sz w:val="24"/>
                <w:szCs w:val="24"/>
              </w:rPr>
              <w:t xml:space="preserve"> Alelí Rodríguez </w:t>
            </w:r>
            <w:proofErr w:type="spellStart"/>
            <w:r>
              <w:rPr>
                <w:rFonts w:ascii="Arial" w:eastAsia="Arial" w:hAnsi="Arial" w:cs="Arial"/>
                <w:b w:val="0"/>
                <w:color w:val="000000"/>
                <w:sz w:val="24"/>
                <w:szCs w:val="24"/>
              </w:rPr>
              <w:t>Sendejas</w:t>
            </w:r>
            <w:proofErr w:type="spellEnd"/>
            <w:r>
              <w:rPr>
                <w:rFonts w:ascii="Arial" w:eastAsia="Arial" w:hAnsi="Arial" w:cs="Arial"/>
                <w:b w:val="0"/>
                <w:color w:val="000000"/>
                <w:sz w:val="24"/>
                <w:szCs w:val="24"/>
              </w:rPr>
              <w:t xml:space="preserve"> </w:t>
            </w:r>
          </w:p>
          <w:p w14:paraId="00C30CAC" w14:textId="77777777" w:rsidR="00CA3CF2" w:rsidRDefault="00C6513E">
            <w:pPr>
              <w:numPr>
                <w:ilvl w:val="0"/>
                <w:numId w:val="2"/>
              </w:numPr>
              <w:pBdr>
                <w:top w:val="nil"/>
                <w:left w:val="nil"/>
                <w:bottom w:val="nil"/>
                <w:right w:val="nil"/>
                <w:between w:val="nil"/>
              </w:pBdr>
              <w:tabs>
                <w:tab w:val="left" w:pos="426"/>
              </w:tabs>
              <w:spacing w:line="360" w:lineRule="auto"/>
              <w:ind w:left="458" w:right="36"/>
              <w:jc w:val="both"/>
              <w:rPr>
                <w:rFonts w:ascii="Arial" w:eastAsia="Arial" w:hAnsi="Arial" w:cs="Arial"/>
                <w:color w:val="000000"/>
                <w:sz w:val="24"/>
                <w:szCs w:val="24"/>
              </w:rPr>
            </w:pPr>
            <w:r>
              <w:rPr>
                <w:rFonts w:ascii="Arial" w:eastAsia="Arial" w:hAnsi="Arial" w:cs="Arial"/>
                <w:b w:val="0"/>
                <w:color w:val="000000"/>
                <w:sz w:val="24"/>
                <w:szCs w:val="24"/>
              </w:rPr>
              <w:t xml:space="preserve">María Guadalupe Arellano Espinosa </w:t>
            </w:r>
          </w:p>
          <w:p w14:paraId="55C9CA1F" w14:textId="77777777" w:rsidR="00CA3CF2" w:rsidRDefault="00C6513E">
            <w:pPr>
              <w:numPr>
                <w:ilvl w:val="0"/>
                <w:numId w:val="2"/>
              </w:numPr>
              <w:pBdr>
                <w:top w:val="nil"/>
                <w:left w:val="nil"/>
                <w:bottom w:val="nil"/>
                <w:right w:val="nil"/>
                <w:between w:val="nil"/>
              </w:pBdr>
              <w:tabs>
                <w:tab w:val="left" w:pos="426"/>
              </w:tabs>
              <w:spacing w:line="360" w:lineRule="auto"/>
              <w:ind w:left="458" w:right="36"/>
              <w:jc w:val="both"/>
              <w:rPr>
                <w:rFonts w:ascii="Arial" w:eastAsia="Arial" w:hAnsi="Arial" w:cs="Arial"/>
                <w:color w:val="000000"/>
                <w:sz w:val="24"/>
                <w:szCs w:val="24"/>
              </w:rPr>
            </w:pPr>
            <w:r>
              <w:rPr>
                <w:rFonts w:ascii="Arial" w:eastAsia="Arial" w:hAnsi="Arial" w:cs="Arial"/>
                <w:b w:val="0"/>
                <w:color w:val="000000"/>
                <w:sz w:val="24"/>
                <w:szCs w:val="24"/>
              </w:rPr>
              <w:t>Gustavo Adolfo Granados Corzo</w:t>
            </w:r>
          </w:p>
        </w:tc>
        <w:tc>
          <w:tcPr>
            <w:tcW w:w="4436" w:type="dxa"/>
          </w:tcPr>
          <w:p w14:paraId="395BE479" w14:textId="77777777" w:rsidR="00CA3CF2" w:rsidRDefault="00C6513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Publicación 8:</w:t>
            </w:r>
          </w:p>
          <w:p w14:paraId="1558D9C4" w14:textId="77777777" w:rsidR="00CA3CF2" w:rsidRDefault="00C6513E">
            <w:pPr>
              <w:tabs>
                <w:tab w:val="left" w:pos="426"/>
              </w:tabs>
              <w:spacing w:line="360" w:lineRule="auto"/>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24"/>
                <w:szCs w:val="24"/>
              </w:rPr>
            </w:pPr>
            <w:r>
              <w:rPr>
                <w:noProof/>
              </w:rPr>
              <w:lastRenderedPageBreak/>
              <w:drawing>
                <wp:inline distT="0" distB="0" distL="0" distR="0" wp14:anchorId="6BA6C3B8" wp14:editId="77AF4CAC">
                  <wp:extent cx="2657340" cy="1768684"/>
                  <wp:effectExtent l="0" t="0" r="0" b="0"/>
                  <wp:docPr id="24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l="39824" t="27668" r="16980" b="21224"/>
                          <a:stretch>
                            <a:fillRect/>
                          </a:stretch>
                        </pic:blipFill>
                        <pic:spPr>
                          <a:xfrm>
                            <a:off x="0" y="0"/>
                            <a:ext cx="2657340" cy="1768684"/>
                          </a:xfrm>
                          <a:prstGeom prst="rect">
                            <a:avLst/>
                          </a:prstGeom>
                          <a:ln/>
                        </pic:spPr>
                      </pic:pic>
                    </a:graphicData>
                  </a:graphic>
                </wp:inline>
              </w:drawing>
            </w:r>
            <w:r>
              <w:rPr>
                <w:noProof/>
              </w:rPr>
              <mc:AlternateContent>
                <mc:Choice Requires="wps">
                  <w:drawing>
                    <wp:anchor distT="0" distB="0" distL="114300" distR="114300" simplePos="0" relativeHeight="251668480" behindDoc="0" locked="0" layoutInCell="1" hidden="0" allowOverlap="1" wp14:anchorId="1B1D52CE" wp14:editId="4EFE671A">
                      <wp:simplePos x="0" y="0"/>
                      <wp:positionH relativeFrom="column">
                        <wp:posOffset>190500</wp:posOffset>
                      </wp:positionH>
                      <wp:positionV relativeFrom="paragraph">
                        <wp:posOffset>698500</wp:posOffset>
                      </wp:positionV>
                      <wp:extent cx="325911" cy="331051"/>
                      <wp:effectExtent l="0" t="0" r="0" b="0"/>
                      <wp:wrapNone/>
                      <wp:docPr id="221" name="Elipse 221"/>
                      <wp:cNvGraphicFramePr/>
                      <a:graphic xmlns:a="http://schemas.openxmlformats.org/drawingml/2006/main">
                        <a:graphicData uri="http://schemas.microsoft.com/office/word/2010/wordprocessingShape">
                          <wps:wsp>
                            <wps:cNvSpPr/>
                            <wps:spPr>
                              <a:xfrm>
                                <a:off x="5192570" y="3624000"/>
                                <a:ext cx="306861" cy="312001"/>
                              </a:xfrm>
                              <a:prstGeom prst="ellipse">
                                <a:avLst/>
                              </a:prstGeom>
                              <a:noFill/>
                              <a:ln w="19050" cap="flat" cmpd="sng">
                                <a:solidFill>
                                  <a:srgbClr val="FF0000"/>
                                </a:solidFill>
                                <a:prstDash val="solid"/>
                                <a:round/>
                                <a:headEnd type="none" w="sm" len="sm"/>
                                <a:tailEnd type="none" w="sm" len="sm"/>
                              </a:ln>
                            </wps:spPr>
                            <wps:txbx>
                              <w:txbxContent>
                                <w:p w14:paraId="2C1821B3" w14:textId="77777777" w:rsidR="00CA3CF2" w:rsidRDefault="00CA3CF2">
                                  <w:pPr>
                                    <w:textDirection w:val="btLr"/>
                                  </w:pPr>
                                </w:p>
                              </w:txbxContent>
                            </wps:txbx>
                            <wps:bodyPr spcFirstLastPara="1" wrap="square" lIns="91425" tIns="91425" rIns="91425" bIns="91425" anchor="ctr" anchorCtr="0">
                              <a:noAutofit/>
                            </wps:bodyPr>
                          </wps:wsp>
                        </a:graphicData>
                      </a:graphic>
                    </wp:anchor>
                  </w:drawing>
                </mc:Choice>
                <mc:Fallback>
                  <w:pict>
                    <v:oval w14:anchorId="1B1D52CE" id="Elipse 221" o:spid="_x0000_s1036" style="position:absolute;left:0;text-align:left;margin-left:15pt;margin-top:55pt;width:25.65pt;height:26.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" filled="f" strokecolor="red" strokeweight="1.5pt">
                      <v:stroke startarrowwidth="narrow" startarrowlength="short" endarrowwidth="narrow" endarrowlength="short"/>
                      <v:textbox inset="2.53958mm,2.53958mm,2.53958mm,2.53958mm">
                        <w:txbxContent>
                          <w:p w14:paraId="2C1821B3" w14:textId="77777777" w:rsidR="00CA3CF2" w:rsidRDefault="00CA3CF2">
                            <w:pPr>
                              <w:textDirection w:val="btLr"/>
                            </w:pPr>
                          </w:p>
                        </w:txbxContent>
                      </v:textbox>
                    </v:oval>
                  </w:pict>
                </mc:Fallback>
              </mc:AlternateContent>
            </w:r>
            <w:r>
              <w:rPr>
                <w:noProof/>
              </w:rPr>
              <mc:AlternateContent>
                <mc:Choice Requires="wps">
                  <w:drawing>
                    <wp:anchor distT="0" distB="0" distL="114300" distR="114300" simplePos="0" relativeHeight="251669504" behindDoc="0" locked="0" layoutInCell="1" hidden="0" allowOverlap="1" wp14:anchorId="10C6281D" wp14:editId="1CFDA7F2">
                      <wp:simplePos x="0" y="0"/>
                      <wp:positionH relativeFrom="column">
                        <wp:posOffset>431800</wp:posOffset>
                      </wp:positionH>
                      <wp:positionV relativeFrom="paragraph">
                        <wp:posOffset>914400</wp:posOffset>
                      </wp:positionV>
                      <wp:extent cx="194814" cy="305063"/>
                      <wp:effectExtent l="0" t="0" r="0" b="0"/>
                      <wp:wrapNone/>
                      <wp:docPr id="229" name="Elipse 229"/>
                      <wp:cNvGraphicFramePr/>
                      <a:graphic xmlns:a="http://schemas.openxmlformats.org/drawingml/2006/main">
                        <a:graphicData uri="http://schemas.microsoft.com/office/word/2010/wordprocessingShape">
                          <wps:wsp>
                            <wps:cNvSpPr/>
                            <wps:spPr>
                              <a:xfrm>
                                <a:off x="5258118" y="3636994"/>
                                <a:ext cx="175764" cy="286013"/>
                              </a:xfrm>
                              <a:prstGeom prst="ellipse">
                                <a:avLst/>
                              </a:prstGeom>
                              <a:noFill/>
                              <a:ln w="19050" cap="flat" cmpd="sng">
                                <a:solidFill>
                                  <a:srgbClr val="FF0000"/>
                                </a:solidFill>
                                <a:prstDash val="solid"/>
                                <a:round/>
                                <a:headEnd type="none" w="sm" len="sm"/>
                                <a:tailEnd type="none" w="sm" len="sm"/>
                              </a:ln>
                            </wps:spPr>
                            <wps:txbx>
                              <w:txbxContent>
                                <w:p w14:paraId="658373F7" w14:textId="77777777" w:rsidR="00CA3CF2" w:rsidRDefault="00CA3CF2">
                                  <w:pPr>
                                    <w:textDirection w:val="btLr"/>
                                  </w:pPr>
                                </w:p>
                              </w:txbxContent>
                            </wps:txbx>
                            <wps:bodyPr spcFirstLastPara="1" wrap="square" lIns="91425" tIns="91425" rIns="91425" bIns="91425" anchor="ctr" anchorCtr="0">
                              <a:noAutofit/>
                            </wps:bodyPr>
                          </wps:wsp>
                        </a:graphicData>
                      </a:graphic>
                    </wp:anchor>
                  </w:drawing>
                </mc:Choice>
                <mc:Fallback>
                  <w:pict>
                    <v:oval w14:anchorId="10C6281D" id="Elipse 229" o:spid="_x0000_s1037" style="position:absolute;left:0;text-align:left;margin-left:34pt;margin-top:1in;width:15.35pt;height:2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" filled="f" strokecolor="red" strokeweight="1.5pt">
                      <v:stroke startarrowwidth="narrow" startarrowlength="short" endarrowwidth="narrow" endarrowlength="short"/>
                      <v:textbox inset="2.53958mm,2.53958mm,2.53958mm,2.53958mm">
                        <w:txbxContent>
                          <w:p w14:paraId="658373F7" w14:textId="77777777" w:rsidR="00CA3CF2" w:rsidRDefault="00CA3CF2">
                            <w:pPr>
                              <w:textDirection w:val="btLr"/>
                            </w:pPr>
                          </w:p>
                        </w:txbxContent>
                      </v:textbox>
                    </v:oval>
                  </w:pict>
                </mc:Fallback>
              </mc:AlternateContent>
            </w:r>
            <w:r>
              <w:rPr>
                <w:noProof/>
              </w:rPr>
              <mc:AlternateContent>
                <mc:Choice Requires="wps">
                  <w:drawing>
                    <wp:anchor distT="0" distB="0" distL="114300" distR="114300" simplePos="0" relativeHeight="251670528" behindDoc="0" locked="0" layoutInCell="1" hidden="0" allowOverlap="1" wp14:anchorId="4A20A65C" wp14:editId="619B0125">
                      <wp:simplePos x="0" y="0"/>
                      <wp:positionH relativeFrom="column">
                        <wp:posOffset>901700</wp:posOffset>
                      </wp:positionH>
                      <wp:positionV relativeFrom="paragraph">
                        <wp:posOffset>698500</wp:posOffset>
                      </wp:positionV>
                      <wp:extent cx="295095" cy="310551"/>
                      <wp:effectExtent l="0" t="0" r="0" b="0"/>
                      <wp:wrapNone/>
                      <wp:docPr id="223" name="Elipse 223"/>
                      <wp:cNvGraphicFramePr/>
                      <a:graphic xmlns:a="http://schemas.openxmlformats.org/drawingml/2006/main">
                        <a:graphicData uri="http://schemas.microsoft.com/office/word/2010/wordprocessingShape">
                          <wps:wsp>
                            <wps:cNvSpPr/>
                            <wps:spPr>
                              <a:xfrm>
                                <a:off x="5207978" y="3634250"/>
                                <a:ext cx="276045" cy="291501"/>
                              </a:xfrm>
                              <a:prstGeom prst="ellipse">
                                <a:avLst/>
                              </a:prstGeom>
                              <a:noFill/>
                              <a:ln w="19050" cap="flat" cmpd="sng">
                                <a:solidFill>
                                  <a:srgbClr val="FF0000"/>
                                </a:solidFill>
                                <a:prstDash val="solid"/>
                                <a:round/>
                                <a:headEnd type="none" w="sm" len="sm"/>
                                <a:tailEnd type="none" w="sm" len="sm"/>
                              </a:ln>
                            </wps:spPr>
                            <wps:txbx>
                              <w:txbxContent>
                                <w:p w14:paraId="7063C41F" w14:textId="77777777" w:rsidR="00CA3CF2" w:rsidRDefault="00CA3CF2">
                                  <w:pPr>
                                    <w:textDirection w:val="btLr"/>
                                  </w:pPr>
                                </w:p>
                              </w:txbxContent>
                            </wps:txbx>
                            <wps:bodyPr spcFirstLastPara="1" wrap="square" lIns="91425" tIns="91425" rIns="91425" bIns="91425" anchor="ctr" anchorCtr="0">
                              <a:noAutofit/>
                            </wps:bodyPr>
                          </wps:wsp>
                        </a:graphicData>
                      </a:graphic>
                    </wp:anchor>
                  </w:drawing>
                </mc:Choice>
                <mc:Fallback>
                  <w:pict>
                    <v:oval w14:anchorId="4A20A65C" id="Elipse 223" o:spid="_x0000_s1038" style="position:absolute;left:0;text-align:left;margin-left:71pt;margin-top:55pt;width:23.25pt;height:24.4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" filled="f" strokecolor="red" strokeweight="1.5pt">
                      <v:stroke startarrowwidth="narrow" startarrowlength="short" endarrowwidth="narrow" endarrowlength="short"/>
                      <v:textbox inset="2.53958mm,2.53958mm,2.53958mm,2.53958mm">
                        <w:txbxContent>
                          <w:p w14:paraId="7063C41F" w14:textId="77777777" w:rsidR="00CA3CF2" w:rsidRDefault="00CA3CF2">
                            <w:pPr>
                              <w:textDirection w:val="btLr"/>
                            </w:pPr>
                          </w:p>
                        </w:txbxContent>
                      </v:textbox>
                    </v:oval>
                  </w:pict>
                </mc:Fallback>
              </mc:AlternateContent>
            </w:r>
            <w:r>
              <w:rPr>
                <w:noProof/>
              </w:rPr>
              <mc:AlternateContent>
                <mc:Choice Requires="wps">
                  <w:drawing>
                    <wp:anchor distT="45720" distB="45720" distL="114300" distR="114300" simplePos="0" relativeHeight="251671552" behindDoc="0" locked="0" layoutInCell="1" hidden="0" allowOverlap="1" wp14:anchorId="1287CD99" wp14:editId="7EE7224C">
                      <wp:simplePos x="0" y="0"/>
                      <wp:positionH relativeFrom="column">
                        <wp:posOffset>508000</wp:posOffset>
                      </wp:positionH>
                      <wp:positionV relativeFrom="paragraph">
                        <wp:posOffset>1099820</wp:posOffset>
                      </wp:positionV>
                      <wp:extent cx="302823" cy="350796"/>
                      <wp:effectExtent l="0" t="0" r="0" b="0"/>
                      <wp:wrapNone/>
                      <wp:docPr id="231" name="Rectángulo 231"/>
                      <wp:cNvGraphicFramePr/>
                      <a:graphic xmlns:a="http://schemas.openxmlformats.org/drawingml/2006/main">
                        <a:graphicData uri="http://schemas.microsoft.com/office/word/2010/wordprocessingShape">
                          <wps:wsp>
                            <wps:cNvSpPr/>
                            <wps:spPr>
                              <a:xfrm>
                                <a:off x="5199351" y="3609365"/>
                                <a:ext cx="293298" cy="341271"/>
                              </a:xfrm>
                              <a:prstGeom prst="rect">
                                <a:avLst/>
                              </a:prstGeom>
                              <a:noFill/>
                              <a:ln>
                                <a:noFill/>
                              </a:ln>
                            </wps:spPr>
                            <wps:txbx>
                              <w:txbxContent>
                                <w:p w14:paraId="30288653" w14:textId="77777777" w:rsidR="00CA3CF2" w:rsidRDefault="00C6513E">
                                  <w:pPr>
                                    <w:textDirection w:val="btLr"/>
                                  </w:pPr>
                                  <w:r>
                                    <w:rPr>
                                      <w:b/>
                                      <w:color w:val="FF0000"/>
                                    </w:rPr>
                                    <w:t>1</w:t>
                                  </w:r>
                                </w:p>
                              </w:txbxContent>
                            </wps:txbx>
                            <wps:bodyPr spcFirstLastPara="1" wrap="square" lIns="91425" tIns="45700" rIns="91425" bIns="45700" anchor="t" anchorCtr="0">
                              <a:noAutofit/>
                            </wps:bodyPr>
                          </wps:wsp>
                        </a:graphicData>
                      </a:graphic>
                    </wp:anchor>
                  </w:drawing>
                </mc:Choice>
                <mc:Fallback>
                  <w:pict>
                    <v:rect w14:anchorId="1287CD99" id="Rectángulo 231" o:spid="_x0000_s1039" style="position:absolute;left:0;text-align:left;margin-left:40pt;margin-top:86.6pt;width:23.85pt;height:27.6pt;z-index:25167155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" filled="f" stroked="f">
                      <v:textbox inset="2.53958mm,1.2694mm,2.53958mm,1.2694mm">
                        <w:txbxContent>
                          <w:p w14:paraId="30288653" w14:textId="77777777" w:rsidR="00CA3CF2" w:rsidRDefault="00C6513E">
                            <w:pPr>
                              <w:textDirection w:val="btLr"/>
                            </w:pPr>
                            <w:r>
                              <w:rPr>
                                <w:b/>
                                <w:color w:val="FF0000"/>
                              </w:rPr>
                              <w:t>1</w:t>
                            </w:r>
                          </w:p>
                        </w:txbxContent>
                      </v:textbox>
                    </v:rect>
                  </w:pict>
                </mc:Fallback>
              </mc:AlternateContent>
            </w:r>
            <w:r>
              <w:rPr>
                <w:noProof/>
              </w:rPr>
              <mc:AlternateContent>
                <mc:Choice Requires="wps">
                  <w:drawing>
                    <wp:anchor distT="45720" distB="45720" distL="114300" distR="114300" simplePos="0" relativeHeight="251672576" behindDoc="0" locked="0" layoutInCell="1" hidden="0" allowOverlap="1" wp14:anchorId="041BB4E6" wp14:editId="35F795A0">
                      <wp:simplePos x="0" y="0"/>
                      <wp:positionH relativeFrom="column">
                        <wp:posOffset>88901</wp:posOffset>
                      </wp:positionH>
                      <wp:positionV relativeFrom="paragraph">
                        <wp:posOffset>896620</wp:posOffset>
                      </wp:positionV>
                      <wp:extent cx="527110" cy="523324"/>
                      <wp:effectExtent l="0" t="0" r="0" b="0"/>
                      <wp:wrapNone/>
                      <wp:docPr id="218" name="Rectángulo 218"/>
                      <wp:cNvGraphicFramePr/>
                      <a:graphic xmlns:a="http://schemas.openxmlformats.org/drawingml/2006/main">
                        <a:graphicData uri="http://schemas.microsoft.com/office/word/2010/wordprocessingShape">
                          <wps:wsp>
                            <wps:cNvSpPr/>
                            <wps:spPr>
                              <a:xfrm>
                                <a:off x="5087208" y="3523101"/>
                                <a:ext cx="517585" cy="513799"/>
                              </a:xfrm>
                              <a:prstGeom prst="rect">
                                <a:avLst/>
                              </a:prstGeom>
                              <a:noFill/>
                              <a:ln>
                                <a:noFill/>
                              </a:ln>
                            </wps:spPr>
                            <wps:txbx>
                              <w:txbxContent>
                                <w:p w14:paraId="679BCC97" w14:textId="77777777" w:rsidR="00CA3CF2" w:rsidRDefault="00C6513E">
                                  <w:pPr>
                                    <w:textDirection w:val="btLr"/>
                                  </w:pPr>
                                  <w:r>
                                    <w:rPr>
                                      <w:b/>
                                      <w:color w:val="FF0000"/>
                                    </w:rPr>
                                    <w:t>2</w:t>
                                  </w:r>
                                </w:p>
                              </w:txbxContent>
                            </wps:txbx>
                            <wps:bodyPr spcFirstLastPara="1" wrap="square" lIns="91425" tIns="45700" rIns="91425" bIns="45700" anchor="t" anchorCtr="0">
                              <a:noAutofit/>
                            </wps:bodyPr>
                          </wps:wsp>
                        </a:graphicData>
                      </a:graphic>
                    </wp:anchor>
                  </w:drawing>
                </mc:Choice>
                <mc:Fallback>
                  <w:pict>
                    <v:rect w14:anchorId="041BB4E6" id="Rectángulo 218" o:spid="_x0000_s1040" style="position:absolute;left:0;text-align:left;margin-left:7pt;margin-top:70.6pt;width:41.5pt;height:41.2pt;z-index:25167257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" filled="f" stroked="f">
                      <v:textbox inset="2.53958mm,1.2694mm,2.53958mm,1.2694mm">
                        <w:txbxContent>
                          <w:p w14:paraId="679BCC97" w14:textId="77777777" w:rsidR="00CA3CF2" w:rsidRDefault="00C6513E">
                            <w:pPr>
                              <w:textDirection w:val="btLr"/>
                            </w:pPr>
                            <w:r>
                              <w:rPr>
                                <w:b/>
                                <w:color w:val="FF0000"/>
                              </w:rPr>
                              <w:t>2</w:t>
                            </w:r>
                          </w:p>
                        </w:txbxContent>
                      </v:textbox>
                    </v:rect>
                  </w:pict>
                </mc:Fallback>
              </mc:AlternateContent>
            </w:r>
            <w:r>
              <w:rPr>
                <w:noProof/>
              </w:rPr>
              <mc:AlternateContent>
                <mc:Choice Requires="wps">
                  <w:drawing>
                    <wp:anchor distT="45720" distB="45720" distL="114300" distR="114300" simplePos="0" relativeHeight="251673600" behindDoc="0" locked="0" layoutInCell="1" hidden="0" allowOverlap="1" wp14:anchorId="7633EC32" wp14:editId="40F92889">
                      <wp:simplePos x="0" y="0"/>
                      <wp:positionH relativeFrom="column">
                        <wp:posOffset>927100</wp:posOffset>
                      </wp:positionH>
                      <wp:positionV relativeFrom="paragraph">
                        <wp:posOffset>998220</wp:posOffset>
                      </wp:positionV>
                      <wp:extent cx="354582" cy="428433"/>
                      <wp:effectExtent l="0" t="0" r="0" b="0"/>
                      <wp:wrapNone/>
                      <wp:docPr id="222" name="Rectángulo 222"/>
                      <wp:cNvGraphicFramePr/>
                      <a:graphic xmlns:a="http://schemas.openxmlformats.org/drawingml/2006/main">
                        <a:graphicData uri="http://schemas.microsoft.com/office/word/2010/wordprocessingShape">
                          <wps:wsp>
                            <wps:cNvSpPr/>
                            <wps:spPr>
                              <a:xfrm>
                                <a:off x="5173472" y="3570546"/>
                                <a:ext cx="345057" cy="418908"/>
                              </a:xfrm>
                              <a:prstGeom prst="rect">
                                <a:avLst/>
                              </a:prstGeom>
                              <a:noFill/>
                              <a:ln>
                                <a:noFill/>
                              </a:ln>
                            </wps:spPr>
                            <wps:txbx>
                              <w:txbxContent>
                                <w:p w14:paraId="53C19B07" w14:textId="77777777" w:rsidR="00CA3CF2" w:rsidRDefault="00C6513E">
                                  <w:pPr>
                                    <w:textDirection w:val="btLr"/>
                                  </w:pPr>
                                  <w:r>
                                    <w:rPr>
                                      <w:b/>
                                      <w:color w:val="FF0000"/>
                                    </w:rPr>
                                    <w:t>3</w:t>
                                  </w:r>
                                </w:p>
                              </w:txbxContent>
                            </wps:txbx>
                            <wps:bodyPr spcFirstLastPara="1" wrap="square" lIns="91425" tIns="45700" rIns="91425" bIns="45700" anchor="t" anchorCtr="0">
                              <a:noAutofit/>
                            </wps:bodyPr>
                          </wps:wsp>
                        </a:graphicData>
                      </a:graphic>
                    </wp:anchor>
                  </w:drawing>
                </mc:Choice>
                <mc:Fallback>
                  <w:pict>
                    <v:rect w14:anchorId="7633EC32" id="Rectángulo 222" o:spid="_x0000_s1041" style="position:absolute;left:0;text-align:left;margin-left:73pt;margin-top:78.6pt;width:27.9pt;height:33.75pt;z-index:25167360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" filled="f" stroked="f">
                      <v:textbox inset="2.53958mm,1.2694mm,2.53958mm,1.2694mm">
                        <w:txbxContent>
                          <w:p w14:paraId="53C19B07" w14:textId="77777777" w:rsidR="00CA3CF2" w:rsidRDefault="00C6513E">
                            <w:pPr>
                              <w:textDirection w:val="btLr"/>
                            </w:pPr>
                            <w:r>
                              <w:rPr>
                                <w:b/>
                                <w:color w:val="FF0000"/>
                              </w:rPr>
                              <w:t>3</w:t>
                            </w:r>
                          </w:p>
                        </w:txbxContent>
                      </v:textbox>
                    </v:rect>
                  </w:pict>
                </mc:Fallback>
              </mc:AlternateContent>
            </w:r>
          </w:p>
        </w:tc>
      </w:tr>
    </w:tbl>
    <w:p w14:paraId="79C25380" w14:textId="77777777" w:rsidR="00CA3CF2" w:rsidRDefault="00CA3CF2">
      <w:pPr>
        <w:pBdr>
          <w:top w:val="nil"/>
          <w:left w:val="nil"/>
          <w:bottom w:val="nil"/>
          <w:right w:val="nil"/>
          <w:between w:val="nil"/>
        </w:pBdr>
        <w:rPr>
          <w:color w:val="000000"/>
        </w:rPr>
      </w:pPr>
    </w:p>
    <w:p w14:paraId="2F0A558E" w14:textId="77777777" w:rsidR="00CA3CF2" w:rsidRDefault="00CA3CF2">
      <w:pPr>
        <w:pBdr>
          <w:top w:val="nil"/>
          <w:left w:val="nil"/>
          <w:bottom w:val="nil"/>
          <w:right w:val="nil"/>
          <w:between w:val="nil"/>
        </w:pBdr>
        <w:rPr>
          <w:color w:val="000000"/>
          <w:sz w:val="16"/>
          <w:szCs w:val="16"/>
        </w:rPr>
      </w:pPr>
    </w:p>
    <w:p w14:paraId="3A80EC66" w14:textId="77777777" w:rsidR="00CA3CF2" w:rsidRDefault="00C6513E">
      <w:pPr>
        <w:pBdr>
          <w:top w:val="nil"/>
          <w:left w:val="nil"/>
          <w:bottom w:val="nil"/>
          <w:right w:val="nil"/>
          <w:between w:val="nil"/>
        </w:pBdr>
        <w:spacing w:line="360" w:lineRule="auto"/>
        <w:jc w:val="both"/>
        <w:rPr>
          <w:rFonts w:ascii="Arial" w:eastAsia="Arial" w:hAnsi="Arial" w:cs="Arial"/>
          <w:b/>
          <w:color w:val="000000"/>
          <w:sz w:val="24"/>
          <w:szCs w:val="24"/>
        </w:rPr>
      </w:pPr>
      <w:r>
        <w:rPr>
          <w:rFonts w:ascii="Arial" w:eastAsia="Arial" w:hAnsi="Arial" w:cs="Arial"/>
          <w:b/>
          <w:color w:val="000000"/>
          <w:sz w:val="24"/>
          <w:szCs w:val="24"/>
        </w:rPr>
        <w:t>2. Defensa</w:t>
      </w:r>
    </w:p>
    <w:p w14:paraId="7EF9C74A" w14:textId="77777777" w:rsidR="00CA3CF2" w:rsidRDefault="00CA3CF2">
      <w:pPr>
        <w:pBdr>
          <w:top w:val="nil"/>
          <w:left w:val="nil"/>
          <w:bottom w:val="nil"/>
          <w:right w:val="nil"/>
          <w:between w:val="nil"/>
        </w:pBdr>
        <w:rPr>
          <w:color w:val="000000"/>
        </w:rPr>
      </w:pPr>
    </w:p>
    <w:p w14:paraId="4F5F519A" w14:textId="77777777" w:rsidR="00CA3CF2" w:rsidRDefault="00C6513E">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2.1. Defensas de Anayeli Muñoz Moreno, María Guadalupe Arellano Espinosa, Gustavo Adolfo Granados Corzo y el partido político denunciado.  </w:t>
      </w:r>
      <w:r>
        <w:rPr>
          <w:rFonts w:ascii="Arial" w:eastAsia="Arial" w:hAnsi="Arial" w:cs="Arial"/>
          <w:color w:val="000000"/>
          <w:sz w:val="24"/>
          <w:szCs w:val="24"/>
        </w:rPr>
        <w:t>En sus respectivos escritos de contestación, manifestaron lo siguiente:</w:t>
      </w:r>
    </w:p>
    <w:p w14:paraId="16CA5432" w14:textId="77777777" w:rsidR="00CA3CF2" w:rsidRDefault="00C6513E">
      <w:pPr>
        <w:numPr>
          <w:ilvl w:val="0"/>
          <w:numId w:val="3"/>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Afirman que acudieron a los eventos referidos, en su calidad de militantes integrantes de un órgano partidista -Comisión Operativa Estatal de Movimiento Ciudadano-, por tanto, no se ostentaron como funcionarios ni erogaron recurso público. </w:t>
      </w:r>
    </w:p>
    <w:p w14:paraId="6B0CAE12" w14:textId="77777777" w:rsidR="00CA3CF2" w:rsidRDefault="00C6513E">
      <w:pPr>
        <w:numPr>
          <w:ilvl w:val="0"/>
          <w:numId w:val="3"/>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Aseguran que los hechos cuestionados se realizaron en días y horas inhábiles y, en consecuencia, su asistencia se encuentra protegida por su derecho a la libertad de reunión y asociación. </w:t>
      </w:r>
    </w:p>
    <w:p w14:paraId="607ED34F" w14:textId="77777777" w:rsidR="00CA3CF2" w:rsidRDefault="00C6513E">
      <w:pPr>
        <w:numPr>
          <w:ilvl w:val="0"/>
          <w:numId w:val="3"/>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Estiman que su presencia en los eventos en cuestión, no constituye una infracción, ya que estos no ostentan una titularidad de ninguno de los tres niveles de gobierno del Ejecutivo, servidores públicos a quienes no se les puede desvincular de tal carácter aún en horario inhábil. </w:t>
      </w:r>
    </w:p>
    <w:p w14:paraId="7C7D77C1" w14:textId="77777777" w:rsidR="00CA3CF2" w:rsidRDefault="00CA3CF2">
      <w:pPr>
        <w:pBdr>
          <w:top w:val="nil"/>
          <w:left w:val="nil"/>
          <w:bottom w:val="nil"/>
          <w:right w:val="nil"/>
          <w:between w:val="nil"/>
        </w:pBdr>
        <w:rPr>
          <w:color w:val="000000"/>
        </w:rPr>
      </w:pPr>
    </w:p>
    <w:p w14:paraId="74682331" w14:textId="77777777" w:rsidR="00CA3CF2" w:rsidRDefault="00C6513E">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2.2. Defensa de </w:t>
      </w:r>
      <w:proofErr w:type="spellStart"/>
      <w:r>
        <w:rPr>
          <w:rFonts w:ascii="Arial" w:eastAsia="Arial" w:hAnsi="Arial" w:cs="Arial"/>
          <w:b/>
          <w:color w:val="000000"/>
          <w:sz w:val="24"/>
          <w:szCs w:val="24"/>
        </w:rPr>
        <w:t>Yolytzín</w:t>
      </w:r>
      <w:proofErr w:type="spellEnd"/>
      <w:r>
        <w:rPr>
          <w:rFonts w:ascii="Arial" w:eastAsia="Arial" w:hAnsi="Arial" w:cs="Arial"/>
          <w:b/>
          <w:color w:val="000000"/>
          <w:sz w:val="24"/>
          <w:szCs w:val="24"/>
        </w:rPr>
        <w:t xml:space="preserve"> Alelí Rodríguez </w:t>
      </w:r>
      <w:proofErr w:type="spellStart"/>
      <w:r>
        <w:rPr>
          <w:rFonts w:ascii="Arial" w:eastAsia="Arial" w:hAnsi="Arial" w:cs="Arial"/>
          <w:b/>
          <w:color w:val="000000"/>
          <w:sz w:val="24"/>
          <w:szCs w:val="24"/>
        </w:rPr>
        <w:t>Sendejas</w:t>
      </w:r>
      <w:proofErr w:type="spellEnd"/>
      <w:r>
        <w:rPr>
          <w:rFonts w:ascii="Arial" w:eastAsia="Arial" w:hAnsi="Arial" w:cs="Arial"/>
          <w:color w:val="000000"/>
          <w:sz w:val="24"/>
          <w:szCs w:val="24"/>
        </w:rPr>
        <w:t xml:space="preserve">. En su escrito de contestación, hace valer lo siguiente: </w:t>
      </w:r>
    </w:p>
    <w:p w14:paraId="5A1B0736" w14:textId="77777777" w:rsidR="00CA3CF2" w:rsidRDefault="00C6513E">
      <w:pPr>
        <w:numPr>
          <w:ilvl w:val="0"/>
          <w:numId w:val="4"/>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Asegura que, a los servidores públicos del Poder Legislativo, se les reconoce un carácter bidimensional, consistente en la convivencia de su calidad de miembro del órgano parlamentario, con su afiliación partidista. De lo anterior, se reconoce su posibilidad de participar en actos de carácter político-partidistas. </w:t>
      </w:r>
    </w:p>
    <w:p w14:paraId="59F0788F" w14:textId="77777777" w:rsidR="00CA3CF2" w:rsidRDefault="00C6513E">
      <w:pPr>
        <w:numPr>
          <w:ilvl w:val="0"/>
          <w:numId w:val="4"/>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Afirma que los eventos denunciados, se realizaron los días 14, 15 y 28 de mayo, los cuales son considerados días inhábiles, por tanto, no se utilizó recurso público para favorecer a la candidatura cuestionada ni se comprometió su tiempo o actividades laborales. </w:t>
      </w:r>
    </w:p>
    <w:p w14:paraId="794DECE6" w14:textId="77777777" w:rsidR="00CA3CF2" w:rsidRDefault="00C6513E">
      <w:pPr>
        <w:numPr>
          <w:ilvl w:val="0"/>
          <w:numId w:val="4"/>
        </w:numPr>
        <w:pBdr>
          <w:top w:val="nil"/>
          <w:left w:val="nil"/>
          <w:bottom w:val="nil"/>
          <w:right w:val="nil"/>
          <w:between w:val="nil"/>
        </w:pBdr>
        <w:spacing w:line="360" w:lineRule="auto"/>
        <w:ind w:left="426"/>
        <w:jc w:val="both"/>
        <w:rPr>
          <w:rFonts w:ascii="Arial" w:eastAsia="Arial" w:hAnsi="Arial" w:cs="Arial"/>
          <w:color w:val="000000"/>
          <w:sz w:val="24"/>
          <w:szCs w:val="24"/>
        </w:rPr>
      </w:pPr>
      <w:r>
        <w:rPr>
          <w:rFonts w:ascii="Arial" w:eastAsia="Arial" w:hAnsi="Arial" w:cs="Arial"/>
          <w:color w:val="000000"/>
          <w:sz w:val="24"/>
          <w:szCs w:val="24"/>
        </w:rPr>
        <w:t xml:space="preserve">Estima que las publicaciones cuestionadas, no pueden ser consideradas como propaganda gubernamental ya que estas se realizaron en el perfil de Facebook de la entonces candidata Anayeli Muñoz Moreno. </w:t>
      </w:r>
    </w:p>
    <w:p w14:paraId="3D86236C" w14:textId="77777777" w:rsidR="00CA3CF2" w:rsidRDefault="00CA3CF2">
      <w:pPr>
        <w:pBdr>
          <w:top w:val="nil"/>
          <w:left w:val="nil"/>
          <w:bottom w:val="nil"/>
          <w:right w:val="nil"/>
          <w:between w:val="nil"/>
        </w:pBdr>
        <w:rPr>
          <w:color w:val="000000"/>
          <w:sz w:val="16"/>
          <w:szCs w:val="16"/>
        </w:rPr>
      </w:pPr>
    </w:p>
    <w:p w14:paraId="5E09C76A" w14:textId="77777777" w:rsidR="00CA3CF2" w:rsidRDefault="00C6513E">
      <w:pPr>
        <w:pBdr>
          <w:top w:val="nil"/>
          <w:left w:val="nil"/>
          <w:bottom w:val="nil"/>
          <w:right w:val="nil"/>
          <w:between w:val="nil"/>
        </w:pBdr>
        <w:tabs>
          <w:tab w:val="left" w:pos="567"/>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3. Descripción de los medios de prueba. </w:t>
      </w:r>
      <w:r>
        <w:rPr>
          <w:rFonts w:ascii="Arial" w:eastAsia="Arial" w:hAnsi="Arial" w:cs="Arial"/>
          <w:color w:val="000000"/>
          <w:sz w:val="24"/>
          <w:szCs w:val="24"/>
        </w:rPr>
        <w:t>Como se advierte de la audiencia de pruebas y alegatos, a las partes les fueron admitidas y desahogadas las siguientes probanzas:</w:t>
      </w:r>
    </w:p>
    <w:p w14:paraId="38341DE7" w14:textId="77777777" w:rsidR="00CA3CF2" w:rsidRDefault="00CA3CF2">
      <w:pPr>
        <w:pBdr>
          <w:top w:val="nil"/>
          <w:left w:val="nil"/>
          <w:bottom w:val="nil"/>
          <w:right w:val="nil"/>
          <w:between w:val="nil"/>
        </w:pBdr>
        <w:rPr>
          <w:color w:val="000000"/>
        </w:rPr>
      </w:pPr>
    </w:p>
    <w:p w14:paraId="426BEC14" w14:textId="77777777" w:rsidR="00CA3CF2" w:rsidRDefault="00C6513E">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lastRenderedPageBreak/>
        <w:t xml:space="preserve">3.1. Pruebas aportadas por el partido político denunciante: </w:t>
      </w:r>
    </w:p>
    <w:tbl>
      <w:tblPr>
        <w:tblStyle w:val="a9"/>
        <w:tblW w:w="978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20"/>
        <w:gridCol w:w="2145"/>
        <w:gridCol w:w="7215"/>
      </w:tblGrid>
      <w:tr w:rsidR="00CA3CF2" w14:paraId="52A6C93D" w14:textId="77777777" w:rsidTr="00CA3C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A6A6A6"/>
          </w:tcPr>
          <w:p w14:paraId="414C87D8" w14:textId="77777777" w:rsidR="00CA3CF2" w:rsidRDefault="00C6513E">
            <w:pPr>
              <w:jc w:val="center"/>
              <w:rPr>
                <w:rFonts w:ascii="Arial" w:eastAsia="Arial" w:hAnsi="Arial" w:cs="Arial"/>
                <w:sz w:val="16"/>
                <w:szCs w:val="16"/>
              </w:rPr>
            </w:pPr>
            <w:r>
              <w:rPr>
                <w:rFonts w:ascii="Arial" w:eastAsia="Arial" w:hAnsi="Arial" w:cs="Arial"/>
                <w:color w:val="000000"/>
                <w:sz w:val="16"/>
                <w:szCs w:val="16"/>
              </w:rPr>
              <w:t>#</w:t>
            </w:r>
          </w:p>
        </w:tc>
        <w:tc>
          <w:tcPr>
            <w:tcW w:w="2145" w:type="dxa"/>
            <w:shd w:val="clear" w:color="auto" w:fill="A6A6A6"/>
          </w:tcPr>
          <w:p w14:paraId="3004355F" w14:textId="77777777" w:rsidR="00CA3CF2" w:rsidRDefault="00C6513E">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7215" w:type="dxa"/>
            <w:shd w:val="clear" w:color="auto" w:fill="A6A6A6"/>
          </w:tcPr>
          <w:p w14:paraId="2C80576D" w14:textId="77777777" w:rsidR="00CA3CF2" w:rsidRDefault="00C6513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CA3CF2" w14:paraId="51E52E3B" w14:textId="77777777" w:rsidTr="00CA3CF2">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20" w:type="dxa"/>
            <w:shd w:val="clear" w:color="auto" w:fill="D9D9D9"/>
          </w:tcPr>
          <w:p w14:paraId="6382FE6D" w14:textId="77777777" w:rsidR="00CA3CF2" w:rsidRDefault="00C6513E">
            <w:pPr>
              <w:jc w:val="center"/>
              <w:rPr>
                <w:rFonts w:ascii="Arial" w:eastAsia="Arial" w:hAnsi="Arial" w:cs="Arial"/>
                <w:sz w:val="16"/>
                <w:szCs w:val="16"/>
              </w:rPr>
            </w:pPr>
            <w:r>
              <w:rPr>
                <w:rFonts w:ascii="Arial" w:eastAsia="Arial" w:hAnsi="Arial" w:cs="Arial"/>
                <w:sz w:val="16"/>
                <w:szCs w:val="16"/>
              </w:rPr>
              <w:t>1</w:t>
            </w:r>
          </w:p>
        </w:tc>
        <w:tc>
          <w:tcPr>
            <w:tcW w:w="2145" w:type="dxa"/>
            <w:shd w:val="clear" w:color="auto" w:fill="D9D9D9"/>
          </w:tcPr>
          <w:p w14:paraId="33679090" w14:textId="77777777" w:rsidR="00CA3CF2" w:rsidRDefault="00C6513E">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proofErr w:type="gramStart"/>
            <w:r>
              <w:rPr>
                <w:rFonts w:ascii="Arial" w:eastAsia="Arial" w:hAnsi="Arial" w:cs="Arial"/>
                <w:b/>
                <w:sz w:val="16"/>
                <w:szCs w:val="16"/>
              </w:rPr>
              <w:t>Documental pública</w:t>
            </w:r>
            <w:proofErr w:type="gramEnd"/>
          </w:p>
        </w:tc>
        <w:tc>
          <w:tcPr>
            <w:tcW w:w="7215" w:type="dxa"/>
            <w:shd w:val="clear" w:color="auto" w:fill="D9D9D9"/>
          </w:tcPr>
          <w:p w14:paraId="2721AC8C" w14:textId="77777777" w:rsidR="00CA3CF2" w:rsidRDefault="00C6513E">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Oficialía Electoral IEE/OE/134/2022.</w:t>
            </w:r>
          </w:p>
        </w:tc>
      </w:tr>
      <w:tr w:rsidR="00CA3CF2" w14:paraId="0EE0381A" w14:textId="77777777" w:rsidTr="00CA3CF2">
        <w:trPr>
          <w:trHeight w:val="225"/>
        </w:trPr>
        <w:tc>
          <w:tcPr>
            <w:cnfStyle w:val="001000000000" w:firstRow="0" w:lastRow="0" w:firstColumn="1" w:lastColumn="0" w:oddVBand="0" w:evenVBand="0" w:oddHBand="0" w:evenHBand="0" w:firstRowFirstColumn="0" w:firstRowLastColumn="0" w:lastRowFirstColumn="0" w:lastRowLastColumn="0"/>
            <w:tcW w:w="420" w:type="dxa"/>
          </w:tcPr>
          <w:p w14:paraId="602B7030" w14:textId="77777777" w:rsidR="00CA3CF2" w:rsidRDefault="00C6513E">
            <w:pPr>
              <w:rPr>
                <w:rFonts w:ascii="Arial" w:eastAsia="Arial" w:hAnsi="Arial" w:cs="Arial"/>
                <w:sz w:val="16"/>
                <w:szCs w:val="16"/>
              </w:rPr>
            </w:pPr>
            <w:r>
              <w:rPr>
                <w:rFonts w:ascii="Arial" w:eastAsia="Arial" w:hAnsi="Arial" w:cs="Arial"/>
                <w:sz w:val="16"/>
                <w:szCs w:val="16"/>
              </w:rPr>
              <w:t xml:space="preserve"> 2</w:t>
            </w:r>
          </w:p>
        </w:tc>
        <w:tc>
          <w:tcPr>
            <w:tcW w:w="2145" w:type="dxa"/>
          </w:tcPr>
          <w:p w14:paraId="7D7BCAB5" w14:textId="77777777" w:rsidR="00CA3CF2" w:rsidRDefault="00C6513E">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 xml:space="preserve">Instrumental de actuaciones </w:t>
            </w:r>
          </w:p>
        </w:tc>
        <w:tc>
          <w:tcPr>
            <w:tcW w:w="7215" w:type="dxa"/>
          </w:tcPr>
          <w:p w14:paraId="111C89D4" w14:textId="77777777" w:rsidR="00CA3CF2" w:rsidRDefault="00C6513E">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CA3CF2" w14:paraId="5FA7A1FF" w14:textId="77777777" w:rsidTr="00CA3C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D9D9D9"/>
          </w:tcPr>
          <w:p w14:paraId="4AD4E5C2" w14:textId="77777777" w:rsidR="00CA3CF2" w:rsidRDefault="00C6513E">
            <w:pPr>
              <w:jc w:val="center"/>
              <w:rPr>
                <w:rFonts w:ascii="Arial" w:eastAsia="Arial" w:hAnsi="Arial" w:cs="Arial"/>
                <w:sz w:val="16"/>
                <w:szCs w:val="16"/>
              </w:rPr>
            </w:pPr>
            <w:r>
              <w:rPr>
                <w:rFonts w:ascii="Arial" w:eastAsia="Arial" w:hAnsi="Arial" w:cs="Arial"/>
                <w:sz w:val="16"/>
                <w:szCs w:val="16"/>
              </w:rPr>
              <w:t>3</w:t>
            </w:r>
          </w:p>
        </w:tc>
        <w:tc>
          <w:tcPr>
            <w:tcW w:w="2145" w:type="dxa"/>
            <w:shd w:val="clear" w:color="auto" w:fill="D9D9D9"/>
          </w:tcPr>
          <w:p w14:paraId="647F12AD" w14:textId="77777777" w:rsidR="00CA3CF2" w:rsidRDefault="00C6513E">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legal y humana</w:t>
            </w:r>
          </w:p>
        </w:tc>
        <w:tc>
          <w:tcPr>
            <w:tcW w:w="7215" w:type="dxa"/>
            <w:shd w:val="clear" w:color="auto" w:fill="D9D9D9"/>
          </w:tcPr>
          <w:p w14:paraId="79FC5075" w14:textId="77777777" w:rsidR="00CA3CF2" w:rsidRDefault="00C6513E">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3CFE9977" w14:textId="77777777" w:rsidR="00CA3CF2" w:rsidRDefault="00CA3CF2">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0E523E4E" w14:textId="77777777" w:rsidR="00CA3CF2" w:rsidRDefault="00C6513E">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3.2. Pruebas aportadas por Anayeli Muñoz Moreno, María Guadalupe Arellano Espinosa, Gustavo Adolfo Granados Corzo y el partido político denunciado:</w:t>
      </w:r>
    </w:p>
    <w:p w14:paraId="042CE22C" w14:textId="77777777" w:rsidR="00CA3CF2" w:rsidRDefault="00CA3CF2">
      <w:pPr>
        <w:pBdr>
          <w:top w:val="nil"/>
          <w:left w:val="nil"/>
          <w:bottom w:val="nil"/>
          <w:right w:val="nil"/>
          <w:between w:val="nil"/>
        </w:pBdr>
        <w:rPr>
          <w:color w:val="000000"/>
        </w:rPr>
      </w:pPr>
    </w:p>
    <w:tbl>
      <w:tblPr>
        <w:tblStyle w:val="aa"/>
        <w:tblW w:w="9795" w:type="dxa"/>
        <w:tblInd w:w="0" w:type="dxa"/>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Layout w:type="fixed"/>
        <w:tblLook w:val="04A0" w:firstRow="1" w:lastRow="0" w:firstColumn="1" w:lastColumn="0" w:noHBand="0" w:noVBand="1"/>
      </w:tblPr>
      <w:tblGrid>
        <w:gridCol w:w="420"/>
        <w:gridCol w:w="2145"/>
        <w:gridCol w:w="7230"/>
      </w:tblGrid>
      <w:tr w:rsidR="00CA3CF2" w14:paraId="18FC11E0" w14:textId="77777777" w:rsidTr="00CA3C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48ED6F6D" w14:textId="77777777" w:rsidR="00CA3CF2" w:rsidRDefault="00C6513E">
            <w:pPr>
              <w:jc w:val="center"/>
              <w:rPr>
                <w:rFonts w:ascii="Arial" w:eastAsia="Arial" w:hAnsi="Arial" w:cs="Arial"/>
                <w:sz w:val="16"/>
                <w:szCs w:val="16"/>
              </w:rPr>
            </w:pPr>
            <w:r>
              <w:rPr>
                <w:rFonts w:ascii="Arial" w:eastAsia="Arial" w:hAnsi="Arial" w:cs="Arial"/>
                <w:color w:val="000000"/>
                <w:sz w:val="16"/>
                <w:szCs w:val="16"/>
              </w:rPr>
              <w:t>#</w:t>
            </w:r>
          </w:p>
        </w:tc>
        <w:tc>
          <w:tcPr>
            <w:tcW w:w="2145" w:type="dxa"/>
          </w:tcPr>
          <w:p w14:paraId="57D88056" w14:textId="77777777" w:rsidR="00CA3CF2" w:rsidRDefault="00C6513E">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7230" w:type="dxa"/>
          </w:tcPr>
          <w:p w14:paraId="27C057FB" w14:textId="77777777" w:rsidR="00CA3CF2" w:rsidRDefault="00C6513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CA3CF2" w14:paraId="37DDC0DC" w14:textId="77777777" w:rsidTr="00CA3CF2">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20" w:type="dxa"/>
          </w:tcPr>
          <w:p w14:paraId="1946821D" w14:textId="77777777" w:rsidR="00CA3CF2" w:rsidRDefault="00C6513E">
            <w:pPr>
              <w:jc w:val="center"/>
              <w:rPr>
                <w:rFonts w:ascii="Arial" w:eastAsia="Arial" w:hAnsi="Arial" w:cs="Arial"/>
                <w:sz w:val="16"/>
                <w:szCs w:val="16"/>
              </w:rPr>
            </w:pPr>
            <w:r>
              <w:rPr>
                <w:rFonts w:ascii="Arial" w:eastAsia="Arial" w:hAnsi="Arial" w:cs="Arial"/>
                <w:sz w:val="16"/>
                <w:szCs w:val="16"/>
              </w:rPr>
              <w:t>1</w:t>
            </w:r>
          </w:p>
        </w:tc>
        <w:tc>
          <w:tcPr>
            <w:tcW w:w="2145" w:type="dxa"/>
          </w:tcPr>
          <w:p w14:paraId="40FA4DCE" w14:textId="77777777" w:rsidR="00CA3CF2" w:rsidRDefault="00C6513E">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proofErr w:type="gramStart"/>
            <w:r>
              <w:rPr>
                <w:rFonts w:ascii="Arial" w:eastAsia="Arial" w:hAnsi="Arial" w:cs="Arial"/>
                <w:b/>
                <w:sz w:val="16"/>
                <w:szCs w:val="16"/>
              </w:rPr>
              <w:t>Documental privada</w:t>
            </w:r>
            <w:proofErr w:type="gramEnd"/>
          </w:p>
        </w:tc>
        <w:tc>
          <w:tcPr>
            <w:tcW w:w="7230" w:type="dxa"/>
          </w:tcPr>
          <w:p w14:paraId="5D87A54F" w14:textId="77777777" w:rsidR="00CA3CF2" w:rsidRDefault="00C6513E">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 xml:space="preserve">Copia simple de la certificación de la integración de la Comisión Operativa Estatal de Movimiento Ciudadano en Aguascalientes. </w:t>
            </w:r>
          </w:p>
        </w:tc>
      </w:tr>
      <w:tr w:rsidR="00CA3CF2" w14:paraId="21235E9B" w14:textId="77777777" w:rsidTr="00CA3CF2">
        <w:trPr>
          <w:trHeight w:val="225"/>
        </w:trPr>
        <w:tc>
          <w:tcPr>
            <w:cnfStyle w:val="001000000000" w:firstRow="0" w:lastRow="0" w:firstColumn="1" w:lastColumn="0" w:oddVBand="0" w:evenVBand="0" w:oddHBand="0" w:evenHBand="0" w:firstRowFirstColumn="0" w:firstRowLastColumn="0" w:lastRowFirstColumn="0" w:lastRowLastColumn="0"/>
            <w:tcW w:w="420" w:type="dxa"/>
          </w:tcPr>
          <w:p w14:paraId="513C86BF" w14:textId="77777777" w:rsidR="00CA3CF2" w:rsidRDefault="00C6513E">
            <w:pPr>
              <w:jc w:val="center"/>
              <w:rPr>
                <w:rFonts w:ascii="Arial" w:eastAsia="Arial" w:hAnsi="Arial" w:cs="Arial"/>
                <w:sz w:val="16"/>
                <w:szCs w:val="16"/>
              </w:rPr>
            </w:pPr>
            <w:r>
              <w:rPr>
                <w:rFonts w:ascii="Arial" w:eastAsia="Arial" w:hAnsi="Arial" w:cs="Arial"/>
                <w:sz w:val="16"/>
                <w:szCs w:val="16"/>
              </w:rPr>
              <w:t>2</w:t>
            </w:r>
          </w:p>
        </w:tc>
        <w:tc>
          <w:tcPr>
            <w:tcW w:w="2145" w:type="dxa"/>
          </w:tcPr>
          <w:p w14:paraId="1A0A2A86" w14:textId="77777777" w:rsidR="00CA3CF2" w:rsidRDefault="00C6513E">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 xml:space="preserve">Instrumental de actuaciones </w:t>
            </w:r>
          </w:p>
        </w:tc>
        <w:tc>
          <w:tcPr>
            <w:tcW w:w="7230" w:type="dxa"/>
          </w:tcPr>
          <w:p w14:paraId="130E280E" w14:textId="77777777" w:rsidR="00CA3CF2" w:rsidRDefault="00C6513E">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r w:rsidR="00CA3CF2" w14:paraId="376303B5" w14:textId="77777777" w:rsidTr="00CA3C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64F118A7" w14:textId="77777777" w:rsidR="00CA3CF2" w:rsidRDefault="00C6513E">
            <w:pPr>
              <w:jc w:val="center"/>
              <w:rPr>
                <w:rFonts w:ascii="Arial" w:eastAsia="Arial" w:hAnsi="Arial" w:cs="Arial"/>
                <w:sz w:val="16"/>
                <w:szCs w:val="16"/>
              </w:rPr>
            </w:pPr>
            <w:r>
              <w:rPr>
                <w:rFonts w:ascii="Arial" w:eastAsia="Arial" w:hAnsi="Arial" w:cs="Arial"/>
                <w:sz w:val="16"/>
                <w:szCs w:val="16"/>
              </w:rPr>
              <w:t>3</w:t>
            </w:r>
          </w:p>
        </w:tc>
        <w:tc>
          <w:tcPr>
            <w:tcW w:w="2145" w:type="dxa"/>
          </w:tcPr>
          <w:p w14:paraId="104BAF4A" w14:textId="77777777" w:rsidR="00CA3CF2" w:rsidRDefault="00C6513E">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r>
              <w:rPr>
                <w:rFonts w:ascii="Arial" w:eastAsia="Arial" w:hAnsi="Arial" w:cs="Arial"/>
                <w:b/>
                <w:sz w:val="16"/>
                <w:szCs w:val="16"/>
              </w:rPr>
              <w:t>Presuncional legal y humana</w:t>
            </w:r>
          </w:p>
        </w:tc>
        <w:tc>
          <w:tcPr>
            <w:tcW w:w="7230" w:type="dxa"/>
          </w:tcPr>
          <w:p w14:paraId="42905D95" w14:textId="77777777" w:rsidR="00CA3CF2" w:rsidRDefault="00C6513E">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Todo lo que por su contenido y alcance favorezca a sus intereses.</w:t>
            </w:r>
          </w:p>
        </w:tc>
      </w:tr>
    </w:tbl>
    <w:p w14:paraId="6C9203C7" w14:textId="77777777" w:rsidR="00CA3CF2" w:rsidRDefault="00CA3CF2">
      <w:pPr>
        <w:pBdr>
          <w:top w:val="nil"/>
          <w:left w:val="nil"/>
          <w:bottom w:val="nil"/>
          <w:right w:val="nil"/>
          <w:between w:val="nil"/>
        </w:pBdr>
        <w:rPr>
          <w:color w:val="000000"/>
        </w:rPr>
      </w:pPr>
    </w:p>
    <w:p w14:paraId="38A7DF02" w14:textId="77777777" w:rsidR="00CA3CF2" w:rsidRDefault="00C6513E">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3.3. Prueba aportada por </w:t>
      </w:r>
      <w:proofErr w:type="spellStart"/>
      <w:r>
        <w:rPr>
          <w:rFonts w:ascii="Arial" w:eastAsia="Arial" w:hAnsi="Arial" w:cs="Arial"/>
          <w:b/>
          <w:color w:val="000000"/>
          <w:sz w:val="24"/>
          <w:szCs w:val="24"/>
        </w:rPr>
        <w:t>Yolytzín</w:t>
      </w:r>
      <w:proofErr w:type="spellEnd"/>
      <w:r>
        <w:rPr>
          <w:rFonts w:ascii="Arial" w:eastAsia="Arial" w:hAnsi="Arial" w:cs="Arial"/>
          <w:b/>
          <w:color w:val="000000"/>
          <w:sz w:val="24"/>
          <w:szCs w:val="24"/>
        </w:rPr>
        <w:t xml:space="preserve"> Alelí Rodríguez </w:t>
      </w:r>
      <w:proofErr w:type="spellStart"/>
      <w:r>
        <w:rPr>
          <w:rFonts w:ascii="Arial" w:eastAsia="Arial" w:hAnsi="Arial" w:cs="Arial"/>
          <w:b/>
          <w:color w:val="000000"/>
          <w:sz w:val="24"/>
          <w:szCs w:val="24"/>
        </w:rPr>
        <w:t>Sendejas</w:t>
      </w:r>
      <w:proofErr w:type="spellEnd"/>
      <w:r>
        <w:rPr>
          <w:rFonts w:ascii="Arial" w:eastAsia="Arial" w:hAnsi="Arial" w:cs="Arial"/>
          <w:b/>
          <w:color w:val="000000"/>
          <w:sz w:val="24"/>
          <w:szCs w:val="24"/>
        </w:rPr>
        <w:t xml:space="preserve">: </w:t>
      </w:r>
    </w:p>
    <w:tbl>
      <w:tblPr>
        <w:tblStyle w:val="ab"/>
        <w:tblW w:w="9750" w:type="dxa"/>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420"/>
        <w:gridCol w:w="2145"/>
        <w:gridCol w:w="7185"/>
      </w:tblGrid>
      <w:tr w:rsidR="00CA3CF2" w14:paraId="2B1290ED" w14:textId="77777777" w:rsidTr="00CA3C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shd w:val="clear" w:color="auto" w:fill="A6A6A6"/>
          </w:tcPr>
          <w:p w14:paraId="1B2310FE" w14:textId="77777777" w:rsidR="00CA3CF2" w:rsidRDefault="00C6513E">
            <w:pPr>
              <w:jc w:val="center"/>
              <w:rPr>
                <w:rFonts w:ascii="Arial" w:eastAsia="Arial" w:hAnsi="Arial" w:cs="Arial"/>
                <w:sz w:val="16"/>
                <w:szCs w:val="16"/>
              </w:rPr>
            </w:pPr>
            <w:r>
              <w:rPr>
                <w:rFonts w:ascii="Arial" w:eastAsia="Arial" w:hAnsi="Arial" w:cs="Arial"/>
                <w:color w:val="000000"/>
                <w:sz w:val="16"/>
                <w:szCs w:val="16"/>
              </w:rPr>
              <w:t>#</w:t>
            </w:r>
          </w:p>
        </w:tc>
        <w:tc>
          <w:tcPr>
            <w:tcW w:w="2145" w:type="dxa"/>
            <w:shd w:val="clear" w:color="auto" w:fill="A6A6A6"/>
          </w:tcPr>
          <w:p w14:paraId="2B4F9BC5" w14:textId="77777777" w:rsidR="00CA3CF2" w:rsidRDefault="00C6513E">
            <w:pP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Prueba</w:t>
            </w:r>
          </w:p>
        </w:tc>
        <w:tc>
          <w:tcPr>
            <w:tcW w:w="7185" w:type="dxa"/>
            <w:shd w:val="clear" w:color="auto" w:fill="A6A6A6"/>
          </w:tcPr>
          <w:p w14:paraId="28179096" w14:textId="77777777" w:rsidR="00CA3CF2" w:rsidRDefault="00C6513E">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16"/>
                <w:szCs w:val="16"/>
              </w:rPr>
            </w:pPr>
            <w:r>
              <w:rPr>
                <w:rFonts w:ascii="Arial" w:eastAsia="Arial" w:hAnsi="Arial" w:cs="Arial"/>
                <w:color w:val="000000"/>
                <w:sz w:val="16"/>
                <w:szCs w:val="16"/>
              </w:rPr>
              <w:t>Consistente en</w:t>
            </w:r>
          </w:p>
        </w:tc>
      </w:tr>
      <w:tr w:rsidR="00CA3CF2" w14:paraId="4310DD87" w14:textId="77777777" w:rsidTr="00CA3CF2">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420" w:type="dxa"/>
            <w:shd w:val="clear" w:color="auto" w:fill="D9D9D9"/>
          </w:tcPr>
          <w:p w14:paraId="024EA40D" w14:textId="77777777" w:rsidR="00CA3CF2" w:rsidRDefault="00C6513E">
            <w:pPr>
              <w:jc w:val="center"/>
              <w:rPr>
                <w:rFonts w:ascii="Arial" w:eastAsia="Arial" w:hAnsi="Arial" w:cs="Arial"/>
                <w:sz w:val="16"/>
                <w:szCs w:val="16"/>
              </w:rPr>
            </w:pPr>
            <w:r>
              <w:rPr>
                <w:rFonts w:ascii="Arial" w:eastAsia="Arial" w:hAnsi="Arial" w:cs="Arial"/>
                <w:sz w:val="16"/>
                <w:szCs w:val="16"/>
              </w:rPr>
              <w:t>1</w:t>
            </w:r>
          </w:p>
        </w:tc>
        <w:tc>
          <w:tcPr>
            <w:tcW w:w="2145" w:type="dxa"/>
            <w:shd w:val="clear" w:color="auto" w:fill="D9D9D9"/>
          </w:tcPr>
          <w:p w14:paraId="1DF832EF" w14:textId="77777777" w:rsidR="00CA3CF2" w:rsidRDefault="00C6513E">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6"/>
                <w:szCs w:val="16"/>
              </w:rPr>
            </w:pPr>
            <w:proofErr w:type="gramStart"/>
            <w:r>
              <w:rPr>
                <w:rFonts w:ascii="Arial" w:eastAsia="Arial" w:hAnsi="Arial" w:cs="Arial"/>
                <w:b/>
                <w:sz w:val="16"/>
                <w:szCs w:val="16"/>
              </w:rPr>
              <w:t>Documental pública</w:t>
            </w:r>
            <w:proofErr w:type="gramEnd"/>
          </w:p>
        </w:tc>
        <w:tc>
          <w:tcPr>
            <w:tcW w:w="7185" w:type="dxa"/>
            <w:shd w:val="clear" w:color="auto" w:fill="D9D9D9"/>
          </w:tcPr>
          <w:p w14:paraId="55C6B4BF" w14:textId="77777777" w:rsidR="00CA3CF2" w:rsidRDefault="00C6513E">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6"/>
                <w:szCs w:val="16"/>
              </w:rPr>
            </w:pPr>
            <w:r>
              <w:rPr>
                <w:rFonts w:ascii="Arial" w:eastAsia="Arial" w:hAnsi="Arial" w:cs="Arial"/>
                <w:sz w:val="16"/>
                <w:szCs w:val="16"/>
              </w:rPr>
              <w:t xml:space="preserve">Oficio número SG/0092/2022 emitido por el </w:t>
            </w:r>
            <w:proofErr w:type="gramStart"/>
            <w:r>
              <w:rPr>
                <w:rFonts w:ascii="Arial" w:eastAsia="Arial" w:hAnsi="Arial" w:cs="Arial"/>
                <w:sz w:val="16"/>
                <w:szCs w:val="16"/>
              </w:rPr>
              <w:t>Secretario General</w:t>
            </w:r>
            <w:proofErr w:type="gramEnd"/>
            <w:r>
              <w:rPr>
                <w:rFonts w:ascii="Arial" w:eastAsia="Arial" w:hAnsi="Arial" w:cs="Arial"/>
                <w:sz w:val="16"/>
                <w:szCs w:val="16"/>
              </w:rPr>
              <w:t xml:space="preserve"> del Poder Legislativo del Estado de Aguascalientes. </w:t>
            </w:r>
          </w:p>
        </w:tc>
      </w:tr>
    </w:tbl>
    <w:p w14:paraId="790F4B39" w14:textId="77777777" w:rsidR="00CA3CF2" w:rsidRDefault="00CA3CF2">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p>
    <w:p w14:paraId="5AC5B8F9" w14:textId="77777777" w:rsidR="00CA3CF2" w:rsidRDefault="00C6513E">
      <w:pPr>
        <w:pBdr>
          <w:top w:val="nil"/>
          <w:left w:val="nil"/>
          <w:bottom w:val="nil"/>
          <w:right w:val="nil"/>
          <w:between w:val="nil"/>
        </w:pBdr>
        <w:tabs>
          <w:tab w:val="left" w:pos="567"/>
        </w:tabs>
        <w:spacing w:line="360" w:lineRule="auto"/>
        <w:jc w:val="both"/>
        <w:rPr>
          <w:rFonts w:ascii="Arial" w:eastAsia="Arial" w:hAnsi="Arial" w:cs="Arial"/>
          <w:color w:val="000000"/>
          <w:sz w:val="24"/>
          <w:szCs w:val="24"/>
          <w:vertAlign w:val="superscript"/>
        </w:rPr>
      </w:pPr>
      <w:r>
        <w:rPr>
          <w:rFonts w:ascii="Arial" w:eastAsia="Arial" w:hAnsi="Arial" w:cs="Arial"/>
          <w:b/>
          <w:color w:val="000000"/>
          <w:sz w:val="24"/>
          <w:szCs w:val="24"/>
        </w:rPr>
        <w:t xml:space="preserve">3.4. Valoración de pruebas. </w:t>
      </w:r>
      <w:r>
        <w:rPr>
          <w:rFonts w:ascii="Arial" w:eastAsia="Arial" w:hAnsi="Arial" w:cs="Arial"/>
          <w:color w:val="000000"/>
          <w:sz w:val="24"/>
          <w:szCs w:val="24"/>
        </w:rPr>
        <w:t xml:space="preserve">Las pruebas antes descritas, se valoran </w:t>
      </w:r>
      <w:r>
        <w:rPr>
          <w:rFonts w:ascii="Arial" w:eastAsia="Arial" w:hAnsi="Arial" w:cs="Arial"/>
          <w:sz w:val="24"/>
          <w:szCs w:val="24"/>
        </w:rPr>
        <w:t>conforme al</w:t>
      </w:r>
      <w:r>
        <w:rPr>
          <w:rFonts w:ascii="Arial" w:eastAsia="Arial" w:hAnsi="Arial" w:cs="Arial"/>
          <w:color w:val="000000"/>
          <w:sz w:val="24"/>
          <w:szCs w:val="24"/>
        </w:rPr>
        <w:t xml:space="preserve"> Código Electoral.</w:t>
      </w:r>
      <w:r>
        <w:rPr>
          <w:rFonts w:ascii="Arial" w:eastAsia="Arial" w:hAnsi="Arial" w:cs="Arial"/>
          <w:color w:val="000000"/>
          <w:sz w:val="24"/>
          <w:szCs w:val="24"/>
          <w:vertAlign w:val="superscript"/>
        </w:rPr>
        <w:t xml:space="preserve"> </w:t>
      </w:r>
      <w:r>
        <w:rPr>
          <w:rFonts w:ascii="Arial" w:eastAsia="Arial" w:hAnsi="Arial" w:cs="Arial"/>
          <w:color w:val="000000"/>
          <w:sz w:val="24"/>
          <w:szCs w:val="24"/>
          <w:vertAlign w:val="superscript"/>
        </w:rPr>
        <w:footnoteReference w:id="6"/>
      </w:r>
    </w:p>
    <w:p w14:paraId="6E561E9E" w14:textId="77777777" w:rsidR="00CA3CF2" w:rsidRDefault="00CA3CF2">
      <w:pPr>
        <w:pBdr>
          <w:top w:val="nil"/>
          <w:left w:val="nil"/>
          <w:bottom w:val="nil"/>
          <w:right w:val="nil"/>
          <w:between w:val="nil"/>
        </w:pBdr>
        <w:rPr>
          <w:color w:val="000000"/>
        </w:rPr>
      </w:pPr>
    </w:p>
    <w:p w14:paraId="78E17E65" w14:textId="77777777" w:rsidR="00CA3CF2" w:rsidRDefault="00C6513E">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color w:val="000000"/>
          <w:sz w:val="24"/>
          <w:szCs w:val="24"/>
        </w:rPr>
        <w:t xml:space="preserve">4.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7DBAD137" w14:textId="77777777" w:rsidR="00CA3CF2" w:rsidRDefault="00CA3CF2">
      <w:pPr>
        <w:pBdr>
          <w:top w:val="nil"/>
          <w:left w:val="nil"/>
          <w:bottom w:val="nil"/>
          <w:right w:val="nil"/>
          <w:between w:val="nil"/>
        </w:pBdr>
        <w:rPr>
          <w:color w:val="000000"/>
          <w:sz w:val="10"/>
          <w:szCs w:val="10"/>
        </w:rPr>
      </w:pPr>
    </w:p>
    <w:p w14:paraId="02F913CF" w14:textId="77777777" w:rsidR="00CA3CF2" w:rsidRDefault="00C6513E">
      <w:pPr>
        <w:numPr>
          <w:ilvl w:val="0"/>
          <w:numId w:val="5"/>
        </w:numPr>
        <w:pBdr>
          <w:top w:val="nil"/>
          <w:left w:val="nil"/>
          <w:bottom w:val="nil"/>
          <w:right w:val="nil"/>
          <w:between w:val="nil"/>
        </w:pBdr>
        <w:tabs>
          <w:tab w:val="left" w:pos="-155"/>
        </w:tabs>
        <w:spacing w:line="360" w:lineRule="auto"/>
        <w:ind w:left="0" w:right="36" w:firstLine="0"/>
        <w:jc w:val="both"/>
        <w:rPr>
          <w:color w:val="000000"/>
          <w:sz w:val="24"/>
          <w:szCs w:val="24"/>
        </w:rPr>
      </w:pPr>
      <w:r>
        <w:rPr>
          <w:rFonts w:ascii="Arial" w:eastAsia="Arial" w:hAnsi="Arial" w:cs="Arial"/>
          <w:color w:val="000000"/>
          <w:sz w:val="24"/>
          <w:szCs w:val="24"/>
        </w:rPr>
        <w:t xml:space="preserve">La existencia de las publicaciones denunciadas, en las cuales aparece la entonces candidata de Movimiento Ciudadano, Anayeli Muñoz Moreno, acompañada de las y los servidores públicos denunciados. </w:t>
      </w:r>
    </w:p>
    <w:p w14:paraId="2879A42C" w14:textId="77777777" w:rsidR="00CA3CF2" w:rsidRDefault="00C6513E">
      <w:pPr>
        <w:numPr>
          <w:ilvl w:val="0"/>
          <w:numId w:val="5"/>
        </w:numPr>
        <w:pBdr>
          <w:top w:val="nil"/>
          <w:left w:val="nil"/>
          <w:bottom w:val="nil"/>
          <w:right w:val="nil"/>
          <w:between w:val="nil"/>
        </w:pBdr>
        <w:tabs>
          <w:tab w:val="left" w:pos="-155"/>
        </w:tabs>
        <w:spacing w:line="360" w:lineRule="auto"/>
        <w:ind w:left="0" w:right="36" w:firstLine="0"/>
        <w:jc w:val="both"/>
        <w:rPr>
          <w:color w:val="000000"/>
          <w:sz w:val="24"/>
          <w:szCs w:val="24"/>
        </w:rPr>
      </w:pPr>
      <w:r>
        <w:rPr>
          <w:rFonts w:ascii="Arial" w:eastAsia="Arial" w:hAnsi="Arial" w:cs="Arial"/>
          <w:color w:val="000000"/>
          <w:sz w:val="24"/>
          <w:szCs w:val="24"/>
        </w:rPr>
        <w:t>La realización de los eventos proselitistas en favor de la candidata cuestionada, a los cuales acudieron las regidurías y la diputación denunciadas.</w:t>
      </w:r>
    </w:p>
    <w:p w14:paraId="5D9BF9C3" w14:textId="77777777" w:rsidR="00CA3CF2" w:rsidRDefault="00C6513E">
      <w:pPr>
        <w:numPr>
          <w:ilvl w:val="0"/>
          <w:numId w:val="5"/>
        </w:numPr>
        <w:pBdr>
          <w:top w:val="nil"/>
          <w:left w:val="nil"/>
          <w:bottom w:val="nil"/>
          <w:right w:val="nil"/>
          <w:between w:val="nil"/>
        </w:pBdr>
        <w:tabs>
          <w:tab w:val="left" w:pos="-155"/>
        </w:tabs>
        <w:spacing w:line="360" w:lineRule="auto"/>
        <w:ind w:left="0" w:right="36" w:firstLine="0"/>
        <w:jc w:val="both"/>
        <w:rPr>
          <w:color w:val="000000"/>
          <w:sz w:val="24"/>
          <w:szCs w:val="24"/>
        </w:rPr>
      </w:pPr>
      <w:r>
        <w:rPr>
          <w:rFonts w:ascii="Arial" w:eastAsia="Arial" w:hAnsi="Arial" w:cs="Arial"/>
          <w:color w:val="000000"/>
          <w:sz w:val="24"/>
          <w:szCs w:val="24"/>
        </w:rPr>
        <w:t>La calidad de María Guadalupe Arellano Espinosa y Gustavo Adolfo Granados Corzo, como regidores de la actual administración del Ayuntamiento de Aguascalientes.</w:t>
      </w:r>
    </w:p>
    <w:p w14:paraId="43C98D26" w14:textId="77777777" w:rsidR="00CA3CF2" w:rsidRDefault="00C6513E">
      <w:pPr>
        <w:numPr>
          <w:ilvl w:val="0"/>
          <w:numId w:val="5"/>
        </w:numPr>
        <w:pBdr>
          <w:top w:val="nil"/>
          <w:left w:val="nil"/>
          <w:bottom w:val="nil"/>
          <w:right w:val="nil"/>
          <w:between w:val="nil"/>
        </w:pBdr>
        <w:tabs>
          <w:tab w:val="left" w:pos="-155"/>
        </w:tabs>
        <w:spacing w:line="360" w:lineRule="auto"/>
        <w:ind w:left="0" w:right="36" w:firstLine="0"/>
        <w:jc w:val="both"/>
        <w:rPr>
          <w:color w:val="000000"/>
          <w:sz w:val="24"/>
          <w:szCs w:val="24"/>
        </w:rPr>
      </w:pPr>
      <w:r>
        <w:rPr>
          <w:rFonts w:ascii="Arial" w:eastAsia="Arial" w:hAnsi="Arial" w:cs="Arial"/>
          <w:color w:val="000000"/>
          <w:sz w:val="24"/>
          <w:szCs w:val="24"/>
        </w:rPr>
        <w:lastRenderedPageBreak/>
        <w:t xml:space="preserve">La calidad de </w:t>
      </w:r>
      <w:proofErr w:type="spellStart"/>
      <w:r>
        <w:rPr>
          <w:rFonts w:ascii="Arial" w:eastAsia="Arial" w:hAnsi="Arial" w:cs="Arial"/>
          <w:color w:val="000000"/>
          <w:sz w:val="24"/>
          <w:szCs w:val="24"/>
        </w:rPr>
        <w:t>Yolytzín</w:t>
      </w:r>
      <w:proofErr w:type="spellEnd"/>
      <w:r>
        <w:rPr>
          <w:rFonts w:ascii="Arial" w:eastAsia="Arial" w:hAnsi="Arial" w:cs="Arial"/>
          <w:color w:val="000000"/>
          <w:sz w:val="24"/>
          <w:szCs w:val="24"/>
        </w:rPr>
        <w:t xml:space="preserve"> Alelí Rodríguez </w:t>
      </w:r>
      <w:proofErr w:type="spellStart"/>
      <w:r>
        <w:rPr>
          <w:rFonts w:ascii="Arial" w:eastAsia="Arial" w:hAnsi="Arial" w:cs="Arial"/>
          <w:color w:val="000000"/>
          <w:sz w:val="24"/>
          <w:szCs w:val="24"/>
        </w:rPr>
        <w:t>Sendejas</w:t>
      </w:r>
      <w:proofErr w:type="spellEnd"/>
      <w:r>
        <w:rPr>
          <w:rFonts w:ascii="Arial" w:eastAsia="Arial" w:hAnsi="Arial" w:cs="Arial"/>
          <w:color w:val="000000"/>
          <w:sz w:val="24"/>
          <w:szCs w:val="24"/>
        </w:rPr>
        <w:t xml:space="preserve">, como Diputada de la LXV Legislatura del Congreso del Estado de Aguascalientes. </w:t>
      </w:r>
    </w:p>
    <w:p w14:paraId="2638C672" w14:textId="77777777" w:rsidR="00CA3CF2" w:rsidRDefault="00C6513E">
      <w:pPr>
        <w:numPr>
          <w:ilvl w:val="0"/>
          <w:numId w:val="5"/>
        </w:numPr>
        <w:pBdr>
          <w:top w:val="nil"/>
          <w:left w:val="nil"/>
          <w:bottom w:val="nil"/>
          <w:right w:val="nil"/>
          <w:between w:val="nil"/>
        </w:pBdr>
        <w:tabs>
          <w:tab w:val="left" w:pos="-155"/>
        </w:tabs>
        <w:spacing w:line="360" w:lineRule="auto"/>
        <w:ind w:left="0" w:right="36" w:firstLine="0"/>
        <w:jc w:val="both"/>
        <w:rPr>
          <w:color w:val="000000"/>
          <w:sz w:val="24"/>
          <w:szCs w:val="24"/>
        </w:rPr>
      </w:pPr>
      <w:r>
        <w:rPr>
          <w:rFonts w:ascii="Arial" w:eastAsia="Arial" w:hAnsi="Arial" w:cs="Arial"/>
          <w:color w:val="000000"/>
          <w:sz w:val="24"/>
          <w:szCs w:val="24"/>
        </w:rPr>
        <w:t xml:space="preserve">Las imágenes de las publicaciones 2, 4, 8 y 9, se desprenden de eventos realizados en días sábados y domingos, de manera precisa, los días 14, 15 y 28 de mayo. </w:t>
      </w:r>
    </w:p>
    <w:p w14:paraId="6B21BC82" w14:textId="77777777" w:rsidR="00CA3CF2" w:rsidRDefault="00CA3CF2">
      <w:pPr>
        <w:pBdr>
          <w:top w:val="nil"/>
          <w:left w:val="nil"/>
          <w:bottom w:val="nil"/>
          <w:right w:val="nil"/>
          <w:between w:val="nil"/>
        </w:pBdr>
        <w:rPr>
          <w:color w:val="000000"/>
        </w:rPr>
      </w:pPr>
    </w:p>
    <w:p w14:paraId="0849B0CE" w14:textId="77777777" w:rsidR="00CA3CF2" w:rsidRDefault="00C6513E">
      <w:pPr>
        <w:numPr>
          <w:ilvl w:val="0"/>
          <w:numId w:val="7"/>
        </w:numPr>
        <w:pBdr>
          <w:top w:val="nil"/>
          <w:left w:val="nil"/>
          <w:bottom w:val="nil"/>
          <w:right w:val="nil"/>
          <w:between w:val="nil"/>
        </w:pBdr>
        <w:tabs>
          <w:tab w:val="left" w:pos="426"/>
        </w:tabs>
        <w:spacing w:line="360" w:lineRule="auto"/>
        <w:ind w:right="36" w:hanging="862"/>
        <w:jc w:val="both"/>
        <w:rPr>
          <w:rFonts w:ascii="Arial" w:eastAsia="Arial" w:hAnsi="Arial" w:cs="Arial"/>
          <w:color w:val="000000"/>
          <w:sz w:val="24"/>
          <w:szCs w:val="24"/>
        </w:rPr>
      </w:pPr>
      <w:r>
        <w:rPr>
          <w:rFonts w:ascii="Arial" w:eastAsia="Arial" w:hAnsi="Arial" w:cs="Arial"/>
          <w:b/>
          <w:color w:val="000000"/>
          <w:sz w:val="24"/>
          <w:szCs w:val="24"/>
        </w:rPr>
        <w:t>Análisis de fondo</w:t>
      </w:r>
    </w:p>
    <w:p w14:paraId="0E107FC4" w14:textId="77777777" w:rsidR="00CA3CF2" w:rsidRDefault="00CA3CF2">
      <w:pPr>
        <w:pBdr>
          <w:top w:val="nil"/>
          <w:left w:val="nil"/>
          <w:bottom w:val="nil"/>
          <w:right w:val="nil"/>
          <w:between w:val="nil"/>
        </w:pBdr>
        <w:rPr>
          <w:color w:val="000000"/>
        </w:rPr>
      </w:pPr>
    </w:p>
    <w:p w14:paraId="2A024D22" w14:textId="77777777" w:rsidR="00CA3CF2" w:rsidRDefault="00C6513E">
      <w:pPr>
        <w:numPr>
          <w:ilvl w:val="0"/>
          <w:numId w:val="9"/>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 Tribunal considera que la controversia a definir consiste en determinar lo siguiente:</w:t>
      </w:r>
      <w:r>
        <w:rPr>
          <w:rFonts w:ascii="Arial" w:eastAsia="Arial" w:hAnsi="Arial" w:cs="Arial"/>
          <w:b/>
          <w:color w:val="000000"/>
          <w:sz w:val="24"/>
          <w:szCs w:val="24"/>
        </w:rPr>
        <w:t xml:space="preserve"> </w:t>
      </w:r>
    </w:p>
    <w:p w14:paraId="3555DD68" w14:textId="77777777" w:rsidR="00CA3CF2" w:rsidRDefault="00CA3CF2">
      <w:pPr>
        <w:pBdr>
          <w:top w:val="nil"/>
          <w:left w:val="nil"/>
          <w:bottom w:val="nil"/>
          <w:right w:val="nil"/>
          <w:between w:val="nil"/>
        </w:pBdr>
        <w:rPr>
          <w:color w:val="000000"/>
        </w:rPr>
      </w:pPr>
    </w:p>
    <w:p w14:paraId="3A1BA045" w14:textId="505EC620" w:rsidR="00CA3CF2" w:rsidRDefault="00C6513E">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Pr>
          <w:rFonts w:ascii="Arial" w:eastAsia="Arial" w:hAnsi="Arial" w:cs="Arial"/>
          <w:b/>
          <w:i/>
          <w:color w:val="000000"/>
          <w:sz w:val="24"/>
          <w:szCs w:val="24"/>
        </w:rPr>
        <w:t>i)</w:t>
      </w:r>
      <w:r>
        <w:rPr>
          <w:rFonts w:ascii="Arial" w:eastAsia="Arial" w:hAnsi="Arial" w:cs="Arial"/>
          <w:color w:val="000000"/>
          <w:sz w:val="24"/>
          <w:szCs w:val="24"/>
        </w:rPr>
        <w:t xml:space="preserve"> ¿Si la aparición de las y los servidores públicos denunciados </w:t>
      </w:r>
      <w:r w:rsidRPr="00D146D1">
        <w:rPr>
          <w:rFonts w:ascii="Arial" w:eastAsia="Arial" w:hAnsi="Arial" w:cs="Arial"/>
          <w:color w:val="000000"/>
          <w:sz w:val="24"/>
          <w:szCs w:val="24"/>
        </w:rPr>
        <w:t xml:space="preserve">en </w:t>
      </w:r>
      <w:r w:rsidR="00D146D1" w:rsidRPr="00D146D1">
        <w:rPr>
          <w:rFonts w:ascii="Arial" w:eastAsia="Arial" w:hAnsi="Arial" w:cs="Arial"/>
          <w:color w:val="000000"/>
          <w:sz w:val="24"/>
          <w:szCs w:val="24"/>
        </w:rPr>
        <w:t>las imágenes</w:t>
      </w:r>
      <w:r w:rsidRPr="00D146D1">
        <w:rPr>
          <w:rFonts w:ascii="Arial" w:eastAsia="Arial" w:hAnsi="Arial" w:cs="Arial"/>
          <w:color w:val="000000"/>
          <w:sz w:val="24"/>
          <w:szCs w:val="24"/>
        </w:rPr>
        <w:t xml:space="preserve"> de</w:t>
      </w:r>
      <w:r>
        <w:rPr>
          <w:rFonts w:ascii="Arial" w:eastAsia="Arial" w:hAnsi="Arial" w:cs="Arial"/>
          <w:color w:val="000000"/>
          <w:sz w:val="24"/>
          <w:szCs w:val="24"/>
        </w:rPr>
        <w:t xml:space="preserve"> </w:t>
      </w:r>
      <w:r>
        <w:rPr>
          <w:rFonts w:ascii="Arial" w:eastAsia="Arial" w:hAnsi="Arial" w:cs="Arial"/>
          <w:sz w:val="24"/>
          <w:szCs w:val="24"/>
        </w:rPr>
        <w:t>carácter</w:t>
      </w:r>
      <w:r>
        <w:rPr>
          <w:rFonts w:ascii="Arial" w:eastAsia="Arial" w:hAnsi="Arial" w:cs="Arial"/>
          <w:color w:val="000000"/>
          <w:sz w:val="24"/>
          <w:szCs w:val="24"/>
        </w:rPr>
        <w:t xml:space="preserve"> electoral y asistencia de </w:t>
      </w:r>
      <w:r>
        <w:rPr>
          <w:rFonts w:ascii="Arial" w:eastAsia="Arial" w:hAnsi="Arial" w:cs="Arial"/>
          <w:sz w:val="24"/>
          <w:szCs w:val="24"/>
        </w:rPr>
        <w:t xml:space="preserve">estos </w:t>
      </w:r>
      <w:r>
        <w:rPr>
          <w:rFonts w:ascii="Arial" w:eastAsia="Arial" w:hAnsi="Arial" w:cs="Arial"/>
          <w:color w:val="000000"/>
          <w:sz w:val="24"/>
          <w:szCs w:val="24"/>
        </w:rPr>
        <w:t>en los eventos proselitistas en favor de la entonces candidata de Movimiento Ciudadano, Anayeli Muñoz Moreno, vulneraron los principios de imparcialidad, neutralidad y equidad en la contienda, al hacer uso indebido de los recursos públicos?</w:t>
      </w:r>
    </w:p>
    <w:p w14:paraId="50E04777" w14:textId="77777777" w:rsidR="00CA3CF2" w:rsidRDefault="00CA3CF2">
      <w:pPr>
        <w:pBdr>
          <w:top w:val="nil"/>
          <w:left w:val="nil"/>
          <w:bottom w:val="nil"/>
          <w:right w:val="nil"/>
          <w:between w:val="nil"/>
        </w:pBdr>
        <w:rPr>
          <w:color w:val="000000"/>
        </w:rPr>
      </w:pPr>
    </w:p>
    <w:p w14:paraId="4722763F" w14:textId="77777777" w:rsidR="00CA3CF2" w:rsidRDefault="00C6513E">
      <w:pPr>
        <w:spacing w:line="360" w:lineRule="auto"/>
        <w:jc w:val="both"/>
        <w:rPr>
          <w:rFonts w:ascii="Arial" w:eastAsia="Arial" w:hAnsi="Arial" w:cs="Arial"/>
          <w:b/>
          <w:sz w:val="24"/>
          <w:szCs w:val="24"/>
        </w:rPr>
      </w:pPr>
      <w:r>
        <w:rPr>
          <w:rFonts w:ascii="Arial" w:eastAsia="Arial" w:hAnsi="Arial" w:cs="Arial"/>
          <w:b/>
          <w:sz w:val="24"/>
          <w:szCs w:val="24"/>
          <w:u w:val="single"/>
        </w:rPr>
        <w:t>Aparatado I.</w:t>
      </w:r>
      <w:r>
        <w:rPr>
          <w:rFonts w:ascii="Arial" w:eastAsia="Arial" w:hAnsi="Arial" w:cs="Arial"/>
          <w:b/>
          <w:sz w:val="24"/>
          <w:szCs w:val="24"/>
        </w:rPr>
        <w:t xml:space="preserve"> Decisión. </w:t>
      </w:r>
    </w:p>
    <w:p w14:paraId="101F3CCF" w14:textId="77777777" w:rsidR="00CA3CF2" w:rsidRDefault="00CA3CF2">
      <w:pPr>
        <w:spacing w:line="360" w:lineRule="auto"/>
        <w:jc w:val="both"/>
        <w:rPr>
          <w:rFonts w:ascii="Arial" w:eastAsia="Arial" w:hAnsi="Arial" w:cs="Arial"/>
          <w:sz w:val="24"/>
          <w:szCs w:val="24"/>
        </w:rPr>
      </w:pPr>
    </w:p>
    <w:p w14:paraId="196C9696" w14:textId="77777777" w:rsidR="00CA3CF2" w:rsidRDefault="00C6513E">
      <w:pPr>
        <w:spacing w:line="360" w:lineRule="auto"/>
        <w:jc w:val="both"/>
        <w:rPr>
          <w:rFonts w:ascii="Arial" w:eastAsia="Arial" w:hAnsi="Arial" w:cs="Arial"/>
          <w:sz w:val="24"/>
          <w:szCs w:val="24"/>
        </w:rPr>
      </w:pPr>
      <w:r>
        <w:rPr>
          <w:rFonts w:ascii="Arial" w:eastAsia="Arial" w:hAnsi="Arial" w:cs="Arial"/>
          <w:sz w:val="24"/>
          <w:szCs w:val="24"/>
        </w:rPr>
        <w:t xml:space="preserve">Este Tribunal Electoral considera que debe declarase: </w:t>
      </w:r>
      <w:r>
        <w:rPr>
          <w:rFonts w:ascii="Arial" w:eastAsia="Arial" w:hAnsi="Arial" w:cs="Arial"/>
          <w:b/>
          <w:i/>
          <w:sz w:val="24"/>
          <w:szCs w:val="24"/>
        </w:rPr>
        <w:t xml:space="preserve">a) </w:t>
      </w:r>
      <w:r>
        <w:rPr>
          <w:rFonts w:ascii="Arial" w:eastAsia="Arial" w:hAnsi="Arial" w:cs="Arial"/>
          <w:sz w:val="24"/>
          <w:szCs w:val="24"/>
        </w:rPr>
        <w:t xml:space="preserve">la </w:t>
      </w:r>
      <w:r>
        <w:rPr>
          <w:rFonts w:ascii="Arial" w:eastAsia="Arial" w:hAnsi="Arial" w:cs="Arial"/>
          <w:b/>
          <w:sz w:val="24"/>
          <w:szCs w:val="24"/>
        </w:rPr>
        <w:t>inexistencia</w:t>
      </w:r>
      <w:r>
        <w:rPr>
          <w:rFonts w:ascii="Arial" w:eastAsia="Arial" w:hAnsi="Arial" w:cs="Arial"/>
          <w:sz w:val="24"/>
          <w:szCs w:val="24"/>
        </w:rPr>
        <w:t xml:space="preserve"> de la infracción atribuida a la entonces candidata Anayeli Muñoz Moreno, a la Diputada de la LXV Legislatura del Congreso Local </w:t>
      </w:r>
      <w:proofErr w:type="spellStart"/>
      <w:r>
        <w:rPr>
          <w:rFonts w:ascii="Arial" w:eastAsia="Arial" w:hAnsi="Arial" w:cs="Arial"/>
          <w:sz w:val="24"/>
          <w:szCs w:val="24"/>
        </w:rPr>
        <w:t>Yolytzín</w:t>
      </w:r>
      <w:proofErr w:type="spellEnd"/>
      <w:r>
        <w:rPr>
          <w:rFonts w:ascii="Arial" w:eastAsia="Arial" w:hAnsi="Arial" w:cs="Arial"/>
          <w:color w:val="000000"/>
          <w:sz w:val="24"/>
          <w:szCs w:val="24"/>
        </w:rPr>
        <w:t xml:space="preserve"> Alelí Rodríguez </w:t>
      </w:r>
      <w:proofErr w:type="spellStart"/>
      <w:r>
        <w:rPr>
          <w:rFonts w:ascii="Arial" w:eastAsia="Arial" w:hAnsi="Arial" w:cs="Arial"/>
          <w:color w:val="000000"/>
          <w:sz w:val="24"/>
          <w:szCs w:val="24"/>
        </w:rPr>
        <w:t>Sendejas</w:t>
      </w:r>
      <w:proofErr w:type="spellEnd"/>
      <w:r>
        <w:rPr>
          <w:rFonts w:ascii="Arial" w:eastAsia="Arial" w:hAnsi="Arial" w:cs="Arial"/>
          <w:sz w:val="24"/>
          <w:szCs w:val="24"/>
        </w:rPr>
        <w:t xml:space="preserve">, a </w:t>
      </w:r>
      <w:r>
        <w:rPr>
          <w:rFonts w:ascii="Arial" w:eastAsia="Arial" w:hAnsi="Arial" w:cs="Arial"/>
          <w:color w:val="000000"/>
          <w:sz w:val="24"/>
          <w:szCs w:val="24"/>
        </w:rPr>
        <w:t>María Guadalupe Arellano Espinosa y Gustavo Adolfo Granados Corzo</w:t>
      </w:r>
      <w:r>
        <w:rPr>
          <w:rFonts w:ascii="Arial" w:eastAsia="Arial" w:hAnsi="Arial" w:cs="Arial"/>
          <w:sz w:val="24"/>
          <w:szCs w:val="24"/>
        </w:rPr>
        <w:t xml:space="preserve">, en su calidad de regidores del Ayuntamiento de Aguascalientes, consistente en la vulneración a los principios de equidad y neutralidad en la contienda, derivado de su aparición en una serie de fotografías que promovieron la candidatura de la primera, y, </w:t>
      </w:r>
      <w:r>
        <w:rPr>
          <w:rFonts w:ascii="Arial" w:eastAsia="Arial" w:hAnsi="Arial" w:cs="Arial"/>
          <w:b/>
          <w:i/>
          <w:sz w:val="24"/>
          <w:szCs w:val="24"/>
        </w:rPr>
        <w:t xml:space="preserve">b) </w:t>
      </w:r>
      <w:r>
        <w:rPr>
          <w:rFonts w:ascii="Arial" w:eastAsia="Arial" w:hAnsi="Arial" w:cs="Arial"/>
          <w:sz w:val="24"/>
          <w:szCs w:val="24"/>
        </w:rPr>
        <w:t xml:space="preserve">la </w:t>
      </w:r>
      <w:r>
        <w:rPr>
          <w:rFonts w:ascii="Arial" w:eastAsia="Arial" w:hAnsi="Arial" w:cs="Arial"/>
          <w:b/>
          <w:sz w:val="24"/>
          <w:szCs w:val="24"/>
        </w:rPr>
        <w:t xml:space="preserve">inexistencia </w:t>
      </w:r>
      <w:r>
        <w:rPr>
          <w:rFonts w:ascii="Arial" w:eastAsia="Arial" w:hAnsi="Arial" w:cs="Arial"/>
          <w:sz w:val="24"/>
          <w:szCs w:val="24"/>
        </w:rPr>
        <w:t xml:space="preserve">de la infracción de </w:t>
      </w:r>
      <w:r>
        <w:rPr>
          <w:rFonts w:ascii="Arial" w:eastAsia="Arial" w:hAnsi="Arial" w:cs="Arial"/>
          <w:i/>
          <w:sz w:val="24"/>
          <w:szCs w:val="24"/>
        </w:rPr>
        <w:t xml:space="preserve">culpa in vigilando </w:t>
      </w:r>
      <w:r>
        <w:rPr>
          <w:rFonts w:ascii="Arial" w:eastAsia="Arial" w:hAnsi="Arial" w:cs="Arial"/>
          <w:sz w:val="24"/>
          <w:szCs w:val="24"/>
        </w:rPr>
        <w:t>atribuida a Movimiento Ciudadano.</w:t>
      </w:r>
    </w:p>
    <w:p w14:paraId="75D9B39C" w14:textId="77777777" w:rsidR="00CA3CF2" w:rsidRDefault="00CA3CF2">
      <w:pPr>
        <w:pBdr>
          <w:top w:val="nil"/>
          <w:left w:val="nil"/>
          <w:bottom w:val="nil"/>
          <w:right w:val="nil"/>
          <w:between w:val="nil"/>
        </w:pBdr>
        <w:rPr>
          <w:color w:val="000000"/>
        </w:rPr>
      </w:pPr>
    </w:p>
    <w:p w14:paraId="3BCC4D93" w14:textId="77777777" w:rsidR="00CA3CF2" w:rsidRDefault="00C6513E">
      <w:pPr>
        <w:spacing w:line="360" w:lineRule="auto"/>
        <w:jc w:val="both"/>
        <w:rPr>
          <w:rFonts w:ascii="Arial" w:eastAsia="Arial" w:hAnsi="Arial" w:cs="Arial"/>
          <w:sz w:val="24"/>
          <w:szCs w:val="24"/>
        </w:rPr>
      </w:pPr>
      <w:r>
        <w:rPr>
          <w:rFonts w:ascii="Arial" w:eastAsia="Arial" w:hAnsi="Arial" w:cs="Arial"/>
          <w:sz w:val="24"/>
          <w:szCs w:val="24"/>
        </w:rPr>
        <w:t xml:space="preserve">Lo anterior, porque </w:t>
      </w:r>
      <w:r>
        <w:rPr>
          <w:rFonts w:ascii="Arial" w:eastAsia="Arial" w:hAnsi="Arial" w:cs="Arial"/>
          <w:b/>
          <w:sz w:val="24"/>
          <w:szCs w:val="24"/>
        </w:rPr>
        <w:t>este Tribunal Electoral considera</w:t>
      </w:r>
      <w:r>
        <w:rPr>
          <w:rFonts w:ascii="Arial" w:eastAsia="Arial" w:hAnsi="Arial" w:cs="Arial"/>
          <w:sz w:val="24"/>
          <w:szCs w:val="24"/>
        </w:rPr>
        <w:t xml:space="preserve"> que, </w:t>
      </w:r>
      <w:r>
        <w:rPr>
          <w:rFonts w:ascii="Arial" w:eastAsia="Arial" w:hAnsi="Arial" w:cs="Arial"/>
          <w:color w:val="000000"/>
          <w:sz w:val="24"/>
          <w:szCs w:val="24"/>
        </w:rPr>
        <w:t>del análisis de los hechos denunciados y del material probatorio que obra en el expediente</w:t>
      </w:r>
      <w:r>
        <w:rPr>
          <w:rFonts w:ascii="Arial" w:eastAsia="Arial" w:hAnsi="Arial" w:cs="Arial"/>
          <w:sz w:val="24"/>
          <w:szCs w:val="24"/>
        </w:rPr>
        <w:t xml:space="preserve">, se advierte </w:t>
      </w:r>
      <w:r>
        <w:rPr>
          <w:rFonts w:ascii="Arial" w:eastAsia="Arial" w:hAnsi="Arial" w:cs="Arial"/>
          <w:color w:val="000000"/>
          <w:sz w:val="24"/>
          <w:szCs w:val="24"/>
        </w:rPr>
        <w:t>que</w:t>
      </w:r>
      <w:r>
        <w:rPr>
          <w:rFonts w:ascii="Arial" w:eastAsia="Arial" w:hAnsi="Arial" w:cs="Arial"/>
          <w:sz w:val="24"/>
          <w:szCs w:val="24"/>
        </w:rPr>
        <w:t xml:space="preserve"> </w:t>
      </w:r>
      <w:r>
        <w:rPr>
          <w:rFonts w:ascii="Arial" w:eastAsia="Arial" w:hAnsi="Arial" w:cs="Arial"/>
          <w:color w:val="000000"/>
          <w:sz w:val="24"/>
          <w:szCs w:val="24"/>
        </w:rPr>
        <w:t>las y los servidores públicos aparecieron en una serie de publicaciones que promocionaron la candidatura denunciada y</w:t>
      </w:r>
      <w:r>
        <w:rPr>
          <w:rFonts w:ascii="Arial" w:eastAsia="Arial" w:hAnsi="Arial" w:cs="Arial"/>
          <w:sz w:val="24"/>
          <w:szCs w:val="24"/>
        </w:rPr>
        <w:t xml:space="preserve"> </w:t>
      </w:r>
      <w:r>
        <w:rPr>
          <w:rFonts w:ascii="Arial" w:eastAsia="Arial" w:hAnsi="Arial" w:cs="Arial"/>
          <w:color w:val="000000"/>
          <w:sz w:val="24"/>
          <w:szCs w:val="24"/>
        </w:rPr>
        <w:t xml:space="preserve">una serie de eventos de los cuales se desprenden algunas de las fotografías denunciadas, se celebraron en días y horas inhábiles; lo cual </w:t>
      </w:r>
      <w:r>
        <w:rPr>
          <w:rFonts w:ascii="Arial" w:eastAsia="Arial" w:hAnsi="Arial" w:cs="Arial"/>
          <w:b/>
          <w:color w:val="000000"/>
          <w:sz w:val="24"/>
          <w:szCs w:val="24"/>
        </w:rPr>
        <w:t>no demuestra</w:t>
      </w:r>
      <w:r>
        <w:rPr>
          <w:rFonts w:ascii="Arial" w:eastAsia="Arial" w:hAnsi="Arial" w:cs="Arial"/>
          <w:color w:val="000000"/>
          <w:sz w:val="24"/>
          <w:szCs w:val="24"/>
        </w:rPr>
        <w:t xml:space="preserve"> por sí solo, </w:t>
      </w:r>
      <w:r>
        <w:rPr>
          <w:rFonts w:ascii="Arial" w:eastAsia="Arial" w:hAnsi="Arial" w:cs="Arial"/>
          <w:b/>
          <w:color w:val="000000"/>
          <w:sz w:val="24"/>
          <w:szCs w:val="24"/>
        </w:rPr>
        <w:t>un uso indebido de recursos públicos</w:t>
      </w:r>
      <w:r>
        <w:rPr>
          <w:rFonts w:ascii="Arial" w:eastAsia="Arial" w:hAnsi="Arial" w:cs="Arial"/>
          <w:sz w:val="24"/>
          <w:szCs w:val="24"/>
        </w:rPr>
        <w:t xml:space="preserve">; por lo cual </w:t>
      </w:r>
      <w:r>
        <w:rPr>
          <w:rFonts w:ascii="Arial" w:eastAsia="Arial" w:hAnsi="Arial" w:cs="Arial"/>
          <w:color w:val="000000"/>
          <w:sz w:val="24"/>
          <w:szCs w:val="24"/>
        </w:rPr>
        <w:t xml:space="preserve">se estima que este órgano jurisdiccional no cuenta con elementos probatorios suficientes que adminiculados, permitan advertir alguna vulneración al artículo 134 </w:t>
      </w:r>
      <w:r>
        <w:rPr>
          <w:rFonts w:ascii="Arial" w:eastAsia="Arial" w:hAnsi="Arial" w:cs="Arial"/>
          <w:sz w:val="24"/>
          <w:szCs w:val="24"/>
        </w:rPr>
        <w:t>c</w:t>
      </w:r>
      <w:r>
        <w:rPr>
          <w:rFonts w:ascii="Arial" w:eastAsia="Arial" w:hAnsi="Arial" w:cs="Arial"/>
          <w:color w:val="000000"/>
          <w:sz w:val="24"/>
          <w:szCs w:val="24"/>
        </w:rPr>
        <w:t xml:space="preserve">onstitucional. </w:t>
      </w:r>
    </w:p>
    <w:p w14:paraId="27C8DB71" w14:textId="77777777" w:rsidR="00CA3CF2" w:rsidRDefault="00CA3CF2">
      <w:pPr>
        <w:pBdr>
          <w:top w:val="nil"/>
          <w:left w:val="nil"/>
          <w:bottom w:val="nil"/>
          <w:right w:val="nil"/>
          <w:between w:val="nil"/>
        </w:pBdr>
        <w:rPr>
          <w:color w:val="000000"/>
          <w:sz w:val="18"/>
          <w:szCs w:val="18"/>
        </w:rPr>
      </w:pPr>
    </w:p>
    <w:p w14:paraId="5F974C20" w14:textId="77777777" w:rsidR="00CA3CF2" w:rsidRDefault="00C6513E">
      <w:pPr>
        <w:spacing w:line="360" w:lineRule="auto"/>
        <w:jc w:val="both"/>
        <w:rPr>
          <w:rFonts w:ascii="Arial" w:eastAsia="Arial" w:hAnsi="Arial" w:cs="Arial"/>
          <w:b/>
          <w:sz w:val="24"/>
          <w:szCs w:val="24"/>
        </w:rPr>
      </w:pPr>
      <w:r>
        <w:rPr>
          <w:rFonts w:ascii="Arial" w:eastAsia="Arial" w:hAnsi="Arial" w:cs="Arial"/>
          <w:b/>
          <w:sz w:val="24"/>
          <w:szCs w:val="24"/>
          <w:u w:val="single"/>
        </w:rPr>
        <w:t>Aparatado II.</w:t>
      </w:r>
      <w:r>
        <w:rPr>
          <w:rFonts w:ascii="Arial" w:eastAsia="Arial" w:hAnsi="Arial" w:cs="Arial"/>
          <w:b/>
          <w:sz w:val="24"/>
          <w:szCs w:val="24"/>
        </w:rPr>
        <w:t xml:space="preserve"> Desarrollo y justificación de la decisión </w:t>
      </w:r>
    </w:p>
    <w:p w14:paraId="4A504BCE" w14:textId="77777777" w:rsidR="00CA3CF2" w:rsidRDefault="00CA3CF2">
      <w:pPr>
        <w:pBdr>
          <w:top w:val="nil"/>
          <w:left w:val="nil"/>
          <w:bottom w:val="nil"/>
          <w:right w:val="nil"/>
          <w:between w:val="nil"/>
        </w:pBdr>
        <w:rPr>
          <w:color w:val="000000"/>
        </w:rPr>
      </w:pPr>
    </w:p>
    <w:p w14:paraId="0578F20F" w14:textId="77777777" w:rsidR="00CA3CF2" w:rsidRDefault="00C6513E">
      <w:pPr>
        <w:pBdr>
          <w:top w:val="nil"/>
          <w:left w:val="nil"/>
          <w:bottom w:val="nil"/>
          <w:right w:val="nil"/>
          <w:between w:val="nil"/>
        </w:pBdr>
        <w:spacing w:line="360" w:lineRule="auto"/>
        <w:jc w:val="both"/>
        <w:rPr>
          <w:color w:val="000000"/>
        </w:rPr>
      </w:pPr>
      <w:r>
        <w:rPr>
          <w:rFonts w:ascii="Arial" w:eastAsia="Arial" w:hAnsi="Arial" w:cs="Arial"/>
          <w:b/>
          <w:sz w:val="24"/>
          <w:szCs w:val="24"/>
        </w:rPr>
        <w:t xml:space="preserve">1. </w:t>
      </w:r>
      <w:r>
        <w:rPr>
          <w:rFonts w:ascii="Arial" w:eastAsia="Arial" w:hAnsi="Arial" w:cs="Arial"/>
          <w:b/>
          <w:color w:val="000000"/>
          <w:sz w:val="24"/>
          <w:szCs w:val="24"/>
        </w:rPr>
        <w:t xml:space="preserve">Marco normativo de los bienes jurídicos tutelados por el artículo 134 de la Constitución </w:t>
      </w:r>
      <w:r>
        <w:rPr>
          <w:rFonts w:ascii="Arial" w:eastAsia="Arial" w:hAnsi="Arial" w:cs="Arial"/>
          <w:b/>
          <w:sz w:val="24"/>
          <w:szCs w:val="24"/>
        </w:rPr>
        <w:t>gen</w:t>
      </w:r>
      <w:r>
        <w:rPr>
          <w:rFonts w:ascii="Arial" w:eastAsia="Arial" w:hAnsi="Arial" w:cs="Arial"/>
          <w:b/>
          <w:color w:val="000000"/>
          <w:sz w:val="24"/>
          <w:szCs w:val="24"/>
        </w:rPr>
        <w:t>eral</w:t>
      </w:r>
    </w:p>
    <w:p w14:paraId="0BEAE339" w14:textId="77777777" w:rsidR="00CA3CF2" w:rsidRDefault="00CA3CF2">
      <w:pPr>
        <w:pBdr>
          <w:top w:val="nil"/>
          <w:left w:val="nil"/>
          <w:bottom w:val="nil"/>
          <w:right w:val="nil"/>
          <w:between w:val="nil"/>
        </w:pBdr>
        <w:rPr>
          <w:color w:val="000000"/>
        </w:rPr>
      </w:pPr>
    </w:p>
    <w:p w14:paraId="4D1BB6E8" w14:textId="77777777" w:rsidR="00CA3CF2" w:rsidRDefault="00C6513E">
      <w:pPr>
        <w:tabs>
          <w:tab w:val="left" w:pos="426"/>
        </w:tabs>
        <w:spacing w:line="360" w:lineRule="auto"/>
        <w:jc w:val="both"/>
        <w:rPr>
          <w:rFonts w:ascii="Arial" w:eastAsia="Arial" w:hAnsi="Arial" w:cs="Arial"/>
          <w:sz w:val="24"/>
          <w:szCs w:val="24"/>
        </w:rPr>
      </w:pPr>
      <w:r>
        <w:rPr>
          <w:rFonts w:ascii="Arial" w:eastAsia="Arial" w:hAnsi="Arial" w:cs="Arial"/>
          <w:sz w:val="24"/>
          <w:szCs w:val="24"/>
        </w:rPr>
        <w:t xml:space="preserve">Es conveniente señalar que en la exposición de motivos de la iniciativa de la reforma constitucional de fecha trece de noviembre de dos mil siete, refiere que la inclusión de los </w:t>
      </w:r>
      <w:r>
        <w:rPr>
          <w:rFonts w:ascii="Arial" w:eastAsia="Arial" w:hAnsi="Arial" w:cs="Arial"/>
          <w:sz w:val="24"/>
          <w:szCs w:val="24"/>
        </w:rPr>
        <w:lastRenderedPageBreak/>
        <w:t>párrafos séptimo y octavo del artículo 134 de la Constitución,</w:t>
      </w:r>
      <w:r>
        <w:rPr>
          <w:rFonts w:ascii="Arial" w:eastAsia="Arial" w:hAnsi="Arial" w:cs="Arial"/>
          <w:b/>
          <w:sz w:val="24"/>
          <w:szCs w:val="24"/>
        </w:rPr>
        <w:t xml:space="preserve"> tiene como objetivo impedir que actores ajenos incidan en los procesos electorales, así </w:t>
      </w:r>
      <w:r>
        <w:rPr>
          <w:rFonts w:ascii="Arial" w:eastAsia="Arial" w:hAnsi="Arial" w:cs="Arial"/>
          <w:sz w:val="24"/>
          <w:szCs w:val="24"/>
        </w:rPr>
        <w:t>como elevar a rango constitucional las regulaciones en materia de propaganda gubernamental tanto en periodo electoral como en tiempo no electoral.</w:t>
      </w:r>
    </w:p>
    <w:p w14:paraId="3B44BAC6" w14:textId="77777777" w:rsidR="00CA3CF2" w:rsidRDefault="00CA3CF2">
      <w:pPr>
        <w:pBdr>
          <w:top w:val="nil"/>
          <w:left w:val="nil"/>
          <w:bottom w:val="nil"/>
          <w:right w:val="nil"/>
          <w:between w:val="nil"/>
        </w:pBdr>
        <w:rPr>
          <w:color w:val="000000"/>
        </w:rPr>
      </w:pPr>
    </w:p>
    <w:p w14:paraId="56BE0543" w14:textId="77777777" w:rsidR="00CA3CF2" w:rsidRDefault="00C6513E">
      <w:pPr>
        <w:tabs>
          <w:tab w:val="left" w:pos="426"/>
        </w:tabs>
        <w:spacing w:line="360" w:lineRule="auto"/>
        <w:jc w:val="both"/>
        <w:rPr>
          <w:rFonts w:ascii="Arial" w:eastAsia="Arial" w:hAnsi="Arial" w:cs="Arial"/>
          <w:sz w:val="24"/>
          <w:szCs w:val="24"/>
        </w:rPr>
      </w:pPr>
      <w:r>
        <w:rPr>
          <w:rFonts w:ascii="Arial" w:eastAsia="Arial" w:hAnsi="Arial" w:cs="Arial"/>
          <w:sz w:val="24"/>
          <w:szCs w:val="24"/>
        </w:rPr>
        <w:t>De ahí que el artículo 134 de la Constitución Federal tutela dos bienes</w:t>
      </w:r>
      <w:r>
        <w:rPr>
          <w:rFonts w:ascii="Arial" w:eastAsia="Arial" w:hAnsi="Arial" w:cs="Arial"/>
          <w:b/>
          <w:sz w:val="24"/>
          <w:szCs w:val="24"/>
        </w:rPr>
        <w:t xml:space="preserve"> jurídicos de los sistemas democráticos: </w:t>
      </w:r>
      <w:r>
        <w:rPr>
          <w:rFonts w:ascii="Arial" w:eastAsia="Arial" w:hAnsi="Arial" w:cs="Arial"/>
          <w:b/>
          <w:i/>
          <w:sz w:val="24"/>
          <w:szCs w:val="24"/>
        </w:rPr>
        <w:t>i)</w:t>
      </w:r>
      <w:r>
        <w:rPr>
          <w:rFonts w:ascii="Arial" w:eastAsia="Arial" w:hAnsi="Arial" w:cs="Arial"/>
          <w:b/>
          <w:sz w:val="24"/>
          <w:szCs w:val="24"/>
        </w:rPr>
        <w:t xml:space="preserve"> la imparcialidad y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b/>
          <w:sz w:val="24"/>
          <w:szCs w:val="24"/>
        </w:rPr>
        <w:t xml:space="preserve"> la neutralidad </w:t>
      </w:r>
      <w:r>
        <w:rPr>
          <w:rFonts w:ascii="Arial" w:eastAsia="Arial" w:hAnsi="Arial" w:cs="Arial"/>
          <w:sz w:val="24"/>
          <w:szCs w:val="24"/>
        </w:rPr>
        <w:t>con que deben actuar las y los servidores públicos y la equidad en los procesos electorales.</w:t>
      </w:r>
    </w:p>
    <w:p w14:paraId="52DCB22E" w14:textId="77777777" w:rsidR="00CA3CF2" w:rsidRDefault="00CA3CF2">
      <w:pPr>
        <w:pBdr>
          <w:top w:val="nil"/>
          <w:left w:val="nil"/>
          <w:bottom w:val="nil"/>
          <w:right w:val="nil"/>
          <w:between w:val="nil"/>
        </w:pBdr>
        <w:rPr>
          <w:color w:val="000000"/>
        </w:rPr>
      </w:pPr>
    </w:p>
    <w:p w14:paraId="77AC7C8E" w14:textId="77777777" w:rsidR="00CA3CF2" w:rsidRDefault="00C6513E">
      <w:pPr>
        <w:tabs>
          <w:tab w:val="left" w:pos="426"/>
        </w:tabs>
        <w:spacing w:line="360" w:lineRule="auto"/>
        <w:jc w:val="both"/>
        <w:rPr>
          <w:rFonts w:ascii="Arial" w:eastAsia="Arial" w:hAnsi="Arial" w:cs="Arial"/>
          <w:sz w:val="24"/>
          <w:szCs w:val="24"/>
        </w:rPr>
      </w:pPr>
      <w:r>
        <w:rPr>
          <w:rFonts w:ascii="Arial" w:eastAsia="Arial" w:hAnsi="Arial" w:cs="Arial"/>
          <w:sz w:val="24"/>
          <w:szCs w:val="24"/>
        </w:rPr>
        <w:t>De lo anterior podemos advertir que</w:t>
      </w:r>
      <w:r>
        <w:rPr>
          <w:rFonts w:ascii="Arial" w:eastAsia="Arial" w:hAnsi="Arial" w:cs="Arial"/>
          <w:b/>
          <w:sz w:val="24"/>
          <w:szCs w:val="24"/>
        </w:rPr>
        <w:t xml:space="preserve"> el artículo 134 de la Constitución Federal tiene como finalidad procurar la mayor </w:t>
      </w:r>
      <w:r>
        <w:rPr>
          <w:rFonts w:ascii="Arial" w:eastAsia="Arial" w:hAnsi="Arial" w:cs="Arial"/>
          <w:sz w:val="24"/>
          <w:szCs w:val="24"/>
        </w:rPr>
        <w:t>equidad posible en los procesos electorales.</w:t>
      </w:r>
    </w:p>
    <w:p w14:paraId="2F33385E" w14:textId="77777777" w:rsidR="00CA3CF2" w:rsidRDefault="00CA3CF2">
      <w:pPr>
        <w:pBdr>
          <w:top w:val="nil"/>
          <w:left w:val="nil"/>
          <w:bottom w:val="nil"/>
          <w:right w:val="nil"/>
          <w:between w:val="nil"/>
        </w:pBdr>
        <w:rPr>
          <w:color w:val="000000"/>
        </w:rPr>
      </w:pPr>
    </w:p>
    <w:p w14:paraId="5B062D76" w14:textId="77777777" w:rsidR="00CA3CF2" w:rsidRDefault="00C6513E">
      <w:pPr>
        <w:numPr>
          <w:ilvl w:val="1"/>
          <w:numId w:val="6"/>
        </w:numPr>
        <w:pBdr>
          <w:top w:val="nil"/>
          <w:left w:val="nil"/>
          <w:bottom w:val="nil"/>
          <w:right w:val="nil"/>
          <w:between w:val="nil"/>
        </w:pBdr>
        <w:spacing w:line="360" w:lineRule="auto"/>
        <w:ind w:left="0" w:firstLine="0"/>
        <w:jc w:val="both"/>
        <w:rPr>
          <w:rFonts w:ascii="Arial" w:eastAsia="Arial" w:hAnsi="Arial" w:cs="Arial"/>
          <w:b/>
          <w:color w:val="000000"/>
          <w:sz w:val="24"/>
          <w:szCs w:val="24"/>
        </w:rPr>
      </w:pPr>
      <w:r>
        <w:rPr>
          <w:rFonts w:ascii="Arial" w:eastAsia="Arial" w:hAnsi="Arial" w:cs="Arial"/>
          <w:b/>
          <w:color w:val="000000"/>
          <w:sz w:val="24"/>
          <w:szCs w:val="24"/>
        </w:rPr>
        <w:t>Marco normativo sobre la asistencia de servidores y servidoras públicas a eventos proselitistas en días y horas hábiles</w:t>
      </w:r>
    </w:p>
    <w:p w14:paraId="170AF45E" w14:textId="77777777" w:rsidR="00CA3CF2" w:rsidRDefault="00CA3CF2">
      <w:pPr>
        <w:pBdr>
          <w:top w:val="nil"/>
          <w:left w:val="nil"/>
          <w:bottom w:val="nil"/>
          <w:right w:val="nil"/>
          <w:between w:val="nil"/>
        </w:pBdr>
        <w:rPr>
          <w:color w:val="000000"/>
        </w:rPr>
      </w:pPr>
    </w:p>
    <w:p w14:paraId="1A4D6E3A" w14:textId="1319AA40" w:rsidR="00CA3CF2" w:rsidRDefault="00C6513E">
      <w:pPr>
        <w:spacing w:after="160" w:line="360" w:lineRule="auto"/>
        <w:jc w:val="both"/>
        <w:rPr>
          <w:rFonts w:ascii="Arial" w:eastAsia="Arial" w:hAnsi="Arial" w:cs="Arial"/>
          <w:sz w:val="24"/>
          <w:szCs w:val="24"/>
        </w:rPr>
      </w:pPr>
      <w:bookmarkStart w:id="4" w:name="_heading=h.1t3h5sf" w:colFirst="0" w:colLast="0"/>
      <w:bookmarkEnd w:id="4"/>
      <w:r>
        <w:rPr>
          <w:rFonts w:ascii="Arial" w:eastAsia="Arial" w:hAnsi="Arial" w:cs="Arial"/>
          <w:sz w:val="24"/>
          <w:szCs w:val="24"/>
        </w:rPr>
        <w:t>Al respecto, la</w:t>
      </w:r>
      <w:r>
        <w:rPr>
          <w:rFonts w:ascii="Arial" w:eastAsia="Arial" w:hAnsi="Arial" w:cs="Arial"/>
          <w:b/>
          <w:sz w:val="24"/>
          <w:szCs w:val="24"/>
        </w:rPr>
        <w:t xml:space="preserve"> </w:t>
      </w:r>
      <w:r>
        <w:rPr>
          <w:rFonts w:ascii="Arial" w:eastAsia="Arial" w:hAnsi="Arial" w:cs="Arial"/>
          <w:sz w:val="24"/>
          <w:szCs w:val="24"/>
        </w:rPr>
        <w:t>Sala Superior</w:t>
      </w:r>
      <w:r>
        <w:rPr>
          <w:rFonts w:ascii="Arial" w:eastAsia="Arial" w:hAnsi="Arial" w:cs="Arial"/>
          <w:sz w:val="24"/>
          <w:szCs w:val="24"/>
          <w:vertAlign w:val="superscript"/>
        </w:rPr>
        <w:t xml:space="preserve"> </w:t>
      </w:r>
      <w:r>
        <w:rPr>
          <w:rFonts w:ascii="Arial" w:eastAsia="Arial" w:hAnsi="Arial" w:cs="Arial"/>
          <w:sz w:val="24"/>
          <w:szCs w:val="24"/>
        </w:rPr>
        <w:t>ha determinado que el s</w:t>
      </w:r>
      <w:r w:rsidR="007F61B4">
        <w:rPr>
          <w:rFonts w:ascii="Arial" w:eastAsia="Arial" w:hAnsi="Arial" w:cs="Arial"/>
          <w:sz w:val="24"/>
          <w:szCs w:val="24"/>
        </w:rPr>
        <w:t>ó</w:t>
      </w:r>
      <w:r>
        <w:rPr>
          <w:rFonts w:ascii="Arial" w:eastAsia="Arial" w:hAnsi="Arial" w:cs="Arial"/>
          <w:sz w:val="24"/>
          <w:szCs w:val="24"/>
        </w:rPr>
        <w:t>lo hecho de que las y los funcionarios públicos asistan a eventos de carácter proselitista en </w:t>
      </w:r>
      <w:r>
        <w:rPr>
          <w:rFonts w:ascii="Arial" w:eastAsia="Arial" w:hAnsi="Arial" w:cs="Arial"/>
          <w:b/>
          <w:sz w:val="24"/>
          <w:szCs w:val="24"/>
        </w:rPr>
        <w:t>días hábiles</w:t>
      </w:r>
      <w:r>
        <w:rPr>
          <w:rFonts w:ascii="Arial" w:eastAsia="Arial" w:hAnsi="Arial" w:cs="Arial"/>
          <w:sz w:val="24"/>
          <w:szCs w:val="24"/>
        </w:rPr>
        <w:t>, constituye, por sí sola, una conducta contraria al principio de imparcialidad.</w:t>
      </w:r>
      <w:r w:rsidR="007F61B4">
        <w:rPr>
          <w:rStyle w:val="Refdenotaalpie"/>
          <w:rFonts w:ascii="Arial" w:eastAsia="Arial" w:hAnsi="Arial" w:cs="Arial"/>
          <w:sz w:val="24"/>
          <w:szCs w:val="24"/>
        </w:rPr>
        <w:footnoteReference w:id="7"/>
      </w:r>
    </w:p>
    <w:p w14:paraId="278A63C4" w14:textId="77777777" w:rsidR="00CA3CF2" w:rsidRDefault="00C6513E">
      <w:pPr>
        <w:spacing w:line="360" w:lineRule="auto"/>
        <w:jc w:val="both"/>
        <w:rPr>
          <w:rFonts w:ascii="Arial" w:eastAsia="Arial" w:hAnsi="Arial" w:cs="Arial"/>
          <w:b/>
          <w:sz w:val="24"/>
          <w:szCs w:val="24"/>
        </w:rPr>
      </w:pPr>
      <w:r>
        <w:rPr>
          <w:rFonts w:ascii="Arial" w:eastAsia="Arial" w:hAnsi="Arial" w:cs="Arial"/>
          <w:sz w:val="24"/>
          <w:szCs w:val="24"/>
        </w:rPr>
        <w:t xml:space="preserve">Asimismo, ha establecido el criterio relativo que las y los servidores públicos no deben descuidar las funciones propias que tienen encomendadas por asistir a eventos proselitistas, ya que tal actuar </w:t>
      </w:r>
      <w:r>
        <w:rPr>
          <w:rFonts w:ascii="Arial" w:eastAsia="Arial" w:hAnsi="Arial" w:cs="Arial"/>
          <w:b/>
          <w:sz w:val="24"/>
          <w:szCs w:val="24"/>
        </w:rPr>
        <w:t>resulta equiparable al uso indebido de recursos públicos.</w:t>
      </w:r>
    </w:p>
    <w:p w14:paraId="03220EA1" w14:textId="77777777" w:rsidR="00CA3CF2" w:rsidRDefault="00CA3CF2">
      <w:pPr>
        <w:pBdr>
          <w:top w:val="nil"/>
          <w:left w:val="nil"/>
          <w:bottom w:val="nil"/>
          <w:right w:val="nil"/>
          <w:between w:val="nil"/>
        </w:pBdr>
        <w:rPr>
          <w:color w:val="000000"/>
        </w:rPr>
      </w:pPr>
    </w:p>
    <w:p w14:paraId="4C97E159" w14:textId="76248E4B" w:rsidR="00CA3CF2" w:rsidRDefault="00C6513E">
      <w:pPr>
        <w:spacing w:line="360" w:lineRule="auto"/>
        <w:jc w:val="both"/>
        <w:rPr>
          <w:rFonts w:ascii="Arial" w:eastAsia="Arial" w:hAnsi="Arial" w:cs="Arial"/>
          <w:sz w:val="24"/>
          <w:szCs w:val="24"/>
        </w:rPr>
      </w:pPr>
      <w:r>
        <w:rPr>
          <w:rFonts w:ascii="Arial" w:eastAsia="Arial" w:hAnsi="Arial" w:cs="Arial"/>
          <w:sz w:val="24"/>
          <w:szCs w:val="24"/>
        </w:rPr>
        <w:t>En tal sentido, la sola asistencia de servidores públicos en </w:t>
      </w:r>
      <w:r>
        <w:rPr>
          <w:rFonts w:ascii="Arial" w:eastAsia="Arial" w:hAnsi="Arial" w:cs="Arial"/>
          <w:b/>
          <w:sz w:val="24"/>
          <w:szCs w:val="24"/>
        </w:rPr>
        <w:t>días inhábiles</w:t>
      </w:r>
      <w:r>
        <w:rPr>
          <w:rFonts w:ascii="Arial" w:eastAsia="Arial" w:hAnsi="Arial" w:cs="Arial"/>
          <w:sz w:val="24"/>
          <w:szCs w:val="24"/>
        </w:rPr>
        <w:t xml:space="preserve"> a eventos de tales características, </w:t>
      </w:r>
      <w:r>
        <w:rPr>
          <w:rFonts w:ascii="Arial" w:eastAsia="Arial" w:hAnsi="Arial" w:cs="Arial"/>
          <w:b/>
          <w:sz w:val="24"/>
          <w:szCs w:val="24"/>
        </w:rPr>
        <w:t>no contraviene el principio de imparcialidad</w:t>
      </w:r>
      <w:r>
        <w:rPr>
          <w:rFonts w:ascii="Arial" w:eastAsia="Arial" w:hAnsi="Arial" w:cs="Arial"/>
          <w:sz w:val="24"/>
          <w:szCs w:val="24"/>
        </w:rPr>
        <w:t>, puesto que se ha reconocido que dicha asistencia se puede realizar en pleno ejercicio de los derechos político-electorales de asociación en materia política y libertad de expresión.</w:t>
      </w:r>
      <w:r w:rsidR="007F61B4">
        <w:rPr>
          <w:rStyle w:val="Refdenotaalpie"/>
          <w:rFonts w:ascii="Arial" w:eastAsia="Arial" w:hAnsi="Arial" w:cs="Arial"/>
          <w:sz w:val="24"/>
          <w:szCs w:val="24"/>
        </w:rPr>
        <w:footnoteReference w:id="8"/>
      </w:r>
    </w:p>
    <w:p w14:paraId="79ACE946" w14:textId="77777777" w:rsidR="00CA3CF2" w:rsidRDefault="00CA3CF2">
      <w:pPr>
        <w:pBdr>
          <w:top w:val="nil"/>
          <w:left w:val="nil"/>
          <w:bottom w:val="nil"/>
          <w:right w:val="nil"/>
          <w:between w:val="nil"/>
        </w:pBdr>
        <w:rPr>
          <w:color w:val="000000"/>
        </w:rPr>
      </w:pPr>
    </w:p>
    <w:p w14:paraId="797E2062" w14:textId="77777777" w:rsidR="00CA3CF2" w:rsidRDefault="00C6513E">
      <w:pPr>
        <w:spacing w:line="360" w:lineRule="auto"/>
        <w:jc w:val="both"/>
        <w:rPr>
          <w:rFonts w:ascii="Arial" w:eastAsia="Arial" w:hAnsi="Arial" w:cs="Arial"/>
          <w:sz w:val="24"/>
          <w:szCs w:val="24"/>
        </w:rPr>
      </w:pPr>
      <w:r>
        <w:rPr>
          <w:rFonts w:ascii="Arial" w:eastAsia="Arial" w:hAnsi="Arial" w:cs="Arial"/>
          <w:sz w:val="24"/>
          <w:szCs w:val="24"/>
        </w:rPr>
        <w:t>Es conveniente precisar que, en caso de los gobernadores y presidentes municipales de la entidad federativa, dada la naturaleza de su encargo, solo pueden asistir a eventos proselitistas cuando estos sean en días inhábiles previstos por la ley.</w:t>
      </w:r>
    </w:p>
    <w:p w14:paraId="76AD367A" w14:textId="77777777" w:rsidR="00CA3CF2" w:rsidRDefault="00CA3CF2">
      <w:pPr>
        <w:pBdr>
          <w:top w:val="nil"/>
          <w:left w:val="nil"/>
          <w:bottom w:val="nil"/>
          <w:right w:val="nil"/>
          <w:between w:val="nil"/>
        </w:pBdr>
        <w:rPr>
          <w:color w:val="000000"/>
        </w:rPr>
      </w:pPr>
    </w:p>
    <w:p w14:paraId="6E0FCF4B" w14:textId="49ED97E3" w:rsidR="00CA3CF2" w:rsidRDefault="00C6513E">
      <w:pPr>
        <w:spacing w:line="360" w:lineRule="auto"/>
        <w:jc w:val="both"/>
        <w:rPr>
          <w:rFonts w:ascii="Arial" w:eastAsia="Arial" w:hAnsi="Arial" w:cs="Arial"/>
          <w:sz w:val="24"/>
          <w:szCs w:val="24"/>
        </w:rPr>
      </w:pPr>
      <w:r>
        <w:rPr>
          <w:rFonts w:ascii="Arial" w:eastAsia="Arial" w:hAnsi="Arial" w:cs="Arial"/>
          <w:sz w:val="24"/>
          <w:szCs w:val="24"/>
        </w:rPr>
        <w:t>Por su parte, la Sala Superior ha sostenido que las y los servidores públicos tienen derecho a militar en un partido político de su interés y a realizar todos los actos inherentes a dicha filiación en ejercicio de sus derechos fundamentales en materia política, sin que ello implique o se traduzca en la autorización para el ejercicio indebido de su empleo</w:t>
      </w:r>
      <w:r w:rsidR="006F2091">
        <w:rPr>
          <w:rFonts w:ascii="Arial" w:eastAsia="Arial" w:hAnsi="Arial" w:cs="Arial"/>
          <w:sz w:val="24"/>
          <w:szCs w:val="24"/>
        </w:rPr>
        <w:t>.</w:t>
      </w:r>
      <w:r>
        <w:rPr>
          <w:rFonts w:ascii="Arial" w:eastAsia="Arial" w:hAnsi="Arial" w:cs="Arial"/>
          <w:sz w:val="24"/>
          <w:szCs w:val="24"/>
          <w:vertAlign w:val="superscript"/>
        </w:rPr>
        <w:footnoteReference w:id="9"/>
      </w:r>
      <w:r>
        <w:rPr>
          <w:rFonts w:ascii="Arial" w:eastAsia="Arial" w:hAnsi="Arial" w:cs="Arial"/>
          <w:sz w:val="24"/>
          <w:szCs w:val="24"/>
        </w:rPr>
        <w:t xml:space="preserve"> </w:t>
      </w:r>
    </w:p>
    <w:p w14:paraId="6F905C84" w14:textId="77777777" w:rsidR="00CA3CF2" w:rsidRDefault="00CA3CF2">
      <w:pPr>
        <w:pBdr>
          <w:top w:val="nil"/>
          <w:left w:val="nil"/>
          <w:bottom w:val="nil"/>
          <w:right w:val="nil"/>
          <w:between w:val="nil"/>
        </w:pBdr>
        <w:rPr>
          <w:color w:val="000000"/>
        </w:rPr>
      </w:pPr>
    </w:p>
    <w:p w14:paraId="103A1FEE" w14:textId="77777777" w:rsidR="00CA3CF2" w:rsidRDefault="00C6513E">
      <w:pPr>
        <w:spacing w:line="360" w:lineRule="auto"/>
        <w:jc w:val="both"/>
        <w:rPr>
          <w:rFonts w:ascii="Arial" w:eastAsia="Arial" w:hAnsi="Arial" w:cs="Arial"/>
          <w:sz w:val="24"/>
          <w:szCs w:val="24"/>
        </w:rPr>
      </w:pPr>
      <w:r>
        <w:rPr>
          <w:rFonts w:ascii="Arial" w:eastAsia="Arial" w:hAnsi="Arial" w:cs="Arial"/>
          <w:sz w:val="24"/>
          <w:szCs w:val="24"/>
        </w:rPr>
        <w:t xml:space="preserve">Asimismo, considero la permisión relativa a que las y los funcionarios públicos pueden asistir a un evento proselitista en un día inhábil, no se trata de un derecho absoluto, pues en dicha asistencia, no podrán tener una participación activa y preponderante en el vento ni tampoco </w:t>
      </w:r>
      <w:r>
        <w:rPr>
          <w:rFonts w:ascii="Arial" w:eastAsia="Arial" w:hAnsi="Arial" w:cs="Arial"/>
          <w:sz w:val="24"/>
          <w:szCs w:val="24"/>
        </w:rPr>
        <w:lastRenderedPageBreak/>
        <w:t>pueden hacer uso indebido de los recursos públicos</w:t>
      </w:r>
      <w:r>
        <w:rPr>
          <w:rFonts w:ascii="Arial" w:eastAsia="Arial" w:hAnsi="Arial" w:cs="Arial"/>
          <w:sz w:val="24"/>
          <w:szCs w:val="24"/>
          <w:vertAlign w:val="superscript"/>
        </w:rPr>
        <w:footnoteReference w:id="10"/>
      </w:r>
      <w:r>
        <w:rPr>
          <w:rFonts w:ascii="Arial" w:eastAsia="Arial" w:hAnsi="Arial" w:cs="Arial"/>
          <w:sz w:val="24"/>
          <w:szCs w:val="24"/>
        </w:rPr>
        <w:t>. Para esto, señaló que las horas y días inhábiles se determinan con base en la legislación y en aquellos que les corresponde ejercer el derecho a un día de descanso por haber laborado durante seis días</w:t>
      </w:r>
      <w:r>
        <w:rPr>
          <w:rFonts w:ascii="Arial" w:eastAsia="Arial" w:hAnsi="Arial" w:cs="Arial"/>
          <w:sz w:val="24"/>
          <w:szCs w:val="24"/>
          <w:vertAlign w:val="superscript"/>
        </w:rPr>
        <w:footnoteReference w:id="11"/>
      </w:r>
      <w:r>
        <w:rPr>
          <w:rFonts w:ascii="Arial" w:eastAsia="Arial" w:hAnsi="Arial" w:cs="Arial"/>
          <w:sz w:val="24"/>
          <w:szCs w:val="24"/>
        </w:rPr>
        <w:t xml:space="preserve">. </w:t>
      </w:r>
    </w:p>
    <w:p w14:paraId="20E79733" w14:textId="77777777" w:rsidR="00CA3CF2" w:rsidRDefault="00CA3CF2">
      <w:pPr>
        <w:pBdr>
          <w:top w:val="nil"/>
          <w:left w:val="nil"/>
          <w:bottom w:val="nil"/>
          <w:right w:val="nil"/>
          <w:between w:val="nil"/>
        </w:pBdr>
        <w:rPr>
          <w:color w:val="000000"/>
        </w:rPr>
      </w:pPr>
    </w:p>
    <w:p w14:paraId="6FA039AB" w14:textId="77777777" w:rsidR="00CA3CF2" w:rsidRDefault="00C6513E">
      <w:pPr>
        <w:numPr>
          <w:ilvl w:val="0"/>
          <w:numId w:val="10"/>
        </w:numPr>
        <w:pBdr>
          <w:top w:val="nil"/>
          <w:left w:val="nil"/>
          <w:bottom w:val="nil"/>
          <w:right w:val="nil"/>
          <w:between w:val="nil"/>
        </w:pBdr>
        <w:tabs>
          <w:tab w:val="left" w:pos="5461"/>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Caso concreto </w:t>
      </w:r>
    </w:p>
    <w:p w14:paraId="70D15386" w14:textId="77777777" w:rsidR="00CA3CF2" w:rsidRDefault="00CA3CF2">
      <w:pPr>
        <w:pBdr>
          <w:top w:val="nil"/>
          <w:left w:val="nil"/>
          <w:bottom w:val="nil"/>
          <w:right w:val="nil"/>
          <w:between w:val="nil"/>
        </w:pBdr>
        <w:rPr>
          <w:color w:val="000000"/>
        </w:rPr>
      </w:pPr>
    </w:p>
    <w:p w14:paraId="297E2601" w14:textId="77777777" w:rsidR="00CA3CF2" w:rsidRDefault="00C6513E">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El PAN, en el contexto del proceso electoral 2021-2022 en el que se renovó la gubernatura de Aguascalientes, presentó una queja ante el Instituto Local en contra de Movimiento Ciudadano, y su entonces candidata a la gubernatura del estado, así como de diversos servidores públicos, al considerar que estos vulneraron los principios de imparcialidad, equidad y neutralidad en la contienda, derivado de su asistencia a una serie de eventos proselitistas en favor de la candidatura cuestionada, lo cual configura el uso indebido de recursos públicos y coacciona el voto de la ciudadanía. </w:t>
      </w:r>
    </w:p>
    <w:p w14:paraId="6784C49C" w14:textId="77777777" w:rsidR="00CA3CF2" w:rsidRDefault="00CA3CF2">
      <w:pPr>
        <w:pBdr>
          <w:top w:val="nil"/>
          <w:left w:val="nil"/>
          <w:bottom w:val="nil"/>
          <w:right w:val="nil"/>
          <w:between w:val="nil"/>
        </w:pBdr>
        <w:rPr>
          <w:color w:val="000000"/>
        </w:rPr>
      </w:pPr>
    </w:p>
    <w:p w14:paraId="6B77831D" w14:textId="77777777" w:rsidR="00CA3CF2" w:rsidRDefault="00C6513E">
      <w:pPr>
        <w:numPr>
          <w:ilvl w:val="0"/>
          <w:numId w:val="10"/>
        </w:numPr>
        <w:pBdr>
          <w:top w:val="nil"/>
          <w:left w:val="nil"/>
          <w:bottom w:val="nil"/>
          <w:right w:val="nil"/>
          <w:between w:val="nil"/>
        </w:pBdr>
        <w:tabs>
          <w:tab w:val="left" w:pos="284"/>
        </w:tabs>
        <w:spacing w:line="360" w:lineRule="auto"/>
        <w:ind w:left="0" w:right="36" w:firstLine="0"/>
        <w:jc w:val="both"/>
        <w:rPr>
          <w:rFonts w:ascii="Arial" w:eastAsia="Arial" w:hAnsi="Arial" w:cs="Arial"/>
          <w:b/>
          <w:color w:val="000000"/>
          <w:sz w:val="24"/>
          <w:szCs w:val="24"/>
        </w:rPr>
      </w:pPr>
      <w:r>
        <w:rPr>
          <w:rFonts w:ascii="Arial" w:eastAsia="Arial" w:hAnsi="Arial" w:cs="Arial"/>
          <w:b/>
          <w:color w:val="000000"/>
          <w:sz w:val="24"/>
          <w:szCs w:val="24"/>
        </w:rPr>
        <w:t xml:space="preserve">Valoración </w:t>
      </w:r>
    </w:p>
    <w:p w14:paraId="62EDE5B2" w14:textId="77777777" w:rsidR="00CA3CF2" w:rsidRDefault="00CA3CF2">
      <w:pPr>
        <w:pBdr>
          <w:top w:val="nil"/>
          <w:left w:val="nil"/>
          <w:bottom w:val="nil"/>
          <w:right w:val="nil"/>
          <w:between w:val="nil"/>
        </w:pBdr>
        <w:rPr>
          <w:color w:val="000000"/>
        </w:rPr>
      </w:pPr>
    </w:p>
    <w:p w14:paraId="5B91C8BC" w14:textId="77777777" w:rsidR="00CA3CF2" w:rsidRDefault="00C6513E">
      <w:pPr>
        <w:spacing w:line="360" w:lineRule="auto"/>
        <w:jc w:val="both"/>
        <w:rPr>
          <w:rFonts w:ascii="Arial" w:eastAsia="Arial" w:hAnsi="Arial" w:cs="Arial"/>
          <w:color w:val="000000"/>
          <w:sz w:val="24"/>
          <w:szCs w:val="24"/>
        </w:rPr>
      </w:pPr>
      <w:r>
        <w:rPr>
          <w:rFonts w:ascii="Arial" w:eastAsia="Arial" w:hAnsi="Arial" w:cs="Arial"/>
          <w:b/>
          <w:color w:val="000000"/>
          <w:sz w:val="24"/>
          <w:szCs w:val="24"/>
        </w:rPr>
        <w:t>1.</w:t>
      </w:r>
      <w:r>
        <w:rPr>
          <w:rFonts w:ascii="Arial" w:eastAsia="Arial" w:hAnsi="Arial" w:cs="Arial"/>
          <w:color w:val="000000"/>
          <w:sz w:val="24"/>
          <w:szCs w:val="24"/>
        </w:rPr>
        <w:t xml:space="preserve"> Este Tribunal Electoral considera que la infracción relativa a la supuesta vulneración al principio de imparcialidad previsto en el artículo 134 de la Constitución </w:t>
      </w:r>
      <w:r>
        <w:rPr>
          <w:rFonts w:ascii="Arial" w:eastAsia="Arial" w:hAnsi="Arial" w:cs="Arial"/>
          <w:sz w:val="24"/>
          <w:szCs w:val="24"/>
        </w:rPr>
        <w:t>g</w:t>
      </w:r>
      <w:r>
        <w:rPr>
          <w:rFonts w:ascii="Arial" w:eastAsia="Arial" w:hAnsi="Arial" w:cs="Arial"/>
          <w:color w:val="000000"/>
          <w:sz w:val="24"/>
          <w:szCs w:val="24"/>
        </w:rPr>
        <w:t xml:space="preserve">eneral es </w:t>
      </w:r>
      <w:r>
        <w:rPr>
          <w:rFonts w:ascii="Arial" w:eastAsia="Arial" w:hAnsi="Arial" w:cs="Arial"/>
          <w:b/>
          <w:color w:val="000000"/>
          <w:sz w:val="24"/>
          <w:szCs w:val="24"/>
        </w:rPr>
        <w:t>inexistente</w:t>
      </w:r>
      <w:r>
        <w:rPr>
          <w:rFonts w:ascii="Arial" w:eastAsia="Arial" w:hAnsi="Arial" w:cs="Arial"/>
          <w:color w:val="000000"/>
          <w:sz w:val="24"/>
          <w:szCs w:val="24"/>
        </w:rPr>
        <w:t xml:space="preserve">, ya que a partir del análisis de las publicaciones cuestionadas en las que aparecen distintos servidores públicos, se logró sostener que </w:t>
      </w:r>
      <w:r>
        <w:rPr>
          <w:rFonts w:ascii="Arial" w:eastAsia="Arial" w:hAnsi="Arial" w:cs="Arial"/>
          <w:b/>
          <w:color w:val="000000"/>
          <w:sz w:val="24"/>
          <w:szCs w:val="24"/>
        </w:rPr>
        <w:t>la sola aparición</w:t>
      </w:r>
      <w:r>
        <w:rPr>
          <w:rFonts w:ascii="Arial" w:eastAsia="Arial" w:hAnsi="Arial" w:cs="Arial"/>
          <w:color w:val="000000"/>
          <w:sz w:val="24"/>
          <w:szCs w:val="24"/>
        </w:rPr>
        <w:t xml:space="preserve"> de estos en tales imágenes</w:t>
      </w:r>
      <w:r>
        <w:rPr>
          <w:rFonts w:ascii="Arial" w:eastAsia="Arial" w:hAnsi="Arial" w:cs="Arial"/>
          <w:sz w:val="24"/>
          <w:szCs w:val="24"/>
        </w:rPr>
        <w:t xml:space="preserve"> -</w:t>
      </w:r>
      <w:r>
        <w:rPr>
          <w:rFonts w:ascii="Arial" w:eastAsia="Arial" w:hAnsi="Arial" w:cs="Arial"/>
          <w:color w:val="000000"/>
          <w:sz w:val="24"/>
          <w:szCs w:val="24"/>
        </w:rPr>
        <w:t xml:space="preserve">que </w:t>
      </w:r>
      <w:r>
        <w:rPr>
          <w:rFonts w:ascii="Arial" w:eastAsia="Arial" w:hAnsi="Arial" w:cs="Arial"/>
          <w:sz w:val="24"/>
          <w:szCs w:val="24"/>
        </w:rPr>
        <w:t>tuvieron</w:t>
      </w:r>
      <w:r>
        <w:rPr>
          <w:rFonts w:ascii="Arial" w:eastAsia="Arial" w:hAnsi="Arial" w:cs="Arial"/>
          <w:color w:val="000000"/>
          <w:sz w:val="24"/>
          <w:szCs w:val="24"/>
        </w:rPr>
        <w:t xml:space="preserve"> como finalidad promover la candidatura de Anayeli Muñoz Moreno- </w:t>
      </w:r>
      <w:r>
        <w:rPr>
          <w:rFonts w:ascii="Arial" w:eastAsia="Arial" w:hAnsi="Arial" w:cs="Arial"/>
          <w:b/>
          <w:color w:val="000000"/>
          <w:sz w:val="24"/>
          <w:szCs w:val="24"/>
        </w:rPr>
        <w:t>no implica</w:t>
      </w:r>
      <w:r>
        <w:rPr>
          <w:rFonts w:ascii="Arial" w:eastAsia="Arial" w:hAnsi="Arial" w:cs="Arial"/>
          <w:color w:val="000000"/>
          <w:sz w:val="24"/>
          <w:szCs w:val="24"/>
        </w:rPr>
        <w:t xml:space="preserve">, por sí misma, </w:t>
      </w:r>
      <w:r>
        <w:rPr>
          <w:rFonts w:ascii="Arial" w:eastAsia="Arial" w:hAnsi="Arial" w:cs="Arial"/>
          <w:b/>
          <w:color w:val="000000"/>
          <w:sz w:val="24"/>
          <w:szCs w:val="24"/>
        </w:rPr>
        <w:t>una infracción a tales principios</w:t>
      </w:r>
      <w:r>
        <w:rPr>
          <w:rFonts w:ascii="Arial" w:eastAsia="Arial" w:hAnsi="Arial" w:cs="Arial"/>
          <w:color w:val="000000"/>
          <w:sz w:val="24"/>
          <w:szCs w:val="24"/>
        </w:rPr>
        <w:t xml:space="preserve"> -imparcialidad y equidad en la contienda-, ya que tal aparición en las imágenes no demuestra datos necesarios para valorar de forma apropiada la infracción estudiada, tales como el día y hora en el que asistieron a los eventos proselitistas cuestionados o bien, algún dato que demuestre el posible uso de recursos públicos por parte de estos con motivo de tal asistencia. </w:t>
      </w:r>
    </w:p>
    <w:p w14:paraId="02CEC3CB" w14:textId="77777777" w:rsidR="00CA3CF2" w:rsidRDefault="00CA3CF2">
      <w:pPr>
        <w:pBdr>
          <w:top w:val="nil"/>
          <w:left w:val="nil"/>
          <w:bottom w:val="nil"/>
          <w:right w:val="nil"/>
          <w:between w:val="nil"/>
        </w:pBdr>
        <w:rPr>
          <w:color w:val="000000"/>
        </w:rPr>
      </w:pPr>
    </w:p>
    <w:p w14:paraId="513A0103" w14:textId="77777777" w:rsidR="00CA3CF2" w:rsidRDefault="00C6513E">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Contrario a esto, la parte denunciante se limitó a manifestar en su escrito de denuncia que la inclusión de los servidores públicos en las publicaciones difundidas por parte de la candidata Anayeli Muñoz Moreno en su perfil de Facebook, implicaban una vulneración evidente a los principios comentados, en atención al cargo que ostentan actualmente en los órganos de representación, pues conllevan tal relevancia que su sola aparición genera inequidad en la contienda y coacción al voto de las y los electores. </w:t>
      </w:r>
    </w:p>
    <w:p w14:paraId="3945A7C2" w14:textId="77777777" w:rsidR="00CA3CF2" w:rsidRDefault="00CA3CF2">
      <w:pPr>
        <w:pBdr>
          <w:top w:val="nil"/>
          <w:left w:val="nil"/>
          <w:bottom w:val="nil"/>
          <w:right w:val="nil"/>
          <w:between w:val="nil"/>
        </w:pBdr>
        <w:rPr>
          <w:color w:val="000000"/>
        </w:rPr>
      </w:pPr>
    </w:p>
    <w:p w14:paraId="40419BE3" w14:textId="77777777" w:rsidR="00CA3CF2" w:rsidRDefault="00C6513E">
      <w:pPr>
        <w:spacing w:line="360" w:lineRule="auto"/>
        <w:jc w:val="both"/>
        <w:rPr>
          <w:rFonts w:ascii="Arial" w:eastAsia="Arial" w:hAnsi="Arial" w:cs="Arial"/>
          <w:color w:val="000000"/>
          <w:sz w:val="24"/>
          <w:szCs w:val="24"/>
        </w:rPr>
      </w:pPr>
      <w:r>
        <w:rPr>
          <w:rFonts w:ascii="Arial" w:eastAsia="Arial" w:hAnsi="Arial" w:cs="Arial"/>
          <w:color w:val="000000"/>
          <w:sz w:val="24"/>
          <w:szCs w:val="24"/>
        </w:rPr>
        <w:t>Al respecto, en primer lugar, este órgano jurisdiccional considera que</w:t>
      </w:r>
      <w:r>
        <w:rPr>
          <w:rFonts w:ascii="Arial" w:eastAsia="Arial" w:hAnsi="Arial" w:cs="Arial"/>
          <w:sz w:val="24"/>
          <w:szCs w:val="24"/>
        </w:rPr>
        <w:t>,</w:t>
      </w:r>
      <w:r>
        <w:rPr>
          <w:rFonts w:ascii="Arial" w:eastAsia="Arial" w:hAnsi="Arial" w:cs="Arial"/>
          <w:color w:val="000000"/>
          <w:sz w:val="24"/>
          <w:szCs w:val="24"/>
        </w:rPr>
        <w:t xml:space="preserve"> en cuanto a las imágenes denunciadas, en relación con las pruebas ofrecidas por el denunciante y los denunciados, así como de la certificación de las imágenes por parte de la oficialía electoral, es posible asumir que el hecho de que las y los servidores públicos hubiesen aparecido en </w:t>
      </w:r>
      <w:r>
        <w:rPr>
          <w:rFonts w:ascii="Arial" w:eastAsia="Arial" w:hAnsi="Arial" w:cs="Arial"/>
          <w:color w:val="000000"/>
          <w:sz w:val="24"/>
          <w:szCs w:val="24"/>
        </w:rPr>
        <w:lastRenderedPageBreak/>
        <w:t xml:space="preserve">la publicaciones en comento, </w:t>
      </w:r>
      <w:r>
        <w:rPr>
          <w:rFonts w:ascii="Arial" w:eastAsia="Arial" w:hAnsi="Arial" w:cs="Arial"/>
          <w:b/>
          <w:color w:val="000000"/>
          <w:sz w:val="24"/>
          <w:szCs w:val="24"/>
        </w:rPr>
        <w:t>no implica que haya quedado demostrado un uso indebido de recursos públicos,</w:t>
      </w:r>
      <w:r>
        <w:rPr>
          <w:rFonts w:ascii="Arial" w:eastAsia="Arial" w:hAnsi="Arial" w:cs="Arial"/>
          <w:color w:val="000000"/>
          <w:sz w:val="24"/>
          <w:szCs w:val="24"/>
        </w:rPr>
        <w:t xml:space="preserve"> pues no se ofrecieron pruebas que demostraran tal situación, sino que, como se comentó, la parte denunciante se limitó a ofrecer como medios de prueba una serie de fotografías en las que tales funcionarios públicos aparecen en las publicaciones cuestionadas, sin que de estas se logre advertir alguna situación que vulnere el artículo 134 constitucional. </w:t>
      </w:r>
    </w:p>
    <w:p w14:paraId="30062836" w14:textId="77777777" w:rsidR="00CA3CF2" w:rsidRDefault="00CA3CF2">
      <w:pPr>
        <w:pBdr>
          <w:top w:val="nil"/>
          <w:left w:val="nil"/>
          <w:bottom w:val="nil"/>
          <w:right w:val="nil"/>
          <w:between w:val="nil"/>
        </w:pBdr>
        <w:rPr>
          <w:color w:val="000000"/>
        </w:rPr>
      </w:pPr>
    </w:p>
    <w:p w14:paraId="774163CD" w14:textId="77777777" w:rsidR="00CA3CF2" w:rsidRDefault="00C6513E">
      <w:pPr>
        <w:spacing w:line="360" w:lineRule="auto"/>
        <w:jc w:val="both"/>
        <w:rPr>
          <w:rFonts w:ascii="Arial" w:eastAsia="Arial" w:hAnsi="Arial" w:cs="Arial"/>
          <w:color w:val="000000"/>
          <w:sz w:val="24"/>
          <w:szCs w:val="24"/>
        </w:rPr>
      </w:pPr>
      <w:r>
        <w:rPr>
          <w:rFonts w:ascii="Arial" w:eastAsia="Arial" w:hAnsi="Arial" w:cs="Arial"/>
          <w:color w:val="000000"/>
          <w:sz w:val="24"/>
          <w:szCs w:val="24"/>
        </w:rPr>
        <w:t>Lo anterior es así, ya que con independencia de que la parte denunciante en sus escritos haga referencia al día y hora en que se publicaron las imágenes denunciadas,</w:t>
      </w:r>
      <w:r>
        <w:rPr>
          <w:rFonts w:ascii="Arial" w:eastAsia="Arial" w:hAnsi="Arial" w:cs="Arial"/>
          <w:sz w:val="24"/>
          <w:szCs w:val="24"/>
        </w:rPr>
        <w:t xml:space="preserve"> tal situación no</w:t>
      </w:r>
      <w:r>
        <w:rPr>
          <w:rFonts w:ascii="Arial" w:eastAsia="Arial" w:hAnsi="Arial" w:cs="Arial"/>
          <w:color w:val="000000"/>
          <w:sz w:val="24"/>
          <w:szCs w:val="24"/>
        </w:rPr>
        <w:t xml:space="preserve"> implica que ello actualice de forma automática la infracción valorada, ya que estas se difundieron por parte de la candidata en su cuenta de Facebook, cuestión que, en todo caso, responsabiliza a la e</w:t>
      </w:r>
      <w:r>
        <w:rPr>
          <w:rFonts w:ascii="Arial" w:eastAsia="Arial" w:hAnsi="Arial" w:cs="Arial"/>
          <w:sz w:val="24"/>
          <w:szCs w:val="24"/>
        </w:rPr>
        <w:t>ntonces</w:t>
      </w:r>
      <w:r>
        <w:rPr>
          <w:rFonts w:ascii="Arial" w:eastAsia="Arial" w:hAnsi="Arial" w:cs="Arial"/>
          <w:color w:val="000000"/>
          <w:sz w:val="24"/>
          <w:szCs w:val="24"/>
        </w:rPr>
        <w:t xml:space="preserve"> candidata, quien de acuerdo al catálogo de sujetos sancionados previsto por el Código Electoral, </w:t>
      </w:r>
      <w:r>
        <w:rPr>
          <w:rFonts w:ascii="Arial" w:eastAsia="Arial" w:hAnsi="Arial" w:cs="Arial"/>
          <w:b/>
          <w:color w:val="000000"/>
          <w:sz w:val="24"/>
          <w:szCs w:val="24"/>
        </w:rPr>
        <w:t>no es sujeta responsable para ser sancionada por la violación al principio de imparcialidad</w:t>
      </w:r>
      <w:r>
        <w:rPr>
          <w:rFonts w:ascii="Arial" w:eastAsia="Arial" w:hAnsi="Arial" w:cs="Arial"/>
          <w:color w:val="000000"/>
          <w:sz w:val="24"/>
          <w:szCs w:val="24"/>
        </w:rPr>
        <w:t xml:space="preserve">, al fungir en la presente controversia como candidata y no como servidora pública. </w:t>
      </w:r>
    </w:p>
    <w:p w14:paraId="229E948E" w14:textId="77777777" w:rsidR="00CA3CF2" w:rsidRDefault="00CA3CF2">
      <w:pPr>
        <w:pBdr>
          <w:top w:val="nil"/>
          <w:left w:val="nil"/>
          <w:bottom w:val="nil"/>
          <w:right w:val="nil"/>
          <w:between w:val="nil"/>
        </w:pBdr>
        <w:rPr>
          <w:color w:val="000000"/>
        </w:rPr>
      </w:pPr>
    </w:p>
    <w:p w14:paraId="38B5C069" w14:textId="77777777" w:rsidR="00CA3CF2" w:rsidRDefault="00C6513E">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Asimismo, la referida afirmación de la parte denunciante, no logra demostrar que las funcionarias y funcionarios públicos cuestionados asistieron a tales eventos en día y hora hábil, que se distrajeran indebidamente de sus tareas públicas y de representación, o que hayan hecho uso de algún recurso humano o material propio de su encargo. De ahí que, a criterio de este órgano </w:t>
      </w:r>
      <w:r>
        <w:rPr>
          <w:rFonts w:ascii="Arial" w:eastAsia="Arial" w:hAnsi="Arial" w:cs="Arial"/>
          <w:sz w:val="24"/>
          <w:szCs w:val="24"/>
        </w:rPr>
        <w:t>judicial</w:t>
      </w:r>
      <w:r>
        <w:rPr>
          <w:rFonts w:ascii="Arial" w:eastAsia="Arial" w:hAnsi="Arial" w:cs="Arial"/>
          <w:color w:val="000000"/>
          <w:sz w:val="24"/>
          <w:szCs w:val="24"/>
        </w:rPr>
        <w:t xml:space="preserve">, se considere que la inclusión de tales sujetos, no implica una infracción por el uso indebido de recursos públicos, pues la parte </w:t>
      </w:r>
      <w:r>
        <w:rPr>
          <w:rFonts w:ascii="Arial" w:eastAsia="Arial" w:hAnsi="Arial" w:cs="Arial"/>
          <w:b/>
          <w:color w:val="000000"/>
          <w:sz w:val="24"/>
          <w:szCs w:val="24"/>
        </w:rPr>
        <w:t>denunciante omitió ofrecer mayores pruebas</w:t>
      </w:r>
      <w:r>
        <w:rPr>
          <w:rFonts w:ascii="Arial" w:eastAsia="Arial" w:hAnsi="Arial" w:cs="Arial"/>
          <w:color w:val="000000"/>
          <w:sz w:val="24"/>
          <w:szCs w:val="24"/>
        </w:rPr>
        <w:t xml:space="preserve"> que evidencien datos relevantes como </w:t>
      </w:r>
      <w:r>
        <w:rPr>
          <w:rFonts w:ascii="Arial" w:eastAsia="Arial" w:hAnsi="Arial" w:cs="Arial"/>
          <w:b/>
          <w:color w:val="000000"/>
          <w:sz w:val="24"/>
          <w:szCs w:val="24"/>
        </w:rPr>
        <w:t>día y hora de la celebración de los eventos</w:t>
      </w:r>
      <w:r>
        <w:rPr>
          <w:rFonts w:ascii="Arial" w:eastAsia="Arial" w:hAnsi="Arial" w:cs="Arial"/>
          <w:color w:val="000000"/>
          <w:sz w:val="24"/>
          <w:szCs w:val="24"/>
        </w:rPr>
        <w:t xml:space="preserve"> que proyectan las publicaciones comentadas. </w:t>
      </w:r>
    </w:p>
    <w:p w14:paraId="2FA35828" w14:textId="77777777" w:rsidR="00CA3CF2" w:rsidRDefault="00CA3CF2">
      <w:pPr>
        <w:pBdr>
          <w:top w:val="nil"/>
          <w:left w:val="nil"/>
          <w:bottom w:val="nil"/>
          <w:right w:val="nil"/>
          <w:between w:val="nil"/>
        </w:pBdr>
        <w:rPr>
          <w:color w:val="000000"/>
        </w:rPr>
      </w:pPr>
    </w:p>
    <w:p w14:paraId="2879D278" w14:textId="77777777" w:rsidR="00CA3CF2" w:rsidRDefault="00C6513E">
      <w:pPr>
        <w:spacing w:line="360" w:lineRule="auto"/>
        <w:jc w:val="both"/>
        <w:rPr>
          <w:rFonts w:ascii="Arial" w:eastAsia="Arial" w:hAnsi="Arial" w:cs="Arial"/>
          <w:color w:val="000000"/>
          <w:sz w:val="24"/>
          <w:szCs w:val="24"/>
        </w:rPr>
      </w:pPr>
      <w:r>
        <w:rPr>
          <w:rFonts w:ascii="Arial" w:eastAsia="Arial" w:hAnsi="Arial" w:cs="Arial"/>
          <w:color w:val="000000"/>
          <w:sz w:val="24"/>
          <w:szCs w:val="24"/>
        </w:rPr>
        <w:t>Igualmente, esta autoridad jurisdiccional advierte que</w:t>
      </w:r>
      <w:r>
        <w:rPr>
          <w:rFonts w:ascii="Arial" w:eastAsia="Arial" w:hAnsi="Arial" w:cs="Arial"/>
          <w:sz w:val="24"/>
          <w:szCs w:val="24"/>
        </w:rPr>
        <w:t xml:space="preserve">, de </w:t>
      </w:r>
      <w:r>
        <w:rPr>
          <w:rFonts w:ascii="Arial" w:eastAsia="Arial" w:hAnsi="Arial" w:cs="Arial"/>
          <w:color w:val="000000"/>
          <w:sz w:val="24"/>
          <w:szCs w:val="24"/>
        </w:rPr>
        <w:t>la inclusión de dichos servidores públicos en las imágenes y</w:t>
      </w:r>
      <w:r>
        <w:rPr>
          <w:rFonts w:ascii="Arial" w:eastAsia="Arial" w:hAnsi="Arial" w:cs="Arial"/>
          <w:sz w:val="24"/>
          <w:szCs w:val="24"/>
        </w:rPr>
        <w:t xml:space="preserve"> su</w:t>
      </w:r>
      <w:r>
        <w:rPr>
          <w:rFonts w:ascii="Arial" w:eastAsia="Arial" w:hAnsi="Arial" w:cs="Arial"/>
          <w:color w:val="000000"/>
          <w:sz w:val="24"/>
          <w:szCs w:val="24"/>
        </w:rPr>
        <w:t xml:space="preserve"> asistencia a los eventos que originaron tales publicaciones, </w:t>
      </w:r>
      <w:r>
        <w:rPr>
          <w:rFonts w:ascii="Arial" w:eastAsia="Arial" w:hAnsi="Arial" w:cs="Arial"/>
          <w:b/>
          <w:color w:val="000000"/>
          <w:sz w:val="24"/>
          <w:szCs w:val="24"/>
        </w:rPr>
        <w:t>no es posible advertir que hayan hecho uso de algún recurso público</w:t>
      </w:r>
      <w:r>
        <w:rPr>
          <w:rFonts w:ascii="Arial" w:eastAsia="Arial" w:hAnsi="Arial" w:cs="Arial"/>
          <w:color w:val="000000"/>
          <w:sz w:val="24"/>
          <w:szCs w:val="24"/>
        </w:rPr>
        <w:t xml:space="preserve">, que </w:t>
      </w:r>
      <w:r>
        <w:rPr>
          <w:rFonts w:ascii="Arial" w:eastAsia="Arial" w:hAnsi="Arial" w:cs="Arial"/>
          <w:sz w:val="24"/>
          <w:szCs w:val="24"/>
        </w:rPr>
        <w:t xml:space="preserve">hubiesen </w:t>
      </w:r>
      <w:r>
        <w:rPr>
          <w:rFonts w:ascii="Arial" w:eastAsia="Arial" w:hAnsi="Arial" w:cs="Arial"/>
          <w:color w:val="000000"/>
          <w:sz w:val="24"/>
          <w:szCs w:val="24"/>
        </w:rPr>
        <w:t xml:space="preserve">tomado el uso de la voz o bien, participado de forma activa, pues </w:t>
      </w:r>
      <w:r>
        <w:rPr>
          <w:rFonts w:ascii="Arial" w:eastAsia="Arial" w:hAnsi="Arial" w:cs="Arial"/>
          <w:sz w:val="24"/>
          <w:szCs w:val="24"/>
        </w:rPr>
        <w:t>contrario</w:t>
      </w:r>
      <w:r>
        <w:rPr>
          <w:rFonts w:ascii="Arial" w:eastAsia="Arial" w:hAnsi="Arial" w:cs="Arial"/>
          <w:color w:val="000000"/>
          <w:sz w:val="24"/>
          <w:szCs w:val="24"/>
        </w:rPr>
        <w:t xml:space="preserve"> a ello, solamente aparecen en las fotografías, sin advertir mayores condiciones. </w:t>
      </w:r>
    </w:p>
    <w:p w14:paraId="648C1A8F" w14:textId="77777777" w:rsidR="00CA3CF2" w:rsidRDefault="00CA3CF2">
      <w:pPr>
        <w:spacing w:line="360" w:lineRule="auto"/>
        <w:jc w:val="both"/>
        <w:rPr>
          <w:rFonts w:ascii="Arial" w:eastAsia="Arial" w:hAnsi="Arial" w:cs="Arial"/>
          <w:sz w:val="24"/>
          <w:szCs w:val="24"/>
        </w:rPr>
      </w:pPr>
    </w:p>
    <w:p w14:paraId="6DE3DF66" w14:textId="77777777" w:rsidR="00CA3CF2" w:rsidRDefault="00C6513E">
      <w:pPr>
        <w:spacing w:line="360" w:lineRule="auto"/>
        <w:jc w:val="both"/>
        <w:rPr>
          <w:rFonts w:ascii="Arial" w:eastAsia="Arial" w:hAnsi="Arial" w:cs="Arial"/>
          <w:sz w:val="24"/>
          <w:szCs w:val="24"/>
        </w:rPr>
      </w:pPr>
      <w:r>
        <w:rPr>
          <w:rFonts w:ascii="Arial" w:eastAsia="Arial" w:hAnsi="Arial" w:cs="Arial"/>
          <w:sz w:val="24"/>
          <w:szCs w:val="24"/>
        </w:rPr>
        <w:t xml:space="preserve">En conclusión, </w:t>
      </w:r>
      <w:r>
        <w:rPr>
          <w:rFonts w:ascii="Arial" w:eastAsia="Arial" w:hAnsi="Arial" w:cs="Arial"/>
          <w:b/>
          <w:sz w:val="24"/>
          <w:szCs w:val="24"/>
        </w:rPr>
        <w:t>no existe alguna porción normativa que prohíba a las y los servidores públicos ejercer sus derechos político-electorales de asociación y libertad de expresión,</w:t>
      </w:r>
      <w:r>
        <w:rPr>
          <w:rFonts w:ascii="Arial" w:eastAsia="Arial" w:hAnsi="Arial" w:cs="Arial"/>
          <w:sz w:val="24"/>
          <w:szCs w:val="24"/>
        </w:rPr>
        <w:t xml:space="preserve"> en específico, para mostrar su inclinación política en favor de determinada opción electoral, por lo cual, este órgano jurisdiccional se encuentra impedido legal y constitucionalmente para afectar el ejercicio pleno de tales prerrogativas, pues ello le causaría un perjuicio injustificado a la parte denunciada.</w:t>
      </w:r>
      <w:r>
        <w:rPr>
          <w:rFonts w:ascii="Arial" w:eastAsia="Arial" w:hAnsi="Arial" w:cs="Arial"/>
          <w:sz w:val="24"/>
          <w:szCs w:val="24"/>
          <w:vertAlign w:val="superscript"/>
        </w:rPr>
        <w:footnoteReference w:id="12"/>
      </w:r>
      <w:r>
        <w:rPr>
          <w:rFonts w:ascii="Arial" w:eastAsia="Arial" w:hAnsi="Arial" w:cs="Arial"/>
          <w:sz w:val="24"/>
          <w:szCs w:val="24"/>
        </w:rPr>
        <w:t xml:space="preserve"> </w:t>
      </w:r>
    </w:p>
    <w:p w14:paraId="59FE4B22" w14:textId="77777777" w:rsidR="00CA3CF2" w:rsidRDefault="00C6513E">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esta autoridad jurisdiccional considera que si se parte de la premisa encaminada a determinar que las y los servidores públicos tiene el derecho de asistir a eventos de carácter </w:t>
      </w:r>
      <w:r>
        <w:rPr>
          <w:rFonts w:ascii="Arial" w:eastAsia="Arial" w:hAnsi="Arial" w:cs="Arial"/>
          <w:sz w:val="24"/>
          <w:szCs w:val="24"/>
        </w:rPr>
        <w:lastRenderedPageBreak/>
        <w:t>proselitista, ello implica que, n</w:t>
      </w:r>
      <w:r>
        <w:rPr>
          <w:rFonts w:ascii="Arial" w:eastAsia="Arial" w:hAnsi="Arial" w:cs="Arial"/>
          <w:b/>
          <w:sz w:val="24"/>
          <w:szCs w:val="24"/>
        </w:rPr>
        <w:t>o existe una prohibición para que tales sujetos puedan aparecer en imágenes de carácter propagandístico,</w:t>
      </w:r>
      <w:r>
        <w:rPr>
          <w:rFonts w:ascii="Arial" w:eastAsia="Arial" w:hAnsi="Arial" w:cs="Arial"/>
          <w:sz w:val="24"/>
          <w:szCs w:val="24"/>
        </w:rPr>
        <w:t xml:space="preserve"> pues ello, por lo general, es consecuencia de la participación política que se desarrolla </w:t>
      </w:r>
      <w:r>
        <w:rPr>
          <w:rFonts w:ascii="Arial" w:eastAsia="Arial" w:hAnsi="Arial" w:cs="Arial"/>
          <w:sz w:val="24"/>
          <w:szCs w:val="24"/>
          <w:u w:val="single"/>
        </w:rPr>
        <w:t>como parte del derecho de reunión y asociación,</w:t>
      </w:r>
      <w:r>
        <w:rPr>
          <w:rFonts w:ascii="Arial" w:eastAsia="Arial" w:hAnsi="Arial" w:cs="Arial"/>
          <w:sz w:val="24"/>
          <w:szCs w:val="24"/>
        </w:rPr>
        <w:t xml:space="preserve"> de ahí la única forma de reconocer el desarrollo pleno de tales prerrogativas es permitir la difusión de tales imágenes.   </w:t>
      </w:r>
    </w:p>
    <w:p w14:paraId="0B953398" w14:textId="77777777" w:rsidR="00CA3CF2" w:rsidRDefault="00C6513E">
      <w:pPr>
        <w:spacing w:line="360" w:lineRule="auto"/>
        <w:jc w:val="both"/>
        <w:rPr>
          <w:rFonts w:ascii="Arial" w:eastAsia="Arial" w:hAnsi="Arial" w:cs="Arial"/>
          <w:color w:val="000000"/>
          <w:sz w:val="24"/>
          <w:szCs w:val="24"/>
        </w:rPr>
      </w:pPr>
      <w:r>
        <w:rPr>
          <w:rFonts w:ascii="Arial" w:eastAsia="Arial" w:hAnsi="Arial" w:cs="Arial"/>
          <w:b/>
          <w:color w:val="000000"/>
          <w:sz w:val="24"/>
          <w:szCs w:val="24"/>
        </w:rPr>
        <w:t>2.</w:t>
      </w:r>
      <w:r>
        <w:rPr>
          <w:rFonts w:ascii="Arial" w:eastAsia="Arial" w:hAnsi="Arial" w:cs="Arial"/>
          <w:color w:val="000000"/>
          <w:sz w:val="24"/>
          <w:szCs w:val="24"/>
        </w:rPr>
        <w:t xml:space="preserve"> Por otra parte, este Tribunal Electoral estima que, a partir de las defensas aportadas por </w:t>
      </w:r>
      <w:proofErr w:type="spellStart"/>
      <w:r>
        <w:rPr>
          <w:rFonts w:ascii="Arial" w:eastAsia="Arial" w:hAnsi="Arial" w:cs="Arial"/>
          <w:sz w:val="24"/>
          <w:szCs w:val="24"/>
        </w:rPr>
        <w:t>Yolytzín</w:t>
      </w:r>
      <w:proofErr w:type="spellEnd"/>
      <w:r>
        <w:rPr>
          <w:rFonts w:ascii="Arial" w:eastAsia="Arial" w:hAnsi="Arial" w:cs="Arial"/>
          <w:sz w:val="24"/>
          <w:szCs w:val="24"/>
        </w:rPr>
        <w:t xml:space="preserve"> Alelí Rodríguez </w:t>
      </w:r>
      <w:proofErr w:type="spellStart"/>
      <w:r>
        <w:rPr>
          <w:rFonts w:ascii="Arial" w:eastAsia="Arial" w:hAnsi="Arial" w:cs="Arial"/>
          <w:sz w:val="24"/>
          <w:szCs w:val="24"/>
        </w:rPr>
        <w:t>Sendejas</w:t>
      </w:r>
      <w:proofErr w:type="spellEnd"/>
      <w:r>
        <w:rPr>
          <w:rFonts w:ascii="Arial" w:eastAsia="Arial" w:hAnsi="Arial" w:cs="Arial"/>
          <w:sz w:val="24"/>
          <w:szCs w:val="24"/>
        </w:rPr>
        <w:t xml:space="preserve"> </w:t>
      </w:r>
      <w:r>
        <w:rPr>
          <w:rFonts w:ascii="Arial" w:eastAsia="Arial" w:hAnsi="Arial" w:cs="Arial"/>
          <w:color w:val="000000"/>
          <w:sz w:val="24"/>
          <w:szCs w:val="24"/>
        </w:rPr>
        <w:t xml:space="preserve">quien funge como diputada de la LXV Legislatura del Congreso del Estado, es posible asumir que en las fotografías de las publicaciones 2, 4, 8 y 9, son relativas a eventos que se celebraron en los días sábados y domingo, por lo que fue posible perfeccionar la referencia de tiempo en cuanto a tales eventos proselitistas que posteriormente fueron difundidos a través de la cuenta de Facebook de la candidata cuestionada. </w:t>
      </w:r>
    </w:p>
    <w:p w14:paraId="75E8F255" w14:textId="77777777" w:rsidR="00CA3CF2" w:rsidRDefault="00CA3CF2">
      <w:pPr>
        <w:pBdr>
          <w:top w:val="nil"/>
          <w:left w:val="nil"/>
          <w:bottom w:val="nil"/>
          <w:right w:val="nil"/>
          <w:between w:val="nil"/>
        </w:pBdr>
        <w:rPr>
          <w:color w:val="000000"/>
        </w:rPr>
      </w:pPr>
    </w:p>
    <w:p w14:paraId="04A595DA" w14:textId="77777777" w:rsidR="00CA3CF2" w:rsidRDefault="00C6513E">
      <w:pPr>
        <w:spacing w:line="360" w:lineRule="auto"/>
        <w:jc w:val="both"/>
        <w:rPr>
          <w:rFonts w:ascii="Arial" w:eastAsia="Arial" w:hAnsi="Arial" w:cs="Arial"/>
          <w:color w:val="000000"/>
          <w:sz w:val="24"/>
          <w:szCs w:val="24"/>
          <w:u w:val="single"/>
        </w:rPr>
      </w:pPr>
      <w:r>
        <w:rPr>
          <w:rFonts w:ascii="Arial" w:eastAsia="Arial" w:hAnsi="Arial" w:cs="Arial"/>
          <w:color w:val="000000"/>
          <w:sz w:val="24"/>
          <w:szCs w:val="24"/>
        </w:rPr>
        <w:t xml:space="preserve">Ante ello, este </w:t>
      </w:r>
      <w:r>
        <w:rPr>
          <w:rFonts w:ascii="Arial" w:eastAsia="Arial" w:hAnsi="Arial" w:cs="Arial"/>
          <w:sz w:val="24"/>
          <w:szCs w:val="24"/>
        </w:rPr>
        <w:t xml:space="preserve">órgano jurisdiccional </w:t>
      </w:r>
      <w:r>
        <w:rPr>
          <w:rFonts w:ascii="Arial" w:eastAsia="Arial" w:hAnsi="Arial" w:cs="Arial"/>
          <w:color w:val="000000"/>
          <w:sz w:val="24"/>
          <w:szCs w:val="24"/>
        </w:rPr>
        <w:t xml:space="preserve">considera que, en atención a que no fueron controvertidas tales afirmaciones, se tiene como cierto que los eventos celebrados se </w:t>
      </w:r>
      <w:r>
        <w:rPr>
          <w:rFonts w:ascii="Arial" w:eastAsia="Arial" w:hAnsi="Arial" w:cs="Arial"/>
          <w:sz w:val="24"/>
          <w:szCs w:val="24"/>
        </w:rPr>
        <w:t>llevaron a cabo</w:t>
      </w:r>
      <w:r>
        <w:rPr>
          <w:rFonts w:ascii="Arial" w:eastAsia="Arial" w:hAnsi="Arial" w:cs="Arial"/>
          <w:color w:val="000000"/>
          <w:sz w:val="24"/>
          <w:szCs w:val="24"/>
        </w:rPr>
        <w:t xml:space="preserve"> en lo días comentados, por lo cual, de acuerdo a la línea jurisprudencial de la Sala Superior, es posible sostener que el hecho de la </w:t>
      </w:r>
      <w:r>
        <w:rPr>
          <w:rFonts w:ascii="Arial" w:eastAsia="Arial" w:hAnsi="Arial" w:cs="Arial"/>
          <w:b/>
          <w:color w:val="000000"/>
          <w:sz w:val="24"/>
          <w:szCs w:val="24"/>
        </w:rPr>
        <w:t>diputada y el regidor</w:t>
      </w:r>
      <w:r>
        <w:rPr>
          <w:rFonts w:ascii="Arial" w:eastAsia="Arial" w:hAnsi="Arial" w:cs="Arial"/>
          <w:color w:val="000000"/>
          <w:sz w:val="24"/>
          <w:szCs w:val="24"/>
        </w:rPr>
        <w:t xml:space="preserve">, ambos denunciados -con motivo de que ambos aparecen en las imágenes apuntadas-, hubiesen asistido a eventos de carácter proselitista en tales días, es una cuestión que </w:t>
      </w:r>
      <w:r>
        <w:rPr>
          <w:rFonts w:ascii="Arial" w:eastAsia="Arial" w:hAnsi="Arial" w:cs="Arial"/>
          <w:b/>
          <w:color w:val="000000"/>
          <w:sz w:val="24"/>
          <w:szCs w:val="24"/>
        </w:rPr>
        <w:t>se encuentra permitida</w:t>
      </w:r>
      <w:r>
        <w:rPr>
          <w:rFonts w:ascii="Arial" w:eastAsia="Arial" w:hAnsi="Arial" w:cs="Arial"/>
          <w:color w:val="000000"/>
          <w:sz w:val="24"/>
          <w:szCs w:val="24"/>
        </w:rPr>
        <w:t xml:space="preserve">, pues tal permisión tiene como propósito </w:t>
      </w:r>
      <w:r w:rsidRPr="00D146D1">
        <w:rPr>
          <w:rFonts w:ascii="Arial" w:eastAsia="Arial" w:hAnsi="Arial" w:cs="Arial"/>
          <w:b/>
          <w:bCs/>
          <w:color w:val="000000"/>
          <w:sz w:val="24"/>
          <w:szCs w:val="24"/>
        </w:rPr>
        <w:t>garantizar el ejercicio</w:t>
      </w:r>
      <w:r>
        <w:rPr>
          <w:rFonts w:ascii="Arial" w:eastAsia="Arial" w:hAnsi="Arial" w:cs="Arial"/>
          <w:color w:val="000000"/>
          <w:sz w:val="24"/>
          <w:szCs w:val="24"/>
        </w:rPr>
        <w:t xml:space="preserve"> pleno de los derechos político electorales de </w:t>
      </w:r>
      <w:r w:rsidRPr="00D146D1">
        <w:rPr>
          <w:rFonts w:ascii="Arial" w:eastAsia="Arial" w:hAnsi="Arial" w:cs="Arial"/>
          <w:b/>
          <w:bCs/>
          <w:color w:val="000000"/>
          <w:sz w:val="24"/>
          <w:szCs w:val="24"/>
        </w:rPr>
        <w:t>asociación y libertad de expresión.</w:t>
      </w:r>
      <w:r>
        <w:rPr>
          <w:rFonts w:ascii="Arial" w:eastAsia="Arial" w:hAnsi="Arial" w:cs="Arial"/>
          <w:color w:val="000000"/>
          <w:sz w:val="24"/>
          <w:szCs w:val="24"/>
          <w:u w:val="single"/>
        </w:rPr>
        <w:t xml:space="preserve"> </w:t>
      </w:r>
    </w:p>
    <w:p w14:paraId="5F72801E" w14:textId="77777777" w:rsidR="00CA3CF2" w:rsidRDefault="00CA3CF2">
      <w:pPr>
        <w:pBdr>
          <w:top w:val="nil"/>
          <w:left w:val="nil"/>
          <w:bottom w:val="nil"/>
          <w:right w:val="nil"/>
          <w:between w:val="nil"/>
        </w:pBdr>
        <w:rPr>
          <w:color w:val="000000"/>
        </w:rPr>
      </w:pPr>
    </w:p>
    <w:p w14:paraId="46A9FA61" w14:textId="77777777" w:rsidR="00CA3CF2" w:rsidRDefault="00C6513E">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Lo precisado se debe a que, la exigencia de proteger el principio de imparcialidad previsto por la Constitución </w:t>
      </w:r>
      <w:r>
        <w:rPr>
          <w:rFonts w:ascii="Arial" w:eastAsia="Arial" w:hAnsi="Arial" w:cs="Arial"/>
          <w:sz w:val="24"/>
          <w:szCs w:val="24"/>
        </w:rPr>
        <w:t>gen</w:t>
      </w:r>
      <w:r>
        <w:rPr>
          <w:rFonts w:ascii="Arial" w:eastAsia="Arial" w:hAnsi="Arial" w:cs="Arial"/>
          <w:color w:val="000000"/>
          <w:sz w:val="24"/>
          <w:szCs w:val="24"/>
        </w:rPr>
        <w:t xml:space="preserve">eral, de acuerdo con los criterios vigentes, </w:t>
      </w:r>
      <w:r>
        <w:rPr>
          <w:rFonts w:ascii="Arial" w:eastAsia="Arial" w:hAnsi="Arial" w:cs="Arial"/>
          <w:b/>
          <w:color w:val="000000"/>
          <w:sz w:val="24"/>
          <w:szCs w:val="24"/>
        </w:rPr>
        <w:t>se permite a las y los servidores públicos</w:t>
      </w:r>
      <w:r>
        <w:rPr>
          <w:rFonts w:ascii="Arial" w:eastAsia="Arial" w:hAnsi="Arial" w:cs="Arial"/>
          <w:b/>
          <w:sz w:val="24"/>
          <w:szCs w:val="24"/>
        </w:rPr>
        <w:t xml:space="preserve"> asistir </w:t>
      </w:r>
      <w:r>
        <w:rPr>
          <w:rFonts w:ascii="Arial" w:eastAsia="Arial" w:hAnsi="Arial" w:cs="Arial"/>
          <w:b/>
          <w:color w:val="000000"/>
          <w:sz w:val="24"/>
          <w:szCs w:val="24"/>
        </w:rPr>
        <w:t>en las y horas y días inhábiles</w:t>
      </w:r>
      <w:r>
        <w:rPr>
          <w:rFonts w:ascii="Arial" w:eastAsia="Arial" w:hAnsi="Arial" w:cs="Arial"/>
          <w:color w:val="000000"/>
          <w:sz w:val="24"/>
          <w:szCs w:val="24"/>
        </w:rPr>
        <w:t>, tomando como base las hora</w:t>
      </w:r>
      <w:r>
        <w:rPr>
          <w:rFonts w:ascii="Arial" w:eastAsia="Arial" w:hAnsi="Arial" w:cs="Arial"/>
          <w:sz w:val="24"/>
          <w:szCs w:val="24"/>
        </w:rPr>
        <w:t>s</w:t>
      </w:r>
      <w:r>
        <w:rPr>
          <w:rFonts w:ascii="Arial" w:eastAsia="Arial" w:hAnsi="Arial" w:cs="Arial"/>
          <w:color w:val="000000"/>
          <w:sz w:val="24"/>
          <w:szCs w:val="24"/>
        </w:rPr>
        <w:t xml:space="preserve"> y días previstos en la legislación y en aquellos que les corresponda ejercer el derecho a un día de descanso por haber laborado seis días. </w:t>
      </w:r>
    </w:p>
    <w:p w14:paraId="01F74245" w14:textId="77777777" w:rsidR="00CA3CF2" w:rsidRDefault="00CA3CF2">
      <w:pPr>
        <w:pBdr>
          <w:top w:val="nil"/>
          <w:left w:val="nil"/>
          <w:bottom w:val="nil"/>
          <w:right w:val="nil"/>
          <w:between w:val="nil"/>
        </w:pBdr>
        <w:rPr>
          <w:color w:val="000000"/>
        </w:rPr>
      </w:pPr>
    </w:p>
    <w:p w14:paraId="05B5FB2E" w14:textId="77777777" w:rsidR="00CA3CF2" w:rsidRDefault="00C6513E">
      <w:pPr>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Por ello, en términos de lo previsto en </w:t>
      </w:r>
      <w:r>
        <w:rPr>
          <w:rFonts w:ascii="Arial" w:eastAsia="Arial" w:hAnsi="Arial" w:cs="Arial"/>
          <w:sz w:val="24"/>
          <w:szCs w:val="24"/>
        </w:rPr>
        <w:t>el artículo 41</w:t>
      </w:r>
      <w:r>
        <w:rPr>
          <w:rFonts w:ascii="Arial" w:eastAsia="Arial" w:hAnsi="Arial" w:cs="Arial"/>
          <w:sz w:val="24"/>
          <w:szCs w:val="24"/>
          <w:vertAlign w:val="superscript"/>
        </w:rPr>
        <w:footnoteReference w:id="13"/>
      </w:r>
      <w:r>
        <w:rPr>
          <w:rFonts w:ascii="Arial" w:eastAsia="Arial" w:hAnsi="Arial" w:cs="Arial"/>
          <w:sz w:val="24"/>
          <w:szCs w:val="24"/>
        </w:rPr>
        <w:t xml:space="preserve"> en relación con el diverso 1°,</w:t>
      </w:r>
      <w:r>
        <w:rPr>
          <w:rFonts w:ascii="Arial" w:eastAsia="Arial" w:hAnsi="Arial" w:cs="Arial"/>
          <w:sz w:val="24"/>
          <w:szCs w:val="24"/>
          <w:vertAlign w:val="superscript"/>
        </w:rPr>
        <w:footnoteReference w:id="14"/>
      </w:r>
      <w:r>
        <w:rPr>
          <w:rFonts w:ascii="Arial" w:eastAsia="Arial" w:hAnsi="Arial" w:cs="Arial"/>
          <w:sz w:val="24"/>
          <w:szCs w:val="24"/>
        </w:rPr>
        <w:t xml:space="preserve"> del Estatuto Jurídico de los Trabajadores al Servicio de los Gobiernos del Estado de Aguascalientes, sus Municipios, Órganos Constitucionales Autónomos y Organismos Descentralizados</w:t>
      </w:r>
      <w:r>
        <w:rPr>
          <w:rFonts w:ascii="Arial" w:eastAsia="Arial" w:hAnsi="Arial" w:cs="Arial"/>
          <w:color w:val="000000"/>
          <w:sz w:val="24"/>
          <w:szCs w:val="24"/>
        </w:rPr>
        <w:t xml:space="preserve">, ambos días -sábado y domingo- son considerados, preferentemente, </w:t>
      </w:r>
      <w:r>
        <w:rPr>
          <w:rFonts w:ascii="Arial" w:eastAsia="Arial" w:hAnsi="Arial" w:cs="Arial"/>
          <w:b/>
          <w:color w:val="000000"/>
          <w:sz w:val="24"/>
          <w:szCs w:val="24"/>
        </w:rPr>
        <w:t>días inhábiles</w:t>
      </w:r>
      <w:r>
        <w:rPr>
          <w:rFonts w:ascii="Arial" w:eastAsia="Arial" w:hAnsi="Arial" w:cs="Arial"/>
          <w:color w:val="000000"/>
          <w:sz w:val="24"/>
          <w:szCs w:val="24"/>
        </w:rPr>
        <w:t xml:space="preserve"> para efecto de ejercer funciones como legisladores y legisladoras, situación que actualiza la hipótesis de permisión prevista en el criterio abordado por este órgano jurisdiccional, dirigida a procurar la prevalencia de las prerrogativas de asociación y libertad de expresión. </w:t>
      </w:r>
    </w:p>
    <w:p w14:paraId="3171CA56" w14:textId="77777777" w:rsidR="00CA3CF2" w:rsidRDefault="00CA3CF2">
      <w:pPr>
        <w:spacing w:line="360" w:lineRule="auto"/>
        <w:jc w:val="both"/>
        <w:rPr>
          <w:rFonts w:ascii="Arial" w:eastAsia="Arial" w:hAnsi="Arial" w:cs="Arial"/>
          <w:sz w:val="24"/>
          <w:szCs w:val="24"/>
        </w:rPr>
      </w:pPr>
    </w:p>
    <w:p w14:paraId="756C1FAB" w14:textId="5DFE727C" w:rsidR="00CA3CF2" w:rsidRDefault="00C6513E">
      <w:pPr>
        <w:spacing w:line="360" w:lineRule="auto"/>
        <w:jc w:val="both"/>
        <w:rPr>
          <w:rFonts w:ascii="Arial" w:eastAsia="Arial" w:hAnsi="Arial" w:cs="Arial"/>
          <w:sz w:val="24"/>
          <w:szCs w:val="24"/>
        </w:rPr>
      </w:pPr>
      <w:r>
        <w:rPr>
          <w:rFonts w:ascii="Arial" w:eastAsia="Arial" w:hAnsi="Arial" w:cs="Arial"/>
          <w:sz w:val="24"/>
          <w:szCs w:val="24"/>
        </w:rPr>
        <w:t>En congruencia con ello, de las constancias que existen en el expediente se advierte la existencia de un oficio elaborado por el Secretario General del Congreso, en el que refiere lo siguiente:</w:t>
      </w:r>
      <w:r>
        <w:rPr>
          <w:rFonts w:ascii="Arial" w:eastAsia="Arial" w:hAnsi="Arial" w:cs="Arial"/>
          <w:b/>
          <w:i/>
          <w:sz w:val="24"/>
          <w:szCs w:val="24"/>
        </w:rPr>
        <w:t xml:space="preserve"> i)</w:t>
      </w:r>
      <w:r>
        <w:rPr>
          <w:rFonts w:ascii="Arial" w:eastAsia="Arial" w:hAnsi="Arial" w:cs="Arial"/>
          <w:sz w:val="24"/>
          <w:szCs w:val="24"/>
        </w:rPr>
        <w:t xml:space="preserve"> las y los servidores públicos del referido órgano legislativo tienen un horario laboral de las 8:00 horas a 15:30, de lunes a viernes,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que tales sujetos descansan sábados y domingos, </w:t>
      </w: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sz w:val="24"/>
          <w:szCs w:val="24"/>
        </w:rPr>
        <w:t xml:space="preserve"> los días 14, 15 y 28 de mayo de dos mil veinte, no fueron día hábiles para las y los servidores públicos del </w:t>
      </w:r>
      <w:r w:rsidRPr="00D146D1">
        <w:rPr>
          <w:rFonts w:ascii="Arial" w:eastAsia="Arial" w:hAnsi="Arial" w:cs="Arial"/>
          <w:sz w:val="24"/>
          <w:szCs w:val="24"/>
        </w:rPr>
        <w:t xml:space="preserve">Congreso ni se </w:t>
      </w:r>
      <w:r w:rsidR="00D146D1" w:rsidRPr="00D146D1">
        <w:rPr>
          <w:rFonts w:ascii="Arial" w:eastAsia="Arial" w:hAnsi="Arial" w:cs="Arial"/>
          <w:sz w:val="24"/>
          <w:szCs w:val="24"/>
        </w:rPr>
        <w:t>celebró</w:t>
      </w:r>
      <w:r w:rsidRPr="00D146D1">
        <w:rPr>
          <w:rFonts w:ascii="Arial" w:eastAsia="Arial" w:hAnsi="Arial" w:cs="Arial"/>
          <w:sz w:val="24"/>
          <w:szCs w:val="24"/>
        </w:rPr>
        <w:t xml:space="preserve"> alg</w:t>
      </w:r>
      <w:r>
        <w:rPr>
          <w:rFonts w:ascii="Arial" w:eastAsia="Arial" w:hAnsi="Arial" w:cs="Arial"/>
          <w:sz w:val="24"/>
          <w:szCs w:val="24"/>
        </w:rPr>
        <w:t xml:space="preserve">una sesión del pleno Legislativo o de Comisión o Comité Legislativo al que pertenezca la diputada denunciada y; </w:t>
      </w:r>
      <w:r>
        <w:rPr>
          <w:rFonts w:ascii="Arial" w:eastAsia="Arial" w:hAnsi="Arial" w:cs="Arial"/>
          <w:b/>
          <w:i/>
          <w:sz w:val="24"/>
          <w:szCs w:val="24"/>
        </w:rPr>
        <w:t xml:space="preserve">iv) </w:t>
      </w:r>
      <w:r>
        <w:rPr>
          <w:rFonts w:ascii="Arial" w:eastAsia="Arial" w:hAnsi="Arial" w:cs="Arial"/>
          <w:sz w:val="24"/>
          <w:szCs w:val="24"/>
        </w:rPr>
        <w:t xml:space="preserve">que la funcionaria cuestionada no fue convocada ni requerida para cumplir con alguna acción propiamente legislativa. Así, es posible asumir que tal información demostró que </w:t>
      </w:r>
      <w:r>
        <w:rPr>
          <w:rFonts w:ascii="Arial" w:eastAsia="Arial" w:hAnsi="Arial" w:cs="Arial"/>
          <w:b/>
          <w:sz w:val="24"/>
          <w:szCs w:val="24"/>
        </w:rPr>
        <w:t>la funcionaria no descuidó sus labores legislativas.</w:t>
      </w:r>
      <w:r>
        <w:rPr>
          <w:rFonts w:ascii="Arial" w:eastAsia="Arial" w:hAnsi="Arial" w:cs="Arial"/>
          <w:sz w:val="24"/>
          <w:szCs w:val="24"/>
        </w:rPr>
        <w:t xml:space="preserve"> </w:t>
      </w:r>
    </w:p>
    <w:p w14:paraId="5007DD4B" w14:textId="77777777" w:rsidR="00CA3CF2" w:rsidRDefault="00CA3CF2">
      <w:pPr>
        <w:pBdr>
          <w:top w:val="nil"/>
          <w:left w:val="nil"/>
          <w:bottom w:val="nil"/>
          <w:right w:val="nil"/>
          <w:between w:val="nil"/>
        </w:pBdr>
        <w:rPr>
          <w:color w:val="000000"/>
        </w:rPr>
      </w:pPr>
    </w:p>
    <w:p w14:paraId="58C15359" w14:textId="77777777" w:rsidR="00CA3CF2" w:rsidRDefault="00C6513E">
      <w:pPr>
        <w:spacing w:line="360" w:lineRule="auto"/>
        <w:jc w:val="both"/>
        <w:rPr>
          <w:rFonts w:ascii="Arial" w:eastAsia="Arial" w:hAnsi="Arial" w:cs="Arial"/>
          <w:color w:val="000000"/>
          <w:sz w:val="24"/>
          <w:szCs w:val="24"/>
        </w:rPr>
      </w:pPr>
      <w:r>
        <w:rPr>
          <w:rFonts w:ascii="Arial" w:eastAsia="Arial" w:hAnsi="Arial" w:cs="Arial"/>
          <w:color w:val="000000"/>
          <w:sz w:val="24"/>
          <w:szCs w:val="24"/>
        </w:rPr>
        <w:t>A su vez, el Reglamento Interior de Trabajo del Municipio de Aguascalientes, prevé en su artículo 57,</w:t>
      </w:r>
      <w:r>
        <w:rPr>
          <w:rFonts w:ascii="Arial" w:eastAsia="Arial" w:hAnsi="Arial" w:cs="Arial"/>
          <w:color w:val="000000"/>
          <w:sz w:val="24"/>
          <w:szCs w:val="24"/>
          <w:vertAlign w:val="superscript"/>
        </w:rPr>
        <w:footnoteReference w:id="15"/>
      </w:r>
      <w:r>
        <w:rPr>
          <w:rFonts w:ascii="Arial" w:eastAsia="Arial" w:hAnsi="Arial" w:cs="Arial"/>
          <w:color w:val="000000"/>
          <w:sz w:val="24"/>
          <w:szCs w:val="24"/>
        </w:rPr>
        <w:t xml:space="preserve"> que los días de descanso serán, preferentemente, los días sábados y domingos, de ahí que se actualice la misma hipótesis prevista en el párrafo anterior para el regidor involucrado. </w:t>
      </w:r>
    </w:p>
    <w:p w14:paraId="0BA753A7" w14:textId="77777777" w:rsidR="00CA3CF2" w:rsidRDefault="00CA3CF2">
      <w:pPr>
        <w:spacing w:line="360" w:lineRule="auto"/>
        <w:jc w:val="both"/>
        <w:rPr>
          <w:rFonts w:ascii="Arial" w:eastAsia="Arial" w:hAnsi="Arial" w:cs="Arial"/>
          <w:sz w:val="24"/>
          <w:szCs w:val="24"/>
        </w:rPr>
      </w:pPr>
    </w:p>
    <w:p w14:paraId="2D40EABC" w14:textId="77777777" w:rsidR="00CA3CF2" w:rsidRDefault="00C6513E">
      <w:pPr>
        <w:spacing w:line="360" w:lineRule="auto"/>
        <w:jc w:val="both"/>
        <w:rPr>
          <w:rFonts w:ascii="Arial" w:eastAsia="Arial" w:hAnsi="Arial" w:cs="Arial"/>
          <w:sz w:val="24"/>
          <w:szCs w:val="24"/>
        </w:rPr>
      </w:pPr>
      <w:r>
        <w:rPr>
          <w:rFonts w:ascii="Arial" w:eastAsia="Arial" w:hAnsi="Arial" w:cs="Arial"/>
          <w:sz w:val="24"/>
          <w:szCs w:val="24"/>
        </w:rPr>
        <w:t xml:space="preserve">De igual manera, esta autoridad jurisdiccional advierte que, de la inclusión de dichos servidores públicos en las imágenes y su asistencia a los eventos que originaron tales publicaciones, </w:t>
      </w:r>
      <w:r>
        <w:rPr>
          <w:rFonts w:ascii="Arial" w:eastAsia="Arial" w:hAnsi="Arial" w:cs="Arial"/>
          <w:b/>
          <w:sz w:val="24"/>
          <w:szCs w:val="24"/>
        </w:rPr>
        <w:t>no es posible advertir que hayan hecho uso de algún recurso público</w:t>
      </w:r>
      <w:r>
        <w:rPr>
          <w:rFonts w:ascii="Arial" w:eastAsia="Arial" w:hAnsi="Arial" w:cs="Arial"/>
          <w:sz w:val="24"/>
          <w:szCs w:val="24"/>
        </w:rPr>
        <w:t xml:space="preserve">, que hubiesen tomado el uso de la voz o bien, participado de forma activa, pues contrario a ello, solamente que asistieron al evento, sin advertir mayores condiciones. </w:t>
      </w:r>
    </w:p>
    <w:p w14:paraId="2E7A0990" w14:textId="77777777" w:rsidR="00CA3CF2" w:rsidRDefault="00CA3CF2">
      <w:pPr>
        <w:spacing w:line="360" w:lineRule="auto"/>
        <w:jc w:val="both"/>
        <w:rPr>
          <w:rFonts w:ascii="Arial" w:eastAsia="Arial" w:hAnsi="Arial" w:cs="Arial"/>
          <w:sz w:val="24"/>
          <w:szCs w:val="24"/>
        </w:rPr>
      </w:pPr>
    </w:p>
    <w:p w14:paraId="1ACD95EF" w14:textId="77777777" w:rsidR="00CA3CF2" w:rsidRDefault="00C6513E">
      <w:pPr>
        <w:spacing w:line="360" w:lineRule="auto"/>
        <w:jc w:val="both"/>
        <w:rPr>
          <w:rFonts w:ascii="Arial" w:eastAsia="Arial" w:hAnsi="Arial" w:cs="Arial"/>
          <w:color w:val="000000"/>
          <w:sz w:val="24"/>
          <w:szCs w:val="24"/>
        </w:rPr>
      </w:pPr>
      <w:r>
        <w:rPr>
          <w:rFonts w:ascii="Arial" w:eastAsia="Arial" w:hAnsi="Arial" w:cs="Arial"/>
          <w:color w:val="000000"/>
          <w:sz w:val="24"/>
          <w:szCs w:val="24"/>
        </w:rPr>
        <w:t>Por lo expuesto, est</w:t>
      </w:r>
      <w:r>
        <w:rPr>
          <w:rFonts w:ascii="Arial" w:eastAsia="Arial" w:hAnsi="Arial" w:cs="Arial"/>
          <w:sz w:val="24"/>
          <w:szCs w:val="24"/>
        </w:rPr>
        <w:t>a autoridad jurisdiccional</w:t>
      </w:r>
      <w:r>
        <w:rPr>
          <w:rFonts w:ascii="Arial" w:eastAsia="Arial" w:hAnsi="Arial" w:cs="Arial"/>
          <w:color w:val="000000"/>
          <w:sz w:val="24"/>
          <w:szCs w:val="24"/>
        </w:rPr>
        <w:t xml:space="preserve"> considera que </w:t>
      </w:r>
      <w:r>
        <w:rPr>
          <w:rFonts w:ascii="Arial" w:eastAsia="Arial" w:hAnsi="Arial" w:cs="Arial"/>
          <w:b/>
          <w:color w:val="000000"/>
          <w:sz w:val="24"/>
          <w:szCs w:val="24"/>
        </w:rPr>
        <w:t xml:space="preserve">la infracción </w:t>
      </w:r>
      <w:r>
        <w:rPr>
          <w:rFonts w:ascii="Arial" w:eastAsia="Arial" w:hAnsi="Arial" w:cs="Arial"/>
          <w:b/>
          <w:sz w:val="24"/>
          <w:szCs w:val="24"/>
        </w:rPr>
        <w:t xml:space="preserve">consistente en la vulneración a los principios de equidad e imparcialidad en la contienda atribuida a las y los servidores públicos involucrados, </w:t>
      </w:r>
      <w:r>
        <w:rPr>
          <w:rFonts w:ascii="Arial" w:eastAsia="Arial" w:hAnsi="Arial" w:cs="Arial"/>
          <w:b/>
          <w:color w:val="000000"/>
          <w:sz w:val="24"/>
          <w:szCs w:val="24"/>
        </w:rPr>
        <w:t>es inexistente</w:t>
      </w:r>
      <w:r>
        <w:rPr>
          <w:rFonts w:ascii="Arial" w:eastAsia="Arial" w:hAnsi="Arial" w:cs="Arial"/>
          <w:color w:val="000000"/>
          <w:sz w:val="24"/>
          <w:szCs w:val="24"/>
        </w:rPr>
        <w:t>, en atención a las consideraciones abordadas en la presente sentencia.</w:t>
      </w:r>
    </w:p>
    <w:p w14:paraId="5BFDA347" w14:textId="77777777" w:rsidR="00CA3CF2" w:rsidRDefault="00CA3CF2">
      <w:pPr>
        <w:jc w:val="both"/>
        <w:rPr>
          <w:rFonts w:ascii="Arial" w:eastAsia="Arial" w:hAnsi="Arial" w:cs="Arial"/>
          <w:sz w:val="24"/>
          <w:szCs w:val="24"/>
        </w:rPr>
      </w:pPr>
    </w:p>
    <w:p w14:paraId="2C6DB023" w14:textId="77777777" w:rsidR="00CA3CF2" w:rsidRDefault="00C6513E">
      <w:pPr>
        <w:spacing w:line="360" w:lineRule="auto"/>
        <w:jc w:val="both"/>
        <w:rPr>
          <w:rFonts w:ascii="Arial" w:eastAsia="Arial" w:hAnsi="Arial" w:cs="Arial"/>
          <w:color w:val="000000"/>
          <w:sz w:val="24"/>
          <w:szCs w:val="24"/>
        </w:rPr>
      </w:pPr>
      <w:r>
        <w:rPr>
          <w:rFonts w:ascii="Arial" w:eastAsia="Arial" w:hAnsi="Arial" w:cs="Arial"/>
          <w:sz w:val="24"/>
          <w:szCs w:val="24"/>
        </w:rPr>
        <w:t xml:space="preserve">Finalmente, el hecho de que este órgano jurisdiccional hubiese desestimado la infracción relativa a la vulneración del artículo 134 de la Constitución general por parte de la Diputada y regidores denunciados, implica que </w:t>
      </w:r>
      <w:r>
        <w:rPr>
          <w:rFonts w:ascii="Arial" w:eastAsia="Arial" w:hAnsi="Arial" w:cs="Arial"/>
          <w:b/>
          <w:sz w:val="24"/>
          <w:szCs w:val="24"/>
        </w:rPr>
        <w:t>no sea posible acreditarles algún tipo de responsabilidad a la candidata y partido político</w:t>
      </w:r>
      <w:r>
        <w:rPr>
          <w:rFonts w:ascii="Arial" w:eastAsia="Arial" w:hAnsi="Arial" w:cs="Arial"/>
          <w:sz w:val="24"/>
          <w:szCs w:val="24"/>
        </w:rPr>
        <w:t>, ambos denunciados.</w:t>
      </w:r>
      <w:r>
        <w:rPr>
          <w:rFonts w:ascii="Arial" w:eastAsia="Arial" w:hAnsi="Arial" w:cs="Arial"/>
          <w:color w:val="000000"/>
          <w:sz w:val="24"/>
          <w:szCs w:val="24"/>
        </w:rPr>
        <w:t xml:space="preserve">  </w:t>
      </w:r>
      <w:r>
        <w:rPr>
          <w:rFonts w:ascii="Arial" w:eastAsia="Arial" w:hAnsi="Arial" w:cs="Arial"/>
          <w:color w:val="000000"/>
          <w:sz w:val="24"/>
          <w:szCs w:val="24"/>
        </w:rPr>
        <w:tab/>
      </w:r>
    </w:p>
    <w:p w14:paraId="070B0449" w14:textId="77777777" w:rsidR="00CA3CF2" w:rsidRDefault="00CA3CF2">
      <w:pPr>
        <w:pBdr>
          <w:top w:val="nil"/>
          <w:left w:val="nil"/>
          <w:bottom w:val="nil"/>
          <w:right w:val="nil"/>
          <w:between w:val="nil"/>
        </w:pBdr>
        <w:rPr>
          <w:color w:val="000000"/>
        </w:rPr>
      </w:pPr>
    </w:p>
    <w:p w14:paraId="4CB028A1" w14:textId="77777777" w:rsidR="00CA3CF2" w:rsidRDefault="00C6513E">
      <w:pPr>
        <w:pBdr>
          <w:top w:val="nil"/>
          <w:left w:val="nil"/>
          <w:bottom w:val="nil"/>
          <w:right w:val="nil"/>
          <w:between w:val="nil"/>
        </w:pBdr>
        <w:tabs>
          <w:tab w:val="left" w:pos="0"/>
          <w:tab w:val="left" w:pos="426"/>
        </w:tabs>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VI. Resolutivos</w:t>
      </w:r>
    </w:p>
    <w:p w14:paraId="1D13869A" w14:textId="77777777" w:rsidR="00CA3CF2" w:rsidRDefault="00CA3CF2">
      <w:pPr>
        <w:pBdr>
          <w:top w:val="nil"/>
          <w:left w:val="nil"/>
          <w:bottom w:val="nil"/>
          <w:right w:val="nil"/>
          <w:between w:val="nil"/>
        </w:pBdr>
        <w:rPr>
          <w:color w:val="000000"/>
          <w:sz w:val="10"/>
          <w:szCs w:val="10"/>
        </w:rPr>
      </w:pPr>
    </w:p>
    <w:p w14:paraId="111F7AD2" w14:textId="77777777" w:rsidR="00CA3CF2" w:rsidRDefault="00C6513E">
      <w:pPr>
        <w:spacing w:line="360" w:lineRule="auto"/>
        <w:jc w:val="both"/>
        <w:rPr>
          <w:rFonts w:ascii="Arial" w:eastAsia="Arial" w:hAnsi="Arial" w:cs="Arial"/>
          <w:sz w:val="24"/>
          <w:szCs w:val="24"/>
        </w:rPr>
      </w:pPr>
      <w:r>
        <w:rPr>
          <w:rFonts w:ascii="Arial" w:eastAsia="Arial" w:hAnsi="Arial" w:cs="Arial"/>
          <w:b/>
          <w:sz w:val="24"/>
          <w:szCs w:val="24"/>
        </w:rPr>
        <w:t xml:space="preserve">Primero. </w:t>
      </w:r>
      <w:r>
        <w:rPr>
          <w:rFonts w:ascii="Arial" w:eastAsia="Arial" w:hAnsi="Arial" w:cs="Arial"/>
          <w:sz w:val="24"/>
          <w:szCs w:val="24"/>
        </w:rPr>
        <w:t xml:space="preserve">Se declara la </w:t>
      </w:r>
      <w:r>
        <w:rPr>
          <w:rFonts w:ascii="Arial" w:eastAsia="Arial" w:hAnsi="Arial" w:cs="Arial"/>
          <w:b/>
          <w:sz w:val="24"/>
          <w:szCs w:val="24"/>
        </w:rPr>
        <w:t>inexistencia</w:t>
      </w:r>
      <w:r>
        <w:rPr>
          <w:rFonts w:ascii="Arial" w:eastAsia="Arial" w:hAnsi="Arial" w:cs="Arial"/>
          <w:sz w:val="24"/>
          <w:szCs w:val="24"/>
        </w:rPr>
        <w:t xml:space="preserve"> de la infracción atribuida a la entonces candidata Anayeli Muñoz Moreno, a la Diputada </w:t>
      </w:r>
      <w:proofErr w:type="spellStart"/>
      <w:r>
        <w:rPr>
          <w:rFonts w:ascii="Arial" w:eastAsia="Arial" w:hAnsi="Arial" w:cs="Arial"/>
          <w:sz w:val="24"/>
          <w:szCs w:val="24"/>
        </w:rPr>
        <w:t>Yolytzín</w:t>
      </w:r>
      <w:proofErr w:type="spellEnd"/>
      <w:r>
        <w:rPr>
          <w:rFonts w:ascii="Arial" w:eastAsia="Arial" w:hAnsi="Arial" w:cs="Arial"/>
          <w:sz w:val="24"/>
          <w:szCs w:val="24"/>
        </w:rPr>
        <w:t xml:space="preserve"> Alelí Rodríguez </w:t>
      </w:r>
      <w:proofErr w:type="spellStart"/>
      <w:r>
        <w:rPr>
          <w:rFonts w:ascii="Arial" w:eastAsia="Arial" w:hAnsi="Arial" w:cs="Arial"/>
          <w:sz w:val="24"/>
          <w:szCs w:val="24"/>
        </w:rPr>
        <w:t>Sendejas</w:t>
      </w:r>
      <w:proofErr w:type="spellEnd"/>
      <w:r>
        <w:rPr>
          <w:rFonts w:ascii="Arial" w:eastAsia="Arial" w:hAnsi="Arial" w:cs="Arial"/>
          <w:sz w:val="24"/>
          <w:szCs w:val="24"/>
        </w:rPr>
        <w:t>, así como a María Guadalupe Arellano Espinosa y Gustavo Adolfo Granados Corzo, en su calidad de regidora y regidor del Ayuntamiento de Aguascalientes.</w:t>
      </w:r>
    </w:p>
    <w:p w14:paraId="7FB77897" w14:textId="77777777" w:rsidR="00CA3CF2" w:rsidRDefault="00CA3CF2">
      <w:pPr>
        <w:jc w:val="both"/>
        <w:rPr>
          <w:rFonts w:ascii="Arial" w:eastAsia="Arial" w:hAnsi="Arial" w:cs="Arial"/>
          <w:sz w:val="24"/>
          <w:szCs w:val="24"/>
        </w:rPr>
      </w:pPr>
    </w:p>
    <w:p w14:paraId="3C9A42CD" w14:textId="77777777" w:rsidR="00CA3CF2" w:rsidRDefault="00C6513E">
      <w:pPr>
        <w:spacing w:line="360" w:lineRule="auto"/>
        <w:jc w:val="both"/>
        <w:rPr>
          <w:rFonts w:ascii="Arial" w:eastAsia="Arial" w:hAnsi="Arial" w:cs="Arial"/>
          <w:sz w:val="24"/>
          <w:szCs w:val="24"/>
        </w:rPr>
      </w:pPr>
      <w:r>
        <w:rPr>
          <w:rFonts w:ascii="Arial" w:eastAsia="Arial" w:hAnsi="Arial" w:cs="Arial"/>
          <w:b/>
          <w:sz w:val="24"/>
          <w:szCs w:val="24"/>
        </w:rPr>
        <w:lastRenderedPageBreak/>
        <w:t xml:space="preserve">Segundo. </w:t>
      </w:r>
      <w:r>
        <w:rPr>
          <w:rFonts w:ascii="Arial" w:eastAsia="Arial" w:hAnsi="Arial" w:cs="Arial"/>
          <w:sz w:val="24"/>
          <w:szCs w:val="24"/>
        </w:rPr>
        <w:t xml:space="preserve">Se declara la </w:t>
      </w:r>
      <w:r>
        <w:rPr>
          <w:rFonts w:ascii="Arial" w:eastAsia="Arial" w:hAnsi="Arial" w:cs="Arial"/>
          <w:b/>
          <w:sz w:val="24"/>
          <w:szCs w:val="24"/>
        </w:rPr>
        <w:t xml:space="preserve">inexistencia </w:t>
      </w:r>
      <w:r>
        <w:rPr>
          <w:rFonts w:ascii="Arial" w:eastAsia="Arial" w:hAnsi="Arial" w:cs="Arial"/>
          <w:sz w:val="24"/>
          <w:szCs w:val="24"/>
        </w:rPr>
        <w:t xml:space="preserve">de la infracción consistente en </w:t>
      </w:r>
      <w:r>
        <w:rPr>
          <w:rFonts w:ascii="Arial" w:eastAsia="Arial" w:hAnsi="Arial" w:cs="Arial"/>
          <w:b/>
          <w:i/>
          <w:sz w:val="24"/>
          <w:szCs w:val="24"/>
        </w:rPr>
        <w:t>culpa in vigilando</w:t>
      </w:r>
      <w:r>
        <w:rPr>
          <w:rFonts w:ascii="Arial" w:eastAsia="Arial" w:hAnsi="Arial" w:cs="Arial"/>
          <w:sz w:val="24"/>
          <w:szCs w:val="24"/>
        </w:rPr>
        <w:t xml:space="preserve"> atribuida al partido político Movimiento Ciudadano.</w:t>
      </w:r>
    </w:p>
    <w:p w14:paraId="05017563" w14:textId="77777777" w:rsidR="00CA3CF2" w:rsidRDefault="00CA3CF2">
      <w:pPr>
        <w:pBdr>
          <w:top w:val="nil"/>
          <w:left w:val="nil"/>
          <w:bottom w:val="nil"/>
          <w:right w:val="nil"/>
          <w:between w:val="nil"/>
        </w:pBdr>
        <w:rPr>
          <w:color w:val="000000"/>
          <w:sz w:val="12"/>
          <w:szCs w:val="12"/>
        </w:rPr>
      </w:pPr>
    </w:p>
    <w:p w14:paraId="2401124F" w14:textId="77777777" w:rsidR="00CA3CF2" w:rsidRDefault="00CA3CF2">
      <w:pPr>
        <w:pBdr>
          <w:top w:val="nil"/>
          <w:left w:val="nil"/>
          <w:bottom w:val="nil"/>
          <w:right w:val="nil"/>
          <w:between w:val="nil"/>
        </w:pBdr>
        <w:rPr>
          <w:color w:val="000000"/>
          <w:sz w:val="12"/>
          <w:szCs w:val="12"/>
        </w:rPr>
      </w:pPr>
    </w:p>
    <w:p w14:paraId="58283524" w14:textId="77777777" w:rsidR="00CA3CF2" w:rsidRDefault="00C6513E">
      <w:pPr>
        <w:pBdr>
          <w:top w:val="nil"/>
          <w:left w:val="nil"/>
          <w:bottom w:val="nil"/>
          <w:right w:val="nil"/>
          <w:between w:val="nil"/>
        </w:pBdr>
        <w:tabs>
          <w:tab w:val="left" w:pos="0"/>
          <w:tab w:val="left" w:pos="426"/>
        </w:tabs>
        <w:spacing w:line="360" w:lineRule="auto"/>
        <w:jc w:val="both"/>
        <w:rPr>
          <w:rFonts w:ascii="Arial" w:eastAsia="Arial" w:hAnsi="Arial" w:cs="Arial"/>
          <w:b/>
          <w:color w:val="000000"/>
          <w:sz w:val="8"/>
          <w:szCs w:val="8"/>
        </w:rPr>
      </w:pPr>
      <w:bookmarkStart w:id="5" w:name="_heading=h.tyjcwt" w:colFirst="0" w:colLast="0"/>
      <w:bookmarkEnd w:id="5"/>
      <w:r>
        <w:rPr>
          <w:rFonts w:ascii="Arial" w:eastAsia="Arial" w:hAnsi="Arial" w:cs="Arial"/>
          <w:b/>
          <w:color w:val="000000"/>
          <w:sz w:val="24"/>
          <w:szCs w:val="24"/>
        </w:rPr>
        <w:t xml:space="preserve">Notifíquese. </w:t>
      </w:r>
      <w:r>
        <w:rPr>
          <w:rFonts w:ascii="Arial" w:eastAsia="Arial" w:hAnsi="Arial" w:cs="Arial"/>
          <w:b/>
          <w:color w:val="000000"/>
          <w:sz w:val="24"/>
          <w:szCs w:val="24"/>
        </w:rPr>
        <w:br/>
      </w:r>
    </w:p>
    <w:p w14:paraId="198B9B1E" w14:textId="77777777" w:rsidR="00CA3CF2" w:rsidRDefault="00C6513E">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Así lo resolvió el Tribunal Electoral del Estado de Aguascalientes, por unanimidad de votos de las </w:t>
      </w:r>
      <w:r>
        <w:rPr>
          <w:rFonts w:ascii="Arial" w:eastAsia="Arial" w:hAnsi="Arial" w:cs="Arial"/>
          <w:sz w:val="24"/>
          <w:szCs w:val="24"/>
        </w:rPr>
        <w:t xml:space="preserve">Magistradas y el </w:t>
      </w:r>
      <w:r>
        <w:rPr>
          <w:rFonts w:ascii="Arial" w:eastAsia="Arial" w:hAnsi="Arial" w:cs="Arial"/>
          <w:color w:val="000000"/>
          <w:sz w:val="24"/>
          <w:szCs w:val="24"/>
        </w:rPr>
        <w:t xml:space="preserve">Magistrado que lo integran, ante el </w:t>
      </w:r>
      <w:proofErr w:type="gramStart"/>
      <w:r>
        <w:rPr>
          <w:rFonts w:ascii="Arial" w:eastAsia="Arial" w:hAnsi="Arial" w:cs="Arial"/>
          <w:color w:val="000000"/>
          <w:sz w:val="24"/>
          <w:szCs w:val="24"/>
        </w:rPr>
        <w:t>Secretario General</w:t>
      </w:r>
      <w:proofErr w:type="gramEnd"/>
      <w:r>
        <w:rPr>
          <w:rFonts w:ascii="Arial" w:eastAsia="Arial" w:hAnsi="Arial" w:cs="Arial"/>
          <w:color w:val="000000"/>
          <w:sz w:val="24"/>
          <w:szCs w:val="24"/>
        </w:rPr>
        <w:t xml:space="preserve"> de Acuerdos, quien autoriza y da fe.</w:t>
      </w:r>
    </w:p>
    <w:p w14:paraId="1BCA9D1A" w14:textId="1F22EDA2" w:rsidR="00CA3CF2" w:rsidRDefault="00CA3CF2">
      <w:pPr>
        <w:pBdr>
          <w:top w:val="nil"/>
          <w:left w:val="nil"/>
          <w:bottom w:val="nil"/>
          <w:right w:val="nil"/>
          <w:between w:val="nil"/>
        </w:pBdr>
        <w:tabs>
          <w:tab w:val="left" w:pos="0"/>
          <w:tab w:val="left" w:pos="426"/>
        </w:tabs>
        <w:spacing w:line="360" w:lineRule="auto"/>
        <w:jc w:val="both"/>
        <w:rPr>
          <w:rFonts w:ascii="Arial" w:eastAsia="Arial" w:hAnsi="Arial" w:cs="Arial"/>
          <w:color w:val="000000"/>
          <w:sz w:val="24"/>
          <w:szCs w:val="24"/>
        </w:rPr>
      </w:pPr>
    </w:p>
    <w:tbl>
      <w:tblPr>
        <w:tblStyle w:val="ac"/>
        <w:tblW w:w="9120" w:type="dxa"/>
        <w:jc w:val="center"/>
        <w:tblInd w:w="0" w:type="dxa"/>
        <w:tblLayout w:type="fixed"/>
        <w:tblLook w:val="0400" w:firstRow="0" w:lastRow="0" w:firstColumn="0" w:lastColumn="0" w:noHBand="0" w:noVBand="1"/>
      </w:tblPr>
      <w:tblGrid>
        <w:gridCol w:w="4559"/>
        <w:gridCol w:w="4561"/>
      </w:tblGrid>
      <w:tr w:rsidR="00CA3CF2" w14:paraId="3B2CD4C0" w14:textId="77777777">
        <w:trPr>
          <w:trHeight w:val="1463"/>
          <w:jc w:val="center"/>
        </w:trPr>
        <w:tc>
          <w:tcPr>
            <w:tcW w:w="9120" w:type="dxa"/>
            <w:gridSpan w:val="2"/>
          </w:tcPr>
          <w:p w14:paraId="46F9A1B2" w14:textId="645362A2" w:rsidR="00CA3CF2" w:rsidRDefault="00C6513E">
            <w:pPr>
              <w:spacing w:line="360" w:lineRule="auto"/>
              <w:jc w:val="center"/>
              <w:rPr>
                <w:rFonts w:ascii="Arial" w:eastAsia="Arial" w:hAnsi="Arial" w:cs="Arial"/>
                <w:b/>
                <w:color w:val="000000"/>
                <w:sz w:val="24"/>
                <w:szCs w:val="24"/>
              </w:rPr>
            </w:pPr>
            <w:bookmarkStart w:id="6" w:name="_heading=h.4d34og8" w:colFirst="0" w:colLast="0"/>
            <w:bookmarkEnd w:id="6"/>
            <w:r>
              <w:rPr>
                <w:rFonts w:ascii="Arial" w:eastAsia="Arial" w:hAnsi="Arial" w:cs="Arial"/>
                <w:b/>
                <w:color w:val="000000"/>
                <w:sz w:val="24"/>
                <w:szCs w:val="24"/>
              </w:rPr>
              <w:t>MAGISTRADA PRESIDENTA</w:t>
            </w:r>
          </w:p>
          <w:p w14:paraId="71BD0CCB" w14:textId="77777777" w:rsidR="00CA3CF2" w:rsidRDefault="00CA3CF2">
            <w:pPr>
              <w:spacing w:line="360" w:lineRule="auto"/>
              <w:jc w:val="center"/>
              <w:rPr>
                <w:rFonts w:ascii="Arial" w:eastAsia="Arial" w:hAnsi="Arial" w:cs="Arial"/>
                <w:b/>
                <w:color w:val="000000"/>
                <w:sz w:val="24"/>
                <w:szCs w:val="24"/>
              </w:rPr>
            </w:pPr>
          </w:p>
          <w:p w14:paraId="7CA0AD7F" w14:textId="77777777" w:rsidR="00CA3CF2" w:rsidRDefault="00C6513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CA3CF2" w14:paraId="57EFBA16" w14:textId="77777777">
        <w:trPr>
          <w:trHeight w:val="1549"/>
          <w:jc w:val="center"/>
        </w:trPr>
        <w:tc>
          <w:tcPr>
            <w:tcW w:w="4559" w:type="dxa"/>
          </w:tcPr>
          <w:p w14:paraId="41EAAE14" w14:textId="6DFBDC55" w:rsidR="00CA3CF2" w:rsidRDefault="00C6513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MAGISTRADA</w:t>
            </w:r>
          </w:p>
          <w:p w14:paraId="6325176B" w14:textId="558733D3" w:rsidR="00CA3CF2" w:rsidRDefault="00CA3CF2">
            <w:pPr>
              <w:spacing w:line="360" w:lineRule="auto"/>
              <w:jc w:val="center"/>
              <w:rPr>
                <w:rFonts w:ascii="Arial" w:eastAsia="Arial" w:hAnsi="Arial" w:cs="Arial"/>
                <w:b/>
                <w:color w:val="000000"/>
                <w:sz w:val="24"/>
                <w:szCs w:val="24"/>
              </w:rPr>
            </w:pPr>
          </w:p>
          <w:p w14:paraId="21006221" w14:textId="77777777" w:rsidR="00CA3CF2" w:rsidRDefault="00C6513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26C141F0" w14:textId="77777777" w:rsidR="00CA3CF2" w:rsidRDefault="00C6513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LLAMAS HERNÁNDEZ</w:t>
            </w:r>
          </w:p>
        </w:tc>
        <w:tc>
          <w:tcPr>
            <w:tcW w:w="4561" w:type="dxa"/>
          </w:tcPr>
          <w:p w14:paraId="5F0B65A2" w14:textId="356E522D" w:rsidR="00CA3CF2" w:rsidRDefault="00C6513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MAGISTRADO</w:t>
            </w:r>
          </w:p>
          <w:p w14:paraId="5346E2B3" w14:textId="3B8708B2" w:rsidR="00CA3CF2" w:rsidRDefault="00CA3CF2">
            <w:pPr>
              <w:spacing w:line="360" w:lineRule="auto"/>
              <w:jc w:val="center"/>
              <w:rPr>
                <w:rFonts w:ascii="Arial" w:eastAsia="Arial" w:hAnsi="Arial" w:cs="Arial"/>
                <w:b/>
                <w:color w:val="000000"/>
                <w:sz w:val="24"/>
                <w:szCs w:val="24"/>
              </w:rPr>
            </w:pPr>
          </w:p>
          <w:p w14:paraId="6173C79D" w14:textId="77777777" w:rsidR="00CA3CF2" w:rsidRDefault="00C6513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 xml:space="preserve">HÉCTOR SALVADOR </w:t>
            </w:r>
            <w:r>
              <w:rPr>
                <w:rFonts w:ascii="Arial" w:eastAsia="Arial" w:hAnsi="Arial" w:cs="Arial"/>
                <w:b/>
                <w:color w:val="000000"/>
                <w:sz w:val="24"/>
                <w:szCs w:val="24"/>
              </w:rPr>
              <w:br/>
              <w:t>HERNÁNDEZ GALLEGOS</w:t>
            </w:r>
          </w:p>
          <w:p w14:paraId="31BDC307" w14:textId="77777777" w:rsidR="00CA3CF2" w:rsidRDefault="00CA3CF2">
            <w:pPr>
              <w:spacing w:line="360" w:lineRule="auto"/>
              <w:jc w:val="center"/>
              <w:rPr>
                <w:rFonts w:ascii="Arial" w:eastAsia="Arial" w:hAnsi="Arial" w:cs="Arial"/>
                <w:b/>
                <w:color w:val="000000"/>
                <w:sz w:val="24"/>
                <w:szCs w:val="24"/>
              </w:rPr>
            </w:pPr>
          </w:p>
        </w:tc>
      </w:tr>
      <w:tr w:rsidR="00CA3CF2" w14:paraId="49DB5578" w14:textId="77777777">
        <w:trPr>
          <w:jc w:val="center"/>
        </w:trPr>
        <w:tc>
          <w:tcPr>
            <w:tcW w:w="9120" w:type="dxa"/>
            <w:gridSpan w:val="2"/>
          </w:tcPr>
          <w:p w14:paraId="22C2AFF7" w14:textId="5597A3A8" w:rsidR="00CA3CF2" w:rsidRDefault="00C6513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SECRETARIO GENERAL DE ACUERDOS EN FUNCIONES</w:t>
            </w:r>
          </w:p>
          <w:p w14:paraId="21E565A2" w14:textId="77777777" w:rsidR="00CA3CF2" w:rsidRDefault="00CA3CF2">
            <w:pPr>
              <w:spacing w:line="360" w:lineRule="auto"/>
              <w:jc w:val="center"/>
              <w:rPr>
                <w:rFonts w:ascii="Arial" w:eastAsia="Arial" w:hAnsi="Arial" w:cs="Arial"/>
                <w:b/>
                <w:color w:val="000000"/>
                <w:sz w:val="24"/>
                <w:szCs w:val="24"/>
              </w:rPr>
            </w:pPr>
          </w:p>
          <w:p w14:paraId="7878B597" w14:textId="77777777" w:rsidR="00CA3CF2" w:rsidRDefault="00C6513E">
            <w:pPr>
              <w:spacing w:line="360" w:lineRule="auto"/>
              <w:jc w:val="center"/>
              <w:rPr>
                <w:rFonts w:ascii="Arial" w:eastAsia="Arial" w:hAnsi="Arial" w:cs="Arial"/>
                <w:b/>
                <w:color w:val="000000"/>
                <w:sz w:val="24"/>
                <w:szCs w:val="24"/>
              </w:rPr>
            </w:pPr>
            <w:r>
              <w:rPr>
                <w:rFonts w:ascii="Arial" w:eastAsia="Arial" w:hAnsi="Arial" w:cs="Arial"/>
                <w:b/>
                <w:color w:val="000000"/>
                <w:sz w:val="24"/>
                <w:szCs w:val="24"/>
              </w:rPr>
              <w:t>JESÚS OCIEL BAENA SAUCEDO</w:t>
            </w:r>
          </w:p>
        </w:tc>
      </w:tr>
    </w:tbl>
    <w:p w14:paraId="7E6AC0EB" w14:textId="354C50C0" w:rsidR="00CA3CF2" w:rsidRDefault="00CA3CF2">
      <w:pPr>
        <w:spacing w:line="360" w:lineRule="auto"/>
        <w:rPr>
          <w:noProof/>
        </w:rPr>
      </w:pPr>
    </w:p>
    <w:p w14:paraId="2DA94C4D" w14:textId="68D1D48A" w:rsidR="007F61B4" w:rsidRPr="007F61B4" w:rsidRDefault="007F61B4" w:rsidP="007F61B4">
      <w:pPr>
        <w:rPr>
          <w:rFonts w:ascii="Arial" w:eastAsia="Arial" w:hAnsi="Arial" w:cs="Arial"/>
          <w:sz w:val="24"/>
          <w:szCs w:val="24"/>
        </w:rPr>
      </w:pPr>
    </w:p>
    <w:p w14:paraId="54D3AE23" w14:textId="57CC6628" w:rsidR="007F61B4" w:rsidRPr="007F61B4" w:rsidRDefault="007F61B4" w:rsidP="007F61B4">
      <w:pPr>
        <w:rPr>
          <w:rFonts w:ascii="Arial" w:eastAsia="Arial" w:hAnsi="Arial" w:cs="Arial"/>
          <w:sz w:val="24"/>
          <w:szCs w:val="24"/>
        </w:rPr>
      </w:pPr>
    </w:p>
    <w:p w14:paraId="5777E685" w14:textId="2DD35BED" w:rsidR="007F61B4" w:rsidRPr="007F61B4" w:rsidRDefault="007F61B4" w:rsidP="007F61B4">
      <w:pPr>
        <w:rPr>
          <w:rFonts w:ascii="Arial" w:eastAsia="Arial" w:hAnsi="Arial" w:cs="Arial"/>
          <w:sz w:val="24"/>
          <w:szCs w:val="24"/>
        </w:rPr>
      </w:pPr>
    </w:p>
    <w:p w14:paraId="207A643F" w14:textId="126493DD" w:rsidR="007F61B4" w:rsidRPr="007F61B4" w:rsidRDefault="007F61B4" w:rsidP="007F61B4">
      <w:pPr>
        <w:rPr>
          <w:rFonts w:ascii="Arial" w:eastAsia="Arial" w:hAnsi="Arial" w:cs="Arial"/>
          <w:sz w:val="24"/>
          <w:szCs w:val="24"/>
        </w:rPr>
      </w:pPr>
    </w:p>
    <w:p w14:paraId="378949FF" w14:textId="28E884C5" w:rsidR="007F61B4" w:rsidRDefault="007F61B4" w:rsidP="007F61B4">
      <w:pPr>
        <w:rPr>
          <w:noProof/>
        </w:rPr>
      </w:pPr>
    </w:p>
    <w:p w14:paraId="7B3A37D4" w14:textId="037CBE0D" w:rsidR="007F61B4" w:rsidRPr="007F61B4" w:rsidRDefault="007F61B4" w:rsidP="007F61B4">
      <w:pPr>
        <w:tabs>
          <w:tab w:val="left" w:pos="1920"/>
        </w:tabs>
        <w:rPr>
          <w:rFonts w:ascii="Arial" w:eastAsia="Arial" w:hAnsi="Arial" w:cs="Arial"/>
          <w:sz w:val="24"/>
          <w:szCs w:val="24"/>
        </w:rPr>
      </w:pPr>
      <w:r>
        <w:rPr>
          <w:rFonts w:ascii="Arial" w:eastAsia="Arial" w:hAnsi="Arial" w:cs="Arial"/>
          <w:sz w:val="24"/>
          <w:szCs w:val="24"/>
        </w:rPr>
        <w:tab/>
      </w:r>
    </w:p>
    <w:sectPr w:rsidR="007F61B4" w:rsidRPr="007F61B4">
      <w:headerReference w:type="even" r:id="rId16"/>
      <w:headerReference w:type="default" r:id="rId17"/>
      <w:footerReference w:type="even" r:id="rId18"/>
      <w:footerReference w:type="default" r:id="rId19"/>
      <w:headerReference w:type="first" r:id="rId20"/>
      <w:footerReference w:type="first" r:id="rId21"/>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560A5" w14:textId="77777777" w:rsidR="00CA34F7" w:rsidRDefault="00CA34F7">
      <w:r>
        <w:separator/>
      </w:r>
    </w:p>
  </w:endnote>
  <w:endnote w:type="continuationSeparator" w:id="0">
    <w:p w14:paraId="5F72A629" w14:textId="77777777" w:rsidR="00CA34F7" w:rsidRDefault="00CA3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550F4" w14:textId="77777777" w:rsidR="00CA3CF2" w:rsidRDefault="00CA3CF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AB18F" w14:textId="77777777" w:rsidR="00CA3CF2" w:rsidRDefault="00CA3CF2">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0571A" w14:textId="77777777" w:rsidR="00CA3CF2" w:rsidRDefault="00CA3CF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03586" w14:textId="77777777" w:rsidR="00CA34F7" w:rsidRDefault="00CA34F7">
      <w:r>
        <w:separator/>
      </w:r>
    </w:p>
  </w:footnote>
  <w:footnote w:type="continuationSeparator" w:id="0">
    <w:p w14:paraId="703A1D97" w14:textId="77777777" w:rsidR="00CA34F7" w:rsidRDefault="00CA34F7">
      <w:r>
        <w:continuationSeparator/>
      </w:r>
    </w:p>
  </w:footnote>
  <w:footnote w:id="1">
    <w:p w14:paraId="771EDA7D" w14:textId="77777777" w:rsidR="00CA3CF2" w:rsidRDefault="00C6513E">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75B0D94E" w14:textId="77777777" w:rsidR="00CA3CF2" w:rsidRDefault="00C6513E">
      <w:pPr>
        <w:pBdr>
          <w:top w:val="nil"/>
          <w:left w:val="nil"/>
          <w:bottom w:val="nil"/>
          <w:right w:val="nil"/>
          <w:between w:val="nil"/>
        </w:pBdr>
        <w:tabs>
          <w:tab w:val="left" w:pos="567"/>
        </w:tabs>
        <w:ind w:right="36"/>
        <w:jc w:val="both"/>
        <w:rPr>
          <w:rFonts w:ascii="Arial" w:eastAsia="Arial" w:hAnsi="Arial" w:cs="Arial"/>
        </w:rPr>
      </w:pPr>
      <w:r>
        <w:rPr>
          <w:vertAlign w:val="superscript"/>
        </w:rPr>
        <w:footnoteRef/>
      </w:r>
      <w:r>
        <w:rPr>
          <w:rFonts w:ascii="Arial" w:eastAsia="Arial" w:hAnsi="Arial" w:cs="Arial"/>
        </w:rPr>
        <w:t xml:space="preserve"> Todas las fechas corresponden al 2022, salvo precisión en contrario.</w:t>
      </w:r>
    </w:p>
  </w:footnote>
  <w:footnote w:id="3">
    <w:p w14:paraId="1C8D74C2" w14:textId="77777777" w:rsidR="00CA3CF2" w:rsidRDefault="00C6513E">
      <w:pPr>
        <w:jc w:val="both"/>
        <w:rPr>
          <w:rFonts w:ascii="Arial" w:eastAsia="Arial" w:hAnsi="Arial" w:cs="Arial"/>
        </w:rPr>
      </w:pPr>
      <w:r>
        <w:rPr>
          <w:vertAlign w:val="superscript"/>
        </w:rPr>
        <w:footnoteRef/>
      </w:r>
      <w:r>
        <w:rPr>
          <w:rFonts w:ascii="Arial" w:eastAsia="Arial" w:hAnsi="Arial" w:cs="Arial"/>
        </w:rPr>
        <w:t xml:space="preserve"> </w:t>
      </w:r>
      <w:r>
        <w:rPr>
          <w:rFonts w:ascii="Arial" w:eastAsia="Arial" w:hAnsi="Arial" w:cs="Arial"/>
          <w:i/>
        </w:rPr>
        <w:t>Precampaña</w:t>
      </w:r>
      <w:r>
        <w:rPr>
          <w:rFonts w:ascii="Arial" w:eastAsia="Arial" w:hAnsi="Arial" w:cs="Arial"/>
        </w:rPr>
        <w:t xml:space="preserve">: Del 2 de enero al 10 de febrero; </w:t>
      </w:r>
      <w:proofErr w:type="spellStart"/>
      <w:r>
        <w:rPr>
          <w:rFonts w:ascii="Arial" w:eastAsia="Arial" w:hAnsi="Arial" w:cs="Arial"/>
        </w:rPr>
        <w:t>Intercampaña</w:t>
      </w:r>
      <w:proofErr w:type="spellEnd"/>
      <w:r>
        <w:rPr>
          <w:rFonts w:ascii="Arial" w:eastAsia="Arial" w:hAnsi="Arial" w:cs="Arial"/>
        </w:rPr>
        <w:t xml:space="preserve">: Del 11 de febrero al 2 de abril; </w:t>
      </w:r>
      <w:r>
        <w:rPr>
          <w:rFonts w:ascii="Arial" w:eastAsia="Arial" w:hAnsi="Arial" w:cs="Arial"/>
          <w:i/>
        </w:rPr>
        <w:t>Campaña</w:t>
      </w:r>
      <w:r>
        <w:rPr>
          <w:rFonts w:ascii="Arial" w:eastAsia="Arial" w:hAnsi="Arial" w:cs="Arial"/>
        </w:rPr>
        <w:t xml:space="preserve">: Del 3 de abril al 1 de junio; </w:t>
      </w:r>
      <w:r>
        <w:rPr>
          <w:rFonts w:ascii="Arial" w:eastAsia="Arial" w:hAnsi="Arial" w:cs="Arial"/>
          <w:i/>
        </w:rPr>
        <w:t>Veda Electoral</w:t>
      </w:r>
      <w:r>
        <w:rPr>
          <w:rFonts w:ascii="Arial" w:eastAsia="Arial" w:hAnsi="Arial" w:cs="Arial"/>
        </w:rPr>
        <w:t xml:space="preserve">: Tres días antes de la Jornada Electoral; </w:t>
      </w:r>
      <w:r>
        <w:rPr>
          <w:rFonts w:ascii="Arial" w:eastAsia="Arial" w:hAnsi="Arial" w:cs="Arial"/>
          <w:i/>
        </w:rPr>
        <w:t>Jornada Electoral</w:t>
      </w:r>
      <w:r>
        <w:rPr>
          <w:rFonts w:ascii="Arial" w:eastAsia="Arial" w:hAnsi="Arial" w:cs="Arial"/>
        </w:rPr>
        <w:t>: El 5 de junio.</w:t>
      </w:r>
    </w:p>
  </w:footnote>
  <w:footnote w:id="4">
    <w:p w14:paraId="79C4EDD8" w14:textId="77777777" w:rsidR="00CA3CF2" w:rsidRDefault="00C6513E">
      <w:pPr>
        <w:pBdr>
          <w:top w:val="nil"/>
          <w:left w:val="nil"/>
          <w:bottom w:val="nil"/>
          <w:right w:val="nil"/>
          <w:between w:val="nil"/>
        </w:pBdr>
        <w:jc w:val="both"/>
        <w:rPr>
          <w:color w:val="000000"/>
          <w:sz w:val="24"/>
          <w:szCs w:val="24"/>
        </w:rPr>
      </w:pPr>
      <w:r>
        <w:rPr>
          <w:vertAlign w:val="superscript"/>
        </w:rPr>
        <w:footnoteRef/>
      </w:r>
      <w:r>
        <w:rPr>
          <w:color w:val="000000"/>
          <w:sz w:val="24"/>
          <w:szCs w:val="24"/>
        </w:rPr>
        <w:t xml:space="preserve"> </w:t>
      </w:r>
      <w:r>
        <w:rPr>
          <w:rFonts w:ascii="Arial" w:eastAsia="Arial" w:hAnsi="Arial" w:cs="Arial"/>
          <w:color w:val="000000"/>
        </w:rPr>
        <w:t>Tal como se prevé en el artículo 274, fracción IV, del Código Electoral.</w:t>
      </w:r>
    </w:p>
  </w:footnote>
  <w:footnote w:id="5">
    <w:p w14:paraId="185A6B52" w14:textId="77777777" w:rsidR="00D146D1" w:rsidRDefault="00D146D1" w:rsidP="00D146D1">
      <w:r>
        <w:rPr>
          <w:vertAlign w:val="superscript"/>
        </w:rPr>
        <w:footnoteRef/>
      </w:r>
      <w:r>
        <w:t xml:space="preserve"> </w:t>
      </w:r>
      <w:r>
        <w:rPr>
          <w:rFonts w:ascii="Arial" w:eastAsia="Arial" w:hAnsi="Arial" w:cs="Arial"/>
          <w:sz w:val="16"/>
          <w:szCs w:val="16"/>
          <w:highlight w:val="white"/>
        </w:rPr>
        <w:t>Véase la jurisprudencia 8/2009 de rubro "DESISTIMIENTO. ES IMPROCEDENTE CUANDO EL MEDIO DE IMPUGNACIÓN ES PROMOVIDO POR UN PARTIDO POLÍTICO, EN EJERCICIO DE UNA ACCIÓN TUITIVA DEL INTERÉS PÚBLICO".</w:t>
      </w:r>
    </w:p>
  </w:footnote>
  <w:footnote w:id="6">
    <w:p w14:paraId="0982E3EC" w14:textId="77777777" w:rsidR="00CA3CF2" w:rsidRDefault="00C6513E">
      <w:pPr>
        <w:pBdr>
          <w:top w:val="nil"/>
          <w:left w:val="nil"/>
          <w:bottom w:val="nil"/>
          <w:right w:val="nil"/>
          <w:between w:val="nil"/>
        </w:pBdr>
        <w:jc w:val="both"/>
        <w:rPr>
          <w:rFonts w:ascii="Arial" w:eastAsia="Arial" w:hAnsi="Arial" w:cs="Arial"/>
          <w:color w:val="000000"/>
        </w:rPr>
      </w:pPr>
      <w:r>
        <w:rPr>
          <w:vertAlign w:val="superscript"/>
        </w:rPr>
        <w:footnoteRef/>
      </w:r>
      <w:r>
        <w:rPr>
          <w:rFonts w:ascii="Arial" w:eastAsia="Arial" w:hAnsi="Arial" w:cs="Arial"/>
          <w:color w:val="000000"/>
        </w:rPr>
        <w:t xml:space="preserve"> - </w:t>
      </w:r>
      <w:r>
        <w:rPr>
          <w:rFonts w:ascii="Arial" w:eastAsia="Arial" w:hAnsi="Arial" w:cs="Arial"/>
          <w:i/>
          <w:color w:val="000000"/>
        </w:rPr>
        <w:t>Documental privada:</w:t>
      </w:r>
      <w:r>
        <w:rPr>
          <w:rFonts w:ascii="Arial" w:eastAsia="Arial" w:hAnsi="Arial" w:cs="Arial"/>
          <w:color w:val="000000"/>
        </w:rPr>
        <w:t xml:space="preserve"> De acuerdo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p w14:paraId="7D6E77A6" w14:textId="77777777" w:rsidR="00CA3CF2" w:rsidRDefault="00C6513E">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Documental pública:</w:t>
      </w:r>
      <w:r>
        <w:rPr>
          <w:rFonts w:ascii="Arial" w:eastAsia="Arial" w:hAnsi="Arial" w:cs="Arial"/>
          <w:color w:val="000000"/>
        </w:rPr>
        <w:t xml:space="preserve"> De conformidad con el artículo 256, segundo párrafo del Código Electoral; Las documentales públicas tendrán valor probatorio pleno, salvo prueba en contrario respecto de su autenticidad o de la veracidad de los hechos a que se refieran.</w:t>
      </w:r>
    </w:p>
    <w:p w14:paraId="11F10DE0" w14:textId="77777777" w:rsidR="00CA3CF2" w:rsidRDefault="00C6513E">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 </w:t>
      </w:r>
      <w:r>
        <w:rPr>
          <w:rFonts w:ascii="Arial" w:eastAsia="Arial" w:hAnsi="Arial" w:cs="Arial"/>
          <w:i/>
          <w:color w:val="000000"/>
        </w:rPr>
        <w:t>Técnica:</w:t>
      </w:r>
      <w:r>
        <w:rPr>
          <w:rFonts w:ascii="Arial" w:eastAsia="Arial" w:hAnsi="Arial" w:cs="Arial"/>
          <w:color w:val="000000"/>
        </w:rPr>
        <w:t xml:space="preserve"> Atendiendo a su naturaleza, acorde con el artículo 256, del Código Electoral; tienen el valor de indicio, que solo hará convicción plena y generará certeza sobre la veracidad de los hechos alegados, al concatenarse con los demás elementos que obren en el expediente, las afirmaciones de las partes, la verdad conocida y el recto raciocinio de la relación que guardan entre sí.</w:t>
      </w:r>
    </w:p>
    <w:p w14:paraId="67ADF382" w14:textId="77777777" w:rsidR="00CA3CF2" w:rsidRDefault="00C6513E">
      <w:pPr>
        <w:pBdr>
          <w:top w:val="nil"/>
          <w:left w:val="nil"/>
          <w:bottom w:val="nil"/>
          <w:right w:val="nil"/>
          <w:between w:val="nil"/>
        </w:pBdr>
        <w:jc w:val="both"/>
        <w:rPr>
          <w:rFonts w:ascii="Arial" w:eastAsia="Arial" w:hAnsi="Arial" w:cs="Arial"/>
          <w:color w:val="000000"/>
        </w:rPr>
      </w:pPr>
      <w:r>
        <w:rPr>
          <w:rFonts w:ascii="Arial" w:eastAsia="Arial" w:hAnsi="Arial" w:cs="Arial"/>
          <w:i/>
          <w:color w:val="000000"/>
        </w:rPr>
        <w:t>- Presuncional e instrumental de actuaciones:</w:t>
      </w:r>
      <w:r>
        <w:rPr>
          <w:rFonts w:ascii="Arial" w:eastAsia="Arial" w:hAnsi="Arial" w:cs="Arial"/>
          <w:color w:val="000000"/>
        </w:rPr>
        <w:t xml:space="preserve"> En relación con las pruebas ofrecidas como </w:t>
      </w:r>
      <w:proofErr w:type="spellStart"/>
      <w:r>
        <w:rPr>
          <w:rFonts w:ascii="Arial" w:eastAsia="Arial" w:hAnsi="Arial" w:cs="Arial"/>
          <w:color w:val="000000"/>
        </w:rPr>
        <w:t>presuncional</w:t>
      </w:r>
      <w:proofErr w:type="spellEnd"/>
      <w:r>
        <w:rPr>
          <w:rFonts w:ascii="Arial" w:eastAsia="Arial" w:hAnsi="Arial" w:cs="Arial"/>
          <w:color w:val="000000"/>
        </w:rPr>
        <w:t xml:space="preserve"> e instrumental de actuaciones, vale decir que las que se actualicen pueden ser apreciadas por esta instancia, con independencia de que sean o no ofrecidas por las partes, conforme a lo dispuesto por el artículo 255, fracciones V y VI, del Código Electoral.</w:t>
      </w:r>
    </w:p>
    <w:p w14:paraId="1763B7B8" w14:textId="77777777" w:rsidR="00CA3CF2" w:rsidRDefault="00CA3CF2">
      <w:pPr>
        <w:pBdr>
          <w:top w:val="nil"/>
          <w:left w:val="nil"/>
          <w:bottom w:val="nil"/>
          <w:right w:val="nil"/>
          <w:between w:val="nil"/>
        </w:pBdr>
        <w:rPr>
          <w:color w:val="000000"/>
        </w:rPr>
      </w:pPr>
    </w:p>
  </w:footnote>
  <w:footnote w:id="7">
    <w:p w14:paraId="5AA527C6" w14:textId="46423CD5" w:rsidR="007F61B4" w:rsidRPr="007F61B4" w:rsidRDefault="007F61B4" w:rsidP="007F61B4">
      <w:pPr>
        <w:pStyle w:val="Textonotapie"/>
        <w:jc w:val="both"/>
        <w:rPr>
          <w:rFonts w:ascii="Arial" w:hAnsi="Arial" w:cs="Arial"/>
        </w:rPr>
      </w:pPr>
      <w:r>
        <w:rPr>
          <w:rStyle w:val="Refdenotaalpie"/>
        </w:rPr>
        <w:footnoteRef/>
      </w:r>
      <w:r>
        <w:t xml:space="preserve"> </w:t>
      </w:r>
      <w:r w:rsidRPr="007F61B4">
        <w:rPr>
          <w:rFonts w:ascii="Arial" w:hAnsi="Arial" w:cs="Arial"/>
        </w:rPr>
        <w:t>Véase las sentencias SUP-JE-50/2018 y SUP-REP-45/2021</w:t>
      </w:r>
    </w:p>
  </w:footnote>
  <w:footnote w:id="8">
    <w:p w14:paraId="7373C80E" w14:textId="4506D4E5" w:rsidR="007F61B4" w:rsidRPr="007F61B4" w:rsidRDefault="007F61B4" w:rsidP="007F61B4">
      <w:pPr>
        <w:pStyle w:val="Textonotapie"/>
        <w:jc w:val="both"/>
        <w:rPr>
          <w:rFonts w:ascii="Arial" w:hAnsi="Arial" w:cs="Arial"/>
        </w:rPr>
      </w:pPr>
      <w:r w:rsidRPr="007F61B4">
        <w:rPr>
          <w:rStyle w:val="Refdenotaalpie"/>
          <w:rFonts w:ascii="Arial" w:hAnsi="Arial" w:cs="Arial"/>
        </w:rPr>
        <w:footnoteRef/>
      </w:r>
      <w:r w:rsidRPr="007F61B4">
        <w:rPr>
          <w:rFonts w:ascii="Arial" w:hAnsi="Arial" w:cs="Arial"/>
        </w:rPr>
        <w:t xml:space="preserve"> </w:t>
      </w:r>
      <w:r>
        <w:rPr>
          <w:rFonts w:ascii="Arial" w:hAnsi="Arial" w:cs="Arial"/>
        </w:rPr>
        <w:t>Consúltese</w:t>
      </w:r>
      <w:r w:rsidRPr="007F61B4">
        <w:rPr>
          <w:rFonts w:ascii="Arial" w:hAnsi="Arial" w:cs="Arial"/>
        </w:rPr>
        <w:t xml:space="preserve"> las sentencias SUP-REP-88/2019, SUP-JRC-13/2018, SUP-REP-163/2018, SUP-JDC-903/2015 y SUP-JDC-904/2015 acumulados</w:t>
      </w:r>
    </w:p>
  </w:footnote>
  <w:footnote w:id="9">
    <w:p w14:paraId="678BBA20" w14:textId="77777777" w:rsidR="00CA3CF2" w:rsidRDefault="00C6513E" w:rsidP="007F61B4">
      <w:pPr>
        <w:pBdr>
          <w:top w:val="nil"/>
          <w:left w:val="nil"/>
          <w:bottom w:val="nil"/>
          <w:right w:val="nil"/>
          <w:between w:val="nil"/>
        </w:pBdr>
        <w:jc w:val="both"/>
        <w:rPr>
          <w:rFonts w:ascii="Arial" w:eastAsia="Arial" w:hAnsi="Arial" w:cs="Arial"/>
          <w:color w:val="000000"/>
        </w:rPr>
      </w:pPr>
      <w:r w:rsidRPr="007F61B4">
        <w:rPr>
          <w:rFonts w:ascii="Arial" w:hAnsi="Arial" w:cs="Arial"/>
          <w:vertAlign w:val="superscript"/>
        </w:rPr>
        <w:footnoteRef/>
      </w:r>
      <w:r w:rsidRPr="007F61B4">
        <w:rPr>
          <w:rFonts w:ascii="Arial" w:eastAsia="Arial" w:hAnsi="Arial" w:cs="Arial"/>
          <w:color w:val="000000"/>
        </w:rPr>
        <w:t xml:space="preserve"> Véase el asunto </w:t>
      </w:r>
      <w:r w:rsidRPr="007F61B4">
        <w:rPr>
          <w:rFonts w:ascii="Arial" w:eastAsia="Arial" w:hAnsi="Arial" w:cs="Arial"/>
          <w:color w:val="000000"/>
          <w:highlight w:val="white"/>
        </w:rPr>
        <w:t>SUP-RAP-75/2010.</w:t>
      </w:r>
    </w:p>
  </w:footnote>
  <w:footnote w:id="10">
    <w:p w14:paraId="767044E0" w14:textId="77777777" w:rsidR="00CA3CF2" w:rsidRDefault="00C6513E">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Léase los asuntos </w:t>
      </w:r>
      <w:r>
        <w:rPr>
          <w:rFonts w:ascii="Arial" w:eastAsia="Arial" w:hAnsi="Arial" w:cs="Arial"/>
          <w:color w:val="000000"/>
          <w:highlight w:val="white"/>
        </w:rPr>
        <w:t>SUP-JE-50/2018 y SUP-REP-45/2021.</w:t>
      </w:r>
    </w:p>
  </w:footnote>
  <w:footnote w:id="11">
    <w:p w14:paraId="4C0F2AC1" w14:textId="77777777" w:rsidR="00CA3CF2" w:rsidRDefault="00C6513E">
      <w:pPr>
        <w:pBdr>
          <w:top w:val="nil"/>
          <w:left w:val="nil"/>
          <w:bottom w:val="nil"/>
          <w:right w:val="nil"/>
          <w:between w:val="nil"/>
        </w:pBdr>
        <w:rPr>
          <w:color w:val="000000"/>
        </w:rPr>
      </w:pPr>
      <w:r>
        <w:rPr>
          <w:vertAlign w:val="superscript"/>
        </w:rPr>
        <w:footnoteRef/>
      </w:r>
      <w:r>
        <w:rPr>
          <w:rFonts w:ascii="Arial" w:eastAsia="Arial" w:hAnsi="Arial" w:cs="Arial"/>
          <w:color w:val="000000"/>
        </w:rPr>
        <w:t xml:space="preserve"> Véase los asuntos </w:t>
      </w:r>
      <w:r>
        <w:rPr>
          <w:rFonts w:ascii="Arial" w:eastAsia="Arial" w:hAnsi="Arial" w:cs="Arial"/>
          <w:color w:val="000000"/>
          <w:highlight w:val="white"/>
        </w:rPr>
        <w:t>SUP-REP-88/2019, SUP-JRC-13/2018, SUP-REP-163/2018, SUP-JDC-903/2015 y SUP-JDC-904/2015 acumulados.</w:t>
      </w:r>
    </w:p>
  </w:footnote>
  <w:footnote w:id="12">
    <w:p w14:paraId="7CE7FECF" w14:textId="77777777" w:rsidR="00CA3CF2" w:rsidRDefault="00C6513E">
      <w:pPr>
        <w:jc w:val="both"/>
        <w:rPr>
          <w:rFonts w:ascii="Arial" w:eastAsia="Arial" w:hAnsi="Arial" w:cs="Arial"/>
        </w:rPr>
      </w:pPr>
      <w:r>
        <w:rPr>
          <w:vertAlign w:val="superscript"/>
        </w:rPr>
        <w:footnoteRef/>
      </w:r>
      <w:r>
        <w:t xml:space="preserve"> </w:t>
      </w:r>
      <w:r>
        <w:rPr>
          <w:rFonts w:ascii="Arial" w:eastAsia="Arial" w:hAnsi="Arial" w:cs="Arial"/>
        </w:rPr>
        <w:t>Véase la resolución SUP-RAP-75/2010.</w:t>
      </w:r>
    </w:p>
  </w:footnote>
  <w:footnote w:id="13">
    <w:p w14:paraId="6B273D17" w14:textId="77777777" w:rsidR="00CA3CF2" w:rsidRDefault="00C6513E">
      <w:pPr>
        <w:jc w:val="both"/>
        <w:rPr>
          <w:rFonts w:ascii="Arial" w:eastAsia="Arial" w:hAnsi="Arial" w:cs="Arial"/>
        </w:rPr>
      </w:pPr>
      <w:r>
        <w:rPr>
          <w:vertAlign w:val="superscript"/>
        </w:rPr>
        <w:footnoteRef/>
      </w:r>
      <w:r>
        <w:rPr>
          <w:rFonts w:ascii="Arial" w:eastAsia="Arial" w:hAnsi="Arial" w:cs="Arial"/>
        </w:rPr>
        <w:t xml:space="preserve"> Artículo 41.- En los reglamentos interiores de trabajo se procurará que los días de descanso sean los sábados y domingos. [...].</w:t>
      </w:r>
    </w:p>
  </w:footnote>
  <w:footnote w:id="14">
    <w:p w14:paraId="5B5F78CA" w14:textId="77777777" w:rsidR="00CA3CF2" w:rsidRDefault="00C6513E">
      <w:pPr>
        <w:jc w:val="both"/>
        <w:rPr>
          <w:rFonts w:ascii="Arial" w:eastAsia="Arial" w:hAnsi="Arial" w:cs="Arial"/>
        </w:rPr>
      </w:pPr>
      <w:r>
        <w:rPr>
          <w:vertAlign w:val="superscript"/>
        </w:rPr>
        <w:footnoteRef/>
      </w:r>
      <w:r>
        <w:t xml:space="preserve"> </w:t>
      </w:r>
      <w:r>
        <w:rPr>
          <w:rFonts w:ascii="Arial" w:eastAsia="Arial" w:hAnsi="Arial" w:cs="Arial"/>
        </w:rPr>
        <w:t>Artículo 1o.- La presente Ley es de observancia general en el Estado de Aguascalientes y sus Municipios, y obligatoria para las autoridades y funcionarios integrantes de los Poderes Legislativo, Ejecutivo y Judicial, y de sus Municipios, y rige las relaciones de trabajo entre éstos y sus servidores públicos, [...].</w:t>
      </w:r>
    </w:p>
  </w:footnote>
  <w:footnote w:id="15">
    <w:p w14:paraId="78A9CAB3" w14:textId="77777777" w:rsidR="00CA3CF2" w:rsidRDefault="00C6513E">
      <w:pPr>
        <w:jc w:val="both"/>
        <w:rPr>
          <w:rFonts w:ascii="Arial" w:eastAsia="Arial" w:hAnsi="Arial" w:cs="Arial"/>
        </w:rPr>
      </w:pPr>
      <w:r>
        <w:rPr>
          <w:vertAlign w:val="superscript"/>
        </w:rPr>
        <w:footnoteRef/>
      </w:r>
      <w:r>
        <w:t xml:space="preserve"> </w:t>
      </w:r>
      <w:r>
        <w:rPr>
          <w:rFonts w:ascii="Arial" w:eastAsia="Arial" w:hAnsi="Arial" w:cs="Arial"/>
        </w:rPr>
        <w:t>Artículo 57.</w:t>
      </w:r>
      <w:proofErr w:type="gramStart"/>
      <w:r>
        <w:rPr>
          <w:rFonts w:ascii="Arial" w:eastAsia="Arial" w:hAnsi="Arial" w:cs="Arial"/>
        </w:rPr>
        <w:t>‐  Los</w:t>
      </w:r>
      <w:proofErr w:type="gramEnd"/>
      <w:r>
        <w:rPr>
          <w:rFonts w:ascii="Arial" w:eastAsia="Arial" w:hAnsi="Arial" w:cs="Arial"/>
        </w:rPr>
        <w:t xml:space="preserve"> trabajadores y trabajadoras disfrutarán de su descanso semanal preferentemente los  días sábados y domingos.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67139" w14:textId="378B9944" w:rsidR="00CA3CF2" w:rsidRDefault="00CA34F7">
    <w:pPr>
      <w:pBdr>
        <w:top w:val="nil"/>
        <w:left w:val="nil"/>
        <w:bottom w:val="nil"/>
        <w:right w:val="nil"/>
        <w:between w:val="nil"/>
      </w:pBdr>
      <w:tabs>
        <w:tab w:val="center" w:pos="4419"/>
        <w:tab w:val="right" w:pos="8838"/>
      </w:tabs>
      <w:rPr>
        <w:color w:val="000000"/>
      </w:rPr>
    </w:pPr>
    <w:r>
      <w:rPr>
        <w:noProof/>
      </w:rPr>
      <w:pict w14:anchorId="2E957A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055907" o:spid="_x0000_s1026" type="#_x0000_t136" style="position:absolute;margin-left:0;margin-top:0;width:591.85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C6513E">
      <w:rPr>
        <w:noProof/>
        <w:color w:val="000000"/>
      </w:rPr>
      <mc:AlternateContent>
        <mc:Choice Requires="wps">
          <w:drawing>
            <wp:anchor distT="0" distB="0" distL="0" distR="0" simplePos="0" relativeHeight="251658240" behindDoc="1" locked="0" layoutInCell="1" hidden="0" allowOverlap="1" wp14:anchorId="032A668F" wp14:editId="0CAD3A4B">
              <wp:simplePos x="0" y="0"/>
              <wp:positionH relativeFrom="margin">
                <wp:align>center</wp:align>
              </wp:positionH>
              <wp:positionV relativeFrom="margin">
                <wp:align>center</wp:align>
              </wp:positionV>
              <wp:extent cx="7944619" cy="7944619"/>
              <wp:effectExtent l="0" t="0" r="0" b="0"/>
              <wp:wrapNone/>
              <wp:docPr id="225" name="Rectángulo 225"/>
              <wp:cNvGraphicFramePr/>
              <a:graphic xmlns:a="http://schemas.openxmlformats.org/drawingml/2006/main">
                <a:graphicData uri="http://schemas.microsoft.com/office/word/2010/wordprocessingShape">
                  <wps:wsp>
                    <wps:cNvSpPr/>
                    <wps:spPr>
                      <a:xfrm rot="-2700000">
                        <a:off x="1917318" y="3252633"/>
                        <a:ext cx="6857365" cy="1054735"/>
                      </a:xfrm>
                      <a:prstGeom prst="rect">
                        <a:avLst/>
                      </a:prstGeom>
                      <a:noFill/>
                      <a:ln>
                        <a:noFill/>
                      </a:ln>
                    </wps:spPr>
                    <wps:txbx>
                      <w:txbxContent>
                        <w:p w14:paraId="7E3DCD5C" w14:textId="77777777" w:rsidR="00CA3CF2" w:rsidRDefault="00C6513E">
                          <w:pPr>
                            <w:jc w:val="center"/>
                            <w:textDirection w:val="btLr"/>
                          </w:pPr>
                          <w:r>
                            <w:rPr>
                              <w:rFonts w:ascii="Arial" w:eastAsia="Arial" w:hAnsi="Arial" w:cs="Arial"/>
                              <w:color w:val="C0C0C0"/>
                              <w:sz w:val="144"/>
                            </w:rPr>
                            <w:t>PARA CONSULTA</w:t>
                          </w:r>
                        </w:p>
                      </w:txbxContent>
                    </wps:txbx>
                    <wps:bodyPr spcFirstLastPara="1" wrap="square" lIns="91425" tIns="91425" rIns="91425" bIns="91425" anchor="ctr" anchorCtr="0">
                      <a:noAutofit/>
                    </wps:bodyPr>
                  </wps:wsp>
                </a:graphicData>
              </a:graphic>
            </wp:anchor>
          </w:drawing>
        </mc:Choice>
        <mc:Fallback>
          <w:pict>
            <v:rect w14:anchorId="032A668F" id="Rectángulo 225" o:spid="_x0000_s1042" style="position:absolute;margin-left:0;margin-top:0;width:625.55pt;height:625.55pt;rotation:-45;z-index:-251658240;visibility:visible;mso-wrap-style:square;mso-wrap-distance-left:0;mso-wrap-distance-top:0;mso-wrap-distance-right:0;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" filled="f" stroked="f">
              <v:textbox inset="2.53958mm,2.53958mm,2.53958mm,2.53958mm">
                <w:txbxContent>
                  <w:p w14:paraId="7E3DCD5C" w14:textId="77777777" w:rsidR="00CA3CF2" w:rsidRDefault="00C6513E">
                    <w:pPr>
                      <w:jc w:val="center"/>
                      <w:textDirection w:val="btLr"/>
                    </w:pPr>
                    <w:r>
                      <w:rPr>
                        <w:rFonts w:ascii="Arial" w:eastAsia="Arial" w:hAnsi="Arial" w:cs="Arial"/>
                        <w:color w:val="C0C0C0"/>
                        <w:sz w:val="144"/>
                      </w:rPr>
                      <w:t>PARA CONSULTA</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19C6F" w14:textId="62B9C705" w:rsidR="00CA3CF2" w:rsidRDefault="00CA34F7">
    <w:pPr>
      <w:pBdr>
        <w:top w:val="nil"/>
        <w:left w:val="nil"/>
        <w:bottom w:val="nil"/>
        <w:right w:val="nil"/>
        <w:between w:val="nil"/>
      </w:pBdr>
      <w:tabs>
        <w:tab w:val="center" w:pos="4419"/>
        <w:tab w:val="right" w:pos="8838"/>
      </w:tabs>
      <w:rPr>
        <w:color w:val="000000"/>
      </w:rPr>
    </w:pPr>
    <w:r>
      <w:rPr>
        <w:noProof/>
      </w:rPr>
      <w:pict w14:anchorId="68AD7D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055908" o:spid="_x0000_s1027" type="#_x0000_t136" style="position:absolute;margin-left:0;margin-top:0;width:591.85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sdt>
      <w:sdtPr>
        <w:rPr>
          <w:color w:val="000000"/>
        </w:rPr>
        <w:id w:val="-1789263450"/>
        <w:docPartObj>
          <w:docPartGallery w:val="Page Numbers (Margins)"/>
          <w:docPartUnique/>
        </w:docPartObj>
      </w:sdtPr>
      <w:sdtEndPr/>
      <w:sdtContent>
        <w:r w:rsidR="00F80E94" w:rsidRPr="00F80E94">
          <w:rPr>
            <w:noProof/>
            <w:color w:val="000000"/>
          </w:rPr>
          <mc:AlternateContent>
            <mc:Choice Requires="wps">
              <w:drawing>
                <wp:anchor distT="0" distB="0" distL="114300" distR="114300" simplePos="0" relativeHeight="251660288" behindDoc="0" locked="0" layoutInCell="0" allowOverlap="1" wp14:anchorId="511F86DE" wp14:editId="5F5ECD10">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185C140" w14:textId="77777777" w:rsidR="00F80E94" w:rsidRDefault="00F80E94">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1F86DE" id="Rectángulo 1" o:spid="_x0000_s1043"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QNCgIAAO4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ni0rITqQLIR&#10;xqGjR0KbFvA7Zz0NXMH9t51AxZl5b8m669liESc0BYvl5ZwCPM+U5xlhJUEVPHA2bjdhnOqdQ920&#10;9KdZssHCLdld62RFbMXI6kifhirJPT6AOLXncar6/UzXvwA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m/0EDQoCAADuAwAADgAA&#10;AAAAAAAAAAAAAAAuAgAAZHJzL2Uyb0RvYy54bWxQSwECLQAUAAYACAAAACEAbNUf09kAAAAFAQAA&#10;DwAAAAAAAAAAAAAAAABkBAAAZHJzL2Rvd25yZXYueG1sUEsFBgAAAAAEAAQA8wAAAGo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185C140" w14:textId="77777777" w:rsidR="00F80E94" w:rsidRDefault="00F80E94">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6513E">
      <w:rPr>
        <w:noProof/>
        <w:color w:val="000000"/>
      </w:rPr>
      <w:drawing>
        <wp:inline distT="0" distB="0" distL="0" distR="0" wp14:anchorId="6CA20784" wp14:editId="1F075399">
          <wp:extent cx="995527" cy="1154534"/>
          <wp:effectExtent l="0" t="0" r="0" b="0"/>
          <wp:docPr id="24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
                  <a:srcRect/>
                  <a:stretch>
                    <a:fillRect/>
                  </a:stretch>
                </pic:blipFill>
                <pic:spPr>
                  <a:xfrm>
                    <a:off x="0" y="0"/>
                    <a:ext cx="995527" cy="115453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78D89" w14:textId="0F94BA2D" w:rsidR="00CA3CF2" w:rsidRDefault="00CA34F7">
    <w:pPr>
      <w:pBdr>
        <w:top w:val="nil"/>
        <w:left w:val="nil"/>
        <w:bottom w:val="nil"/>
        <w:right w:val="nil"/>
        <w:between w:val="nil"/>
      </w:pBdr>
      <w:tabs>
        <w:tab w:val="center" w:pos="4419"/>
        <w:tab w:val="right" w:pos="8838"/>
      </w:tabs>
      <w:rPr>
        <w:color w:val="000000"/>
      </w:rPr>
    </w:pPr>
    <w:r>
      <w:rPr>
        <w:noProof/>
      </w:rPr>
      <w:pict w14:anchorId="1FD6D4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8055906" o:spid="_x0000_s1025" type="#_x0000_t136" style="position:absolute;margin-left:0;margin-top:0;width:591.85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40FF2"/>
    <w:multiLevelType w:val="multilevel"/>
    <w:tmpl w:val="B928A2D6"/>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9554E96"/>
    <w:multiLevelType w:val="multilevel"/>
    <w:tmpl w:val="4E48A764"/>
    <w:lvl w:ilvl="0">
      <w:start w:val="1"/>
      <w:numFmt w:val="upperRoman"/>
      <w:lvlText w:val="%1."/>
      <w:lvlJc w:val="left"/>
      <w:pPr>
        <w:ind w:left="862" w:hanging="720"/>
      </w:pPr>
      <w:rPr>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326170A0"/>
    <w:multiLevelType w:val="multilevel"/>
    <w:tmpl w:val="D31EB0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9D00D92"/>
    <w:multiLevelType w:val="multilevel"/>
    <w:tmpl w:val="A2D41D14"/>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45F464BF"/>
    <w:multiLevelType w:val="multilevel"/>
    <w:tmpl w:val="6D027834"/>
    <w:lvl w:ilvl="0">
      <w:start w:val="1"/>
      <w:numFmt w:val="decimal"/>
      <w:lvlText w:val="%1."/>
      <w:lvlJc w:val="left"/>
      <w:pPr>
        <w:ind w:left="390" w:hanging="390"/>
      </w:pPr>
      <w:rPr>
        <w:rFonts w:ascii="Arial" w:eastAsia="Arial" w:hAnsi="Arial" w:cs="Arial"/>
        <w:b/>
        <w:sz w:val="24"/>
        <w:szCs w:val="24"/>
        <w:shd w:val="clear" w:color="auto" w:fill="auto"/>
      </w:r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47984999"/>
    <w:multiLevelType w:val="multilevel"/>
    <w:tmpl w:val="65F872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8E217A6"/>
    <w:multiLevelType w:val="multilevel"/>
    <w:tmpl w:val="F57882A6"/>
    <w:lvl w:ilvl="0">
      <w:start w:val="1"/>
      <w:numFmt w:val="decimal"/>
      <w:lvlText w:val="%1."/>
      <w:lvlJc w:val="left"/>
      <w:pPr>
        <w:ind w:left="360" w:hanging="360"/>
      </w:pPr>
    </w:lvl>
    <w:lvl w:ilvl="1">
      <w:start w:val="1"/>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5C0D18D3"/>
    <w:multiLevelType w:val="multilevel"/>
    <w:tmpl w:val="163098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12937B9"/>
    <w:multiLevelType w:val="multilevel"/>
    <w:tmpl w:val="E962EA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8750291"/>
    <w:multiLevelType w:val="multilevel"/>
    <w:tmpl w:val="2B76BB84"/>
    <w:lvl w:ilvl="0">
      <w:start w:val="3"/>
      <w:numFmt w:val="upperRoman"/>
      <w:lvlText w:val="%1."/>
      <w:lvlJc w:val="left"/>
      <w:pPr>
        <w:ind w:left="862" w:hanging="720"/>
      </w:pPr>
      <w:rPr>
        <w:b/>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num w:numId="1" w16cid:durableId="1709799434">
    <w:abstractNumId w:val="1"/>
  </w:num>
  <w:num w:numId="2" w16cid:durableId="740062480">
    <w:abstractNumId w:val="0"/>
  </w:num>
  <w:num w:numId="3" w16cid:durableId="15355262">
    <w:abstractNumId w:val="7"/>
  </w:num>
  <w:num w:numId="4" w16cid:durableId="998926837">
    <w:abstractNumId w:val="8"/>
  </w:num>
  <w:num w:numId="5" w16cid:durableId="1272396851">
    <w:abstractNumId w:val="5"/>
  </w:num>
  <w:num w:numId="6" w16cid:durableId="151414817">
    <w:abstractNumId w:val="6"/>
  </w:num>
  <w:num w:numId="7" w16cid:durableId="1179276592">
    <w:abstractNumId w:val="9"/>
  </w:num>
  <w:num w:numId="8" w16cid:durableId="521432926">
    <w:abstractNumId w:val="3"/>
  </w:num>
  <w:num w:numId="9" w16cid:durableId="1171598973">
    <w:abstractNumId w:val="2"/>
  </w:num>
  <w:num w:numId="10" w16cid:durableId="11486732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CF2"/>
    <w:rsid w:val="00007AA7"/>
    <w:rsid w:val="001631EA"/>
    <w:rsid w:val="002539C2"/>
    <w:rsid w:val="004F46F5"/>
    <w:rsid w:val="005811AA"/>
    <w:rsid w:val="006F2091"/>
    <w:rsid w:val="007360A5"/>
    <w:rsid w:val="007F61B4"/>
    <w:rsid w:val="00B90025"/>
    <w:rsid w:val="00C6513E"/>
    <w:rsid w:val="00CA34F7"/>
    <w:rsid w:val="00CA3CF2"/>
    <w:rsid w:val="00CF42D4"/>
    <w:rsid w:val="00D146D1"/>
    <w:rsid w:val="00DE509D"/>
    <w:rsid w:val="00F509C2"/>
    <w:rsid w:val="00F80E9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D7429"/>
  <w15:docId w15:val="{28E5E698-A71F-49C4-A834-AACB5A46B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7657"/>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Pr>
      <w:color w:val="000000"/>
    </w:rPr>
    <w:tblPr>
      <w:tblStyleRowBandSize w:val="1"/>
      <w:tblStyleColBandSize w:val="1"/>
      <w:tblCellMar>
        <w:left w:w="108" w:type="dxa"/>
        <w:right w:w="108" w:type="dxa"/>
      </w:tblCellMar>
    </w:tblPr>
  </w:style>
  <w:style w:type="table" w:customStyle="1" w:styleId="a0">
    <w:basedOn w:val="TableNormal1"/>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1"/>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1"/>
    <w:rPr>
      <w:color w:val="000000"/>
    </w:rPr>
    <w:tblPr>
      <w:tblStyleRowBandSize w:val="1"/>
      <w:tblStyleColBandSize w:val="1"/>
      <w:tblCellMar>
        <w:left w:w="108" w:type="dxa"/>
        <w:right w:w="108"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1"/>
    <w:tblPr>
      <w:tblStyleRowBandSize w:val="1"/>
      <w:tblStyleColBandSize w:val="1"/>
      <w:tblCellMar>
        <w:left w:w="115" w:type="dxa"/>
        <w:right w:w="115" w:type="dxa"/>
      </w:tblCellMar>
    </w:tblPr>
  </w:style>
  <w:style w:type="paragraph" w:styleId="Sinespaciado">
    <w:name w:val="No Spacing"/>
    <w:uiPriority w:val="1"/>
    <w:qFormat/>
    <w:rsid w:val="00424E9E"/>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AD65B3"/>
    <w:pPr>
      <w:ind w:left="720"/>
      <w:contextualSpacing/>
    </w:p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4E11D2"/>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4E11D2"/>
  </w:style>
  <w:style w:type="character" w:styleId="Refdenotaalpie">
    <w:name w:val="footnote reference"/>
    <w:aliases w:val="Texto de nota al pie,Appel note de bas de page,Ref. de nota al pie 2,Footnotes refss,Footnote number,referencia nota al pie,BVI fnr,4_G,16 Point,Superscript 6 Point,Texto nota al pie,f,Footnote Reference Char3,Footnote Reference,ftre"/>
    <w:basedOn w:val="Fuentedeprrafopredeter"/>
    <w:link w:val="4GChar"/>
    <w:uiPriority w:val="99"/>
    <w:unhideWhenUsed/>
    <w:qFormat/>
    <w:rsid w:val="004E11D2"/>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E11D2"/>
    <w:pPr>
      <w:jc w:val="both"/>
    </w:pPr>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70665"/>
  </w:style>
  <w:style w:type="character" w:styleId="Hipervnculo">
    <w:name w:val="Hyperlink"/>
    <w:basedOn w:val="Fuentedeprrafopredeter"/>
    <w:uiPriority w:val="99"/>
    <w:unhideWhenUsed/>
    <w:rsid w:val="00C655DE"/>
    <w:rPr>
      <w:color w:val="0000FF" w:themeColor="hyperlink"/>
      <w:u w:val="single"/>
    </w:rPr>
  </w:style>
  <w:style w:type="paragraph" w:styleId="NormalWeb">
    <w:name w:val="Normal (Web)"/>
    <w:basedOn w:val="Normal"/>
    <w:uiPriority w:val="99"/>
    <w:unhideWhenUsed/>
    <w:rsid w:val="006752DC"/>
    <w:pPr>
      <w:spacing w:before="100" w:beforeAutospacing="1" w:after="100" w:afterAutospacing="1"/>
    </w:pPr>
    <w:rPr>
      <w:sz w:val="24"/>
      <w:szCs w:val="24"/>
    </w:rPr>
  </w:style>
  <w:style w:type="character" w:styleId="Mencinsinresolver">
    <w:name w:val="Unresolved Mention"/>
    <w:basedOn w:val="Fuentedeprrafopredeter"/>
    <w:uiPriority w:val="99"/>
    <w:semiHidden/>
    <w:unhideWhenUsed/>
    <w:rsid w:val="00ED06C0"/>
    <w:rPr>
      <w:color w:val="605E5C"/>
      <w:shd w:val="clear" w:color="auto" w:fill="E1DFDD"/>
    </w:rPr>
  </w:style>
  <w:style w:type="table" w:customStyle="1" w:styleId="a4">
    <w:basedOn w:val="TableNormal1"/>
    <w:rPr>
      <w:color w:val="000000"/>
    </w:rPr>
    <w:tblPr>
      <w:tblStyleRowBandSize w:val="1"/>
      <w:tblStyleColBandSize w:val="1"/>
      <w:tblCellMar>
        <w:left w:w="115" w:type="dxa"/>
        <w:right w:w="115" w:type="dxa"/>
      </w:tblCellMar>
    </w:tblPr>
  </w:style>
  <w:style w:type="table" w:customStyle="1" w:styleId="a5">
    <w:basedOn w:val="TableNormal1"/>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6">
    <w:basedOn w:val="TableNormal1"/>
    <w:rPr>
      <w:color w:val="000000"/>
    </w:rPr>
    <w:tblPr>
      <w:tblStyleRowBandSize w:val="1"/>
      <w:tblStyleColBandSize w:val="1"/>
      <w:tblCellMar>
        <w:left w:w="115" w:type="dxa"/>
        <w:right w:w="115" w:type="dxa"/>
      </w:tblCellMar>
    </w:tblPr>
  </w:style>
  <w:style w:type="table" w:styleId="Tablaconcuadrcula">
    <w:name w:val="Table Grid"/>
    <w:basedOn w:val="Tablanormal"/>
    <w:uiPriority w:val="39"/>
    <w:rsid w:val="00E303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
    <w:name w:val="Grid Table 4"/>
    <w:basedOn w:val="Tablanormal"/>
    <w:uiPriority w:val="49"/>
    <w:rsid w:val="004052A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a7">
    <w:basedOn w:val="TableNormal0"/>
    <w:rPr>
      <w:color w:val="000000"/>
    </w:rPr>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9">
    <w:basedOn w:val="TableNormal0"/>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a">
    <w:basedOn w:val="TableNormal0"/>
    <w:rPr>
      <w:color w:val="000000"/>
    </w:rPr>
    <w:tblPr>
      <w:tblStyleRowBandSize w:val="1"/>
      <w:tblStyleColBandSize w:val="1"/>
      <w:tblCellMar>
        <w:left w:w="115" w:type="dxa"/>
        <w:right w:w="115" w:type="dxa"/>
      </w:tblCellMar>
    </w:tblPr>
    <w:tblStylePr w:type="firstRow">
      <w:rPr>
        <w:b/>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rPr>
      <w:tblPr/>
      <w:tcPr>
        <w:tcBorders>
          <w:top w:val="single" w:sz="4" w:space="0" w:color="A5A5A5"/>
        </w:tcBorders>
      </w:tc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b">
    <w:basedOn w:val="TableNormal0"/>
    <w:tblPr>
      <w:tblStyleRowBandSize w:val="1"/>
      <w:tblStyleColBandSize w:val="1"/>
      <w:tblCellMar>
        <w:left w:w="108" w:type="dxa"/>
        <w:right w:w="108" w:type="dxa"/>
      </w:tblCellMar>
    </w:tblPr>
    <w:tblStylePr w:type="firstRow">
      <w:rPr>
        <w:b/>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c">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ibM3C0xgXhaZy6V0vRaI4s48bQ==">AMUW2mV7QCVL8JcNJxE4vsf1XSL53O3DdqhLQoLdkinro4nB3vDIz2tVhjhQ7kp6haUR8XeR6ooDt9fQLSH9Eo3w5Kir04RTW3jtTsOlOc0JclexUqeqHMLW1lEjBfT6FUyStX9WQOxMkHSdqcQi6uifQPjZJTLsi+YDPjlWnfBSt9uxdThtdEkHG5Oax5A4QTIoUYFjyMf0nyLEb3TnCCVHZoDZfCQDLQ==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4891</Words>
  <Characters>26902</Characters>
  <Application>Microsoft Office Word</Application>
  <DocSecurity>0</DocSecurity>
  <Lines>224</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Auxiliar Juridico</dc:creator>
  <cp:lastModifiedBy>Secretario Gral</cp:lastModifiedBy>
  <cp:revision>2</cp:revision>
  <cp:lastPrinted>2022-06-30T17:56:00Z</cp:lastPrinted>
  <dcterms:created xsi:type="dcterms:W3CDTF">2022-06-30T19:40:00Z</dcterms:created>
  <dcterms:modified xsi:type="dcterms:W3CDTF">2022-06-30T19:40:00Z</dcterms:modified>
</cp:coreProperties>
</file>