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CB957" w14:textId="77777777" w:rsidR="00734053" w:rsidRDefault="003763B4">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668F4433" w14:textId="77777777" w:rsidR="00734053" w:rsidRDefault="00734053">
      <w:pPr>
        <w:pBdr>
          <w:top w:val="nil"/>
          <w:left w:val="nil"/>
          <w:bottom w:val="nil"/>
          <w:right w:val="nil"/>
          <w:between w:val="nil"/>
        </w:pBdr>
        <w:ind w:left="3826"/>
        <w:rPr>
          <w:rFonts w:ascii="Arial" w:eastAsia="Arial" w:hAnsi="Arial" w:cs="Arial"/>
          <w:color w:val="000000"/>
          <w:sz w:val="14"/>
          <w:szCs w:val="14"/>
        </w:rPr>
      </w:pPr>
    </w:p>
    <w:p w14:paraId="213853A3" w14:textId="77777777" w:rsidR="00734053" w:rsidRDefault="003763B4">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TEEA-PES-068/2022.</w:t>
      </w:r>
      <w:r>
        <w:rPr>
          <w:rFonts w:ascii="Arial" w:eastAsia="Arial" w:hAnsi="Arial" w:cs="Arial"/>
          <w:b/>
          <w:sz w:val="24"/>
          <w:szCs w:val="24"/>
        </w:rPr>
        <w:t xml:space="preserve"> </w:t>
      </w:r>
    </w:p>
    <w:p w14:paraId="08ED5867" w14:textId="77777777" w:rsidR="00734053" w:rsidRDefault="00734053">
      <w:pPr>
        <w:ind w:left="3826" w:right="36"/>
        <w:jc w:val="both"/>
        <w:rPr>
          <w:rFonts w:ascii="Arial" w:eastAsia="Arial" w:hAnsi="Arial" w:cs="Arial"/>
          <w:b/>
          <w:sz w:val="14"/>
          <w:szCs w:val="14"/>
        </w:rPr>
      </w:pPr>
    </w:p>
    <w:p w14:paraId="14652623" w14:textId="77777777" w:rsidR="00734053" w:rsidRDefault="003763B4">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PARTIDO ACCIÓN NACIONAL.</w:t>
      </w:r>
    </w:p>
    <w:p w14:paraId="0774C178" w14:textId="77777777" w:rsidR="00734053" w:rsidRDefault="00734053">
      <w:pPr>
        <w:pBdr>
          <w:top w:val="nil"/>
          <w:left w:val="nil"/>
          <w:bottom w:val="nil"/>
          <w:right w:val="nil"/>
          <w:between w:val="nil"/>
        </w:pBdr>
        <w:ind w:left="3826"/>
        <w:rPr>
          <w:rFonts w:ascii="Arial" w:eastAsia="Arial" w:hAnsi="Arial" w:cs="Arial"/>
          <w:color w:val="000000"/>
          <w:sz w:val="14"/>
          <w:szCs w:val="14"/>
        </w:rPr>
      </w:pPr>
    </w:p>
    <w:p w14:paraId="252EC747" w14:textId="77777777" w:rsidR="00734053" w:rsidRDefault="003763B4">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0E9FA87E" w14:textId="77777777" w:rsidR="00734053" w:rsidRDefault="00734053">
      <w:pPr>
        <w:pBdr>
          <w:top w:val="nil"/>
          <w:left w:val="nil"/>
          <w:bottom w:val="nil"/>
          <w:right w:val="nil"/>
          <w:between w:val="nil"/>
        </w:pBdr>
        <w:ind w:left="3826"/>
        <w:rPr>
          <w:rFonts w:ascii="Arial" w:eastAsia="Arial" w:hAnsi="Arial" w:cs="Arial"/>
          <w:color w:val="000000"/>
          <w:sz w:val="14"/>
          <w:szCs w:val="14"/>
        </w:rPr>
      </w:pPr>
    </w:p>
    <w:p w14:paraId="1E0F9802" w14:textId="77777777" w:rsidR="00734053" w:rsidRDefault="003763B4">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7473AF9" w14:textId="77777777" w:rsidR="00734053" w:rsidRDefault="00734053">
      <w:pPr>
        <w:pBdr>
          <w:top w:val="nil"/>
          <w:left w:val="nil"/>
          <w:bottom w:val="nil"/>
          <w:right w:val="nil"/>
          <w:between w:val="nil"/>
        </w:pBdr>
        <w:ind w:left="3826"/>
        <w:rPr>
          <w:rFonts w:ascii="Arial" w:eastAsia="Arial" w:hAnsi="Arial" w:cs="Arial"/>
          <w:color w:val="000000"/>
          <w:sz w:val="14"/>
          <w:szCs w:val="14"/>
        </w:rPr>
      </w:pPr>
    </w:p>
    <w:p w14:paraId="62AE4FC7" w14:textId="77777777" w:rsidR="00734053" w:rsidRDefault="003763B4">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4375FA8" w14:textId="77777777" w:rsidR="00734053" w:rsidRDefault="00734053">
      <w:pPr>
        <w:ind w:left="3826" w:right="36"/>
        <w:jc w:val="both"/>
        <w:rPr>
          <w:rFonts w:ascii="Arial" w:eastAsia="Arial" w:hAnsi="Arial" w:cs="Arial"/>
          <w:sz w:val="14"/>
          <w:szCs w:val="14"/>
        </w:rPr>
      </w:pPr>
    </w:p>
    <w:p w14:paraId="6B5D8C1E" w14:textId="77777777" w:rsidR="00734053" w:rsidRDefault="003763B4">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7ED53DCD" w14:textId="77777777" w:rsidR="00734053" w:rsidRDefault="00734053">
      <w:pPr>
        <w:pBdr>
          <w:top w:val="nil"/>
          <w:left w:val="nil"/>
          <w:bottom w:val="nil"/>
          <w:right w:val="nil"/>
          <w:between w:val="nil"/>
        </w:pBdr>
        <w:rPr>
          <w:color w:val="000000"/>
        </w:rPr>
      </w:pPr>
    </w:p>
    <w:p w14:paraId="55B0D8AF" w14:textId="77777777" w:rsidR="00734053" w:rsidRDefault="00734053">
      <w:pPr>
        <w:pBdr>
          <w:top w:val="nil"/>
          <w:left w:val="nil"/>
          <w:bottom w:val="nil"/>
          <w:right w:val="nil"/>
          <w:between w:val="nil"/>
        </w:pBdr>
        <w:rPr>
          <w:color w:val="000000"/>
        </w:rPr>
      </w:pPr>
    </w:p>
    <w:p w14:paraId="7C758B1C" w14:textId="01A1F547" w:rsidR="00734053" w:rsidRDefault="003763B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w:t>
      </w:r>
      <w:r w:rsidRPr="006E1662">
        <w:rPr>
          <w:rFonts w:ascii="Arial" w:eastAsia="Arial" w:hAnsi="Arial" w:cs="Arial"/>
          <w:sz w:val="24"/>
          <w:szCs w:val="24"/>
        </w:rPr>
        <w:t xml:space="preserve">Aguascalientes, </w:t>
      </w:r>
      <w:r w:rsidRPr="006E1662">
        <w:rPr>
          <w:rFonts w:ascii="Arial" w:eastAsia="Arial" w:hAnsi="Arial" w:cs="Arial"/>
          <w:color w:val="000000"/>
          <w:sz w:val="24"/>
          <w:szCs w:val="24"/>
        </w:rPr>
        <w:t xml:space="preserve">a </w:t>
      </w:r>
      <w:r w:rsidR="009155F2" w:rsidRPr="006E1662">
        <w:rPr>
          <w:rFonts w:ascii="Arial" w:eastAsia="Arial" w:hAnsi="Arial" w:cs="Arial"/>
          <w:sz w:val="24"/>
          <w:szCs w:val="24"/>
        </w:rPr>
        <w:t>30</w:t>
      </w:r>
      <w:r w:rsidRPr="006E1662">
        <w:rPr>
          <w:rFonts w:ascii="Arial" w:eastAsia="Arial" w:hAnsi="Arial" w:cs="Arial"/>
          <w:sz w:val="24"/>
          <w:szCs w:val="24"/>
        </w:rPr>
        <w:t xml:space="preserve"> </w:t>
      </w:r>
      <w:r w:rsidRPr="006E1662">
        <w:rPr>
          <w:rFonts w:ascii="Arial" w:eastAsia="Arial" w:hAnsi="Arial" w:cs="Arial"/>
          <w:color w:val="000000"/>
          <w:sz w:val="24"/>
          <w:szCs w:val="24"/>
        </w:rPr>
        <w:t>de junio de 2022</w:t>
      </w:r>
      <w:r>
        <w:rPr>
          <w:rFonts w:ascii="Arial" w:eastAsia="Arial" w:hAnsi="Arial" w:cs="Arial"/>
          <w:sz w:val="24"/>
          <w:szCs w:val="24"/>
        </w:rPr>
        <w:t>.</w:t>
      </w:r>
    </w:p>
    <w:p w14:paraId="4466B3B2" w14:textId="77777777" w:rsidR="00734053" w:rsidRDefault="00734053">
      <w:pPr>
        <w:pBdr>
          <w:top w:val="nil"/>
          <w:left w:val="nil"/>
          <w:bottom w:val="nil"/>
          <w:right w:val="nil"/>
          <w:between w:val="nil"/>
        </w:pBdr>
        <w:rPr>
          <w:b/>
          <w:color w:val="000000"/>
          <w:sz w:val="18"/>
          <w:szCs w:val="18"/>
        </w:rPr>
      </w:pPr>
    </w:p>
    <w:p w14:paraId="33089DB0" w14:textId="77777777" w:rsidR="00734053" w:rsidRDefault="00734053">
      <w:pPr>
        <w:pBdr>
          <w:top w:val="nil"/>
          <w:left w:val="nil"/>
          <w:bottom w:val="nil"/>
          <w:right w:val="nil"/>
          <w:between w:val="nil"/>
        </w:pBdr>
        <w:rPr>
          <w:color w:val="000000"/>
        </w:rPr>
      </w:pPr>
    </w:p>
    <w:p w14:paraId="6C964399" w14:textId="77777777" w:rsidR="00734053" w:rsidRDefault="003763B4">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inexistencia de las infracciones atribuidas a la entonces candidata Nora Ruvalcaba Gámez, consistentes en coacción y uso indebido de programas sociales, derivado del supuesto ofrecimiento a la ciudadanía de recibir dinero y beneficios de programas públicos del gobierno Federal, a cambio de su voto en favor de la candidata denunciada y, </w:t>
      </w:r>
      <w:r>
        <w:rPr>
          <w:rFonts w:ascii="Arial" w:eastAsia="Arial" w:hAnsi="Arial" w:cs="Arial"/>
          <w:b/>
          <w:i/>
          <w:sz w:val="24"/>
          <w:szCs w:val="24"/>
        </w:rPr>
        <w:t>b)</w:t>
      </w:r>
      <w:r>
        <w:rPr>
          <w:rFonts w:ascii="Arial" w:eastAsia="Arial" w:hAnsi="Arial" w:cs="Arial"/>
          <w:sz w:val="24"/>
          <w:szCs w:val="24"/>
        </w:rPr>
        <w:t xml:space="preserve"> la inexistencia de culpa </w:t>
      </w:r>
      <w:r w:rsidRPr="00C551D6">
        <w:rPr>
          <w:rFonts w:ascii="Arial" w:eastAsia="Arial" w:hAnsi="Arial" w:cs="Arial"/>
          <w:i/>
          <w:iCs/>
          <w:sz w:val="24"/>
          <w:szCs w:val="24"/>
        </w:rPr>
        <w:t>in vigilando</w:t>
      </w:r>
      <w:r>
        <w:rPr>
          <w:rFonts w:ascii="Arial" w:eastAsia="Arial" w:hAnsi="Arial" w:cs="Arial"/>
          <w:sz w:val="24"/>
          <w:szCs w:val="24"/>
        </w:rPr>
        <w:t xml:space="preserve"> a Morena. </w:t>
      </w:r>
    </w:p>
    <w:p w14:paraId="5BAC3C8A" w14:textId="77777777" w:rsidR="00734053" w:rsidRDefault="00734053">
      <w:pPr>
        <w:jc w:val="both"/>
        <w:rPr>
          <w:rFonts w:ascii="Arial" w:eastAsia="Arial" w:hAnsi="Arial" w:cs="Arial"/>
          <w:sz w:val="24"/>
          <w:szCs w:val="24"/>
        </w:rPr>
      </w:pPr>
    </w:p>
    <w:p w14:paraId="799B72FD"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rPr>
        <w:t xml:space="preserve">Ello porque este órgano jurisdiccional advierte que, en atención a la prueba ofrecida por la parte denunciante -consistente en un audio obtenido </w:t>
      </w:r>
      <w:r>
        <w:rPr>
          <w:rFonts w:ascii="Arial" w:eastAsia="Arial" w:hAnsi="Arial" w:cs="Arial"/>
          <w:sz w:val="24"/>
          <w:szCs w:val="24"/>
          <w:highlight w:val="white"/>
        </w:rPr>
        <w:t>a través la plataforma de mensajería instantánea de WhatsApp- no se logra acreditar que los participantes de la conversación involucrada hubiesen consentido</w:t>
      </w:r>
      <w:r>
        <w:rPr>
          <w:rFonts w:ascii="Arial" w:eastAsia="Arial" w:hAnsi="Arial" w:cs="Arial"/>
          <w:b/>
          <w:sz w:val="24"/>
          <w:szCs w:val="24"/>
          <w:highlight w:val="white"/>
        </w:rPr>
        <w:t xml:space="preserve"> levantar el secreto de su comunicación</w:t>
      </w:r>
      <w:r>
        <w:rPr>
          <w:rFonts w:ascii="Arial" w:eastAsia="Arial" w:hAnsi="Arial" w:cs="Arial"/>
          <w:sz w:val="24"/>
          <w:szCs w:val="24"/>
          <w:highlight w:val="white"/>
        </w:rPr>
        <w:t xml:space="preserve">, por tanto el medio de prueba resulta ilícito y debe ser excluido de cualquier valoración probatoria, al existir el riesgo de vulnerar lo previsto en el artículo 16 de la Constitución general, en cuanto al derecho fundamental de la inviolabilidad de las comunicaciones privadas. </w:t>
      </w:r>
    </w:p>
    <w:p w14:paraId="5B975396" w14:textId="77777777" w:rsidR="00734053" w:rsidRDefault="00734053">
      <w:pPr>
        <w:spacing w:line="360" w:lineRule="auto"/>
        <w:jc w:val="both"/>
        <w:rPr>
          <w:rFonts w:ascii="Arial" w:eastAsia="Arial" w:hAnsi="Arial" w:cs="Arial"/>
          <w:sz w:val="24"/>
          <w:szCs w:val="24"/>
        </w:rPr>
      </w:pPr>
    </w:p>
    <w:p w14:paraId="576E8F1C" w14:textId="77777777" w:rsidR="00734053" w:rsidRDefault="00734053">
      <w:pPr>
        <w:pBdr>
          <w:top w:val="nil"/>
          <w:left w:val="nil"/>
          <w:bottom w:val="nil"/>
          <w:right w:val="nil"/>
          <w:between w:val="nil"/>
        </w:pBdr>
        <w:rPr>
          <w:color w:val="000000"/>
        </w:rPr>
      </w:pPr>
    </w:p>
    <w:p w14:paraId="47751B69" w14:textId="77777777" w:rsidR="00734053" w:rsidRDefault="003763B4">
      <w:pPr>
        <w:spacing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72A956BF" w14:textId="77777777" w:rsidR="00734053" w:rsidRDefault="003763B4">
      <w:pPr>
        <w:ind w:left="993" w:right="616"/>
        <w:rPr>
          <w:rFonts w:ascii="Arial" w:eastAsia="Arial" w:hAnsi="Arial" w:cs="Arial"/>
          <w:b/>
          <w:sz w:val="16"/>
          <w:szCs w:val="16"/>
        </w:rPr>
      </w:pPr>
      <w:r>
        <w:rPr>
          <w:rFonts w:ascii="Arial" w:eastAsia="Arial" w:hAnsi="Arial" w:cs="Arial"/>
          <w:b/>
          <w:sz w:val="16"/>
          <w:szCs w:val="16"/>
        </w:rPr>
        <w:t>Contexto del caso ………………………………………………………………………………………</w:t>
      </w:r>
      <w:proofErr w:type="gramStart"/>
      <w:r>
        <w:rPr>
          <w:rFonts w:ascii="Arial" w:eastAsia="Arial" w:hAnsi="Arial" w:cs="Arial"/>
          <w:b/>
          <w:sz w:val="16"/>
          <w:szCs w:val="16"/>
        </w:rPr>
        <w:t>…….</w:t>
      </w:r>
      <w:proofErr w:type="gramEnd"/>
      <w:r>
        <w:rPr>
          <w:rFonts w:ascii="Arial" w:eastAsia="Arial" w:hAnsi="Arial" w:cs="Arial"/>
          <w:b/>
          <w:sz w:val="16"/>
          <w:szCs w:val="16"/>
        </w:rPr>
        <w:t>.2</w:t>
      </w:r>
    </w:p>
    <w:p w14:paraId="6571C1CA" w14:textId="77777777" w:rsidR="00734053" w:rsidRDefault="003763B4">
      <w:pPr>
        <w:ind w:left="993" w:right="616"/>
        <w:rPr>
          <w:rFonts w:ascii="Arial" w:eastAsia="Arial" w:hAnsi="Arial" w:cs="Arial"/>
          <w:b/>
          <w:sz w:val="16"/>
          <w:szCs w:val="16"/>
        </w:rPr>
      </w:pPr>
      <w:r>
        <w:rPr>
          <w:rFonts w:ascii="Arial" w:eastAsia="Arial" w:hAnsi="Arial" w:cs="Arial"/>
          <w:b/>
          <w:sz w:val="16"/>
          <w:szCs w:val="16"/>
        </w:rPr>
        <w:t>Competencia ………………………………………………………………………………………………......</w:t>
      </w:r>
      <w:r>
        <w:rPr>
          <w:rFonts w:ascii="Arial" w:eastAsia="Arial" w:hAnsi="Arial" w:cs="Arial"/>
          <w:b/>
          <w:sz w:val="12"/>
          <w:szCs w:val="12"/>
        </w:rPr>
        <w:t>.</w:t>
      </w:r>
      <w:r>
        <w:rPr>
          <w:rFonts w:ascii="Arial" w:eastAsia="Arial" w:hAnsi="Arial" w:cs="Arial"/>
          <w:b/>
          <w:sz w:val="16"/>
          <w:szCs w:val="16"/>
        </w:rPr>
        <w:t>3</w:t>
      </w:r>
    </w:p>
    <w:p w14:paraId="58244B82" w14:textId="77777777" w:rsidR="00734053" w:rsidRDefault="003763B4">
      <w:pPr>
        <w:ind w:left="993" w:right="616"/>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14"/>
          <w:szCs w:val="14"/>
        </w:rPr>
        <w:t>…</w:t>
      </w:r>
      <w:r>
        <w:rPr>
          <w:rFonts w:ascii="Arial" w:eastAsia="Arial" w:hAnsi="Arial" w:cs="Arial"/>
          <w:b/>
          <w:sz w:val="16"/>
          <w:szCs w:val="16"/>
        </w:rPr>
        <w:t>3</w:t>
      </w:r>
    </w:p>
    <w:p w14:paraId="03718E00" w14:textId="77777777" w:rsidR="00734053" w:rsidRDefault="003763B4">
      <w:pPr>
        <w:ind w:left="993" w:right="616"/>
        <w:rPr>
          <w:rFonts w:ascii="Arial" w:eastAsia="Arial" w:hAnsi="Arial" w:cs="Arial"/>
          <w:b/>
          <w:sz w:val="16"/>
          <w:szCs w:val="16"/>
        </w:rPr>
      </w:pPr>
      <w:r>
        <w:rPr>
          <w:rFonts w:ascii="Arial" w:eastAsia="Arial" w:hAnsi="Arial" w:cs="Arial"/>
          <w:b/>
          <w:sz w:val="16"/>
          <w:szCs w:val="16"/>
        </w:rPr>
        <w:t>Causales de improcedencia …………………………………………………………………………………3</w:t>
      </w:r>
    </w:p>
    <w:p w14:paraId="36614C53" w14:textId="77777777" w:rsidR="00734053" w:rsidRDefault="003763B4">
      <w:pPr>
        <w:ind w:left="993" w:right="616"/>
        <w:rPr>
          <w:rFonts w:ascii="Arial" w:eastAsia="Arial" w:hAnsi="Arial" w:cs="Arial"/>
          <w:b/>
          <w:sz w:val="16"/>
          <w:szCs w:val="16"/>
        </w:rPr>
      </w:pPr>
      <w:r>
        <w:rPr>
          <w:rFonts w:ascii="Arial" w:eastAsia="Arial" w:hAnsi="Arial" w:cs="Arial"/>
          <w:b/>
          <w:sz w:val="16"/>
          <w:szCs w:val="16"/>
        </w:rPr>
        <w:t>Estudio de fondo……………………………………………………………………………</w:t>
      </w:r>
      <w:proofErr w:type="gramStart"/>
      <w:r>
        <w:rPr>
          <w:rFonts w:ascii="Arial" w:eastAsia="Arial" w:hAnsi="Arial" w:cs="Arial"/>
          <w:b/>
          <w:sz w:val="16"/>
          <w:szCs w:val="16"/>
        </w:rPr>
        <w:t>…....</w:t>
      </w:r>
      <w:proofErr w:type="gramEnd"/>
      <w:r>
        <w:rPr>
          <w:rFonts w:ascii="Arial" w:eastAsia="Arial" w:hAnsi="Arial" w:cs="Arial"/>
          <w:b/>
          <w:sz w:val="16"/>
          <w:szCs w:val="16"/>
        </w:rPr>
        <w:t>.…………...</w:t>
      </w:r>
      <w:r>
        <w:rPr>
          <w:rFonts w:ascii="Arial" w:eastAsia="Arial" w:hAnsi="Arial" w:cs="Arial"/>
          <w:b/>
          <w:sz w:val="6"/>
          <w:szCs w:val="6"/>
        </w:rPr>
        <w:t>.</w:t>
      </w:r>
      <w:r>
        <w:rPr>
          <w:rFonts w:ascii="Arial" w:eastAsia="Arial" w:hAnsi="Arial" w:cs="Arial"/>
          <w:b/>
          <w:sz w:val="16"/>
          <w:szCs w:val="16"/>
        </w:rPr>
        <w:t>4</w:t>
      </w:r>
    </w:p>
    <w:p w14:paraId="4DB9DA14" w14:textId="77777777" w:rsidR="00734053" w:rsidRDefault="003763B4">
      <w:pPr>
        <w:ind w:left="993" w:right="616"/>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r>
        <w:rPr>
          <w:rFonts w:ascii="Arial" w:eastAsia="Arial" w:hAnsi="Arial" w:cs="Arial"/>
          <w:b/>
          <w:sz w:val="4"/>
          <w:szCs w:val="4"/>
        </w:rPr>
        <w:t>.</w:t>
      </w:r>
      <w:proofErr w:type="gramEnd"/>
      <w:r>
        <w:rPr>
          <w:rFonts w:ascii="Arial" w:eastAsia="Arial" w:hAnsi="Arial" w:cs="Arial"/>
          <w:b/>
          <w:sz w:val="16"/>
          <w:szCs w:val="16"/>
        </w:rPr>
        <w:t>6</w:t>
      </w:r>
    </w:p>
    <w:p w14:paraId="6DF00781" w14:textId="77777777" w:rsidR="00734053" w:rsidRDefault="003763B4">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7</w:t>
      </w:r>
    </w:p>
    <w:p w14:paraId="2C5CE2B1" w14:textId="77777777" w:rsidR="00734053" w:rsidRDefault="003763B4">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Pr>
          <w:rFonts w:ascii="Arial" w:eastAsia="Arial" w:hAnsi="Arial" w:cs="Arial"/>
          <w:b/>
          <w:sz w:val="16"/>
          <w:szCs w:val="16"/>
        </w:rPr>
        <w:t>7</w:t>
      </w:r>
    </w:p>
    <w:p w14:paraId="0271597A" w14:textId="77777777" w:rsidR="00734053" w:rsidRDefault="003763B4">
      <w:pPr>
        <w:tabs>
          <w:tab w:val="right" w:pos="8263"/>
          <w:tab w:val="left" w:pos="8789"/>
        </w:tabs>
        <w:ind w:left="993" w:right="616"/>
        <w:rPr>
          <w:rFonts w:ascii="Arial" w:eastAsia="Arial" w:hAnsi="Arial" w:cs="Arial"/>
          <w:b/>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b/>
          <w:sz w:val="16"/>
          <w:szCs w:val="16"/>
        </w:rPr>
        <w:t>19</w:t>
      </w:r>
    </w:p>
    <w:p w14:paraId="51824123" w14:textId="77777777" w:rsidR="00734053" w:rsidRDefault="003763B4">
      <w:pPr>
        <w:tabs>
          <w:tab w:val="right" w:pos="8263"/>
        </w:tabs>
        <w:ind w:left="993" w:right="616"/>
        <w:rPr>
          <w:rFonts w:ascii="Arial" w:eastAsia="Arial" w:hAnsi="Arial" w:cs="Arial"/>
          <w:b/>
          <w:sz w:val="16"/>
          <w:szCs w:val="16"/>
        </w:rPr>
      </w:pPr>
      <w:proofErr w:type="gramStart"/>
      <w:r>
        <w:rPr>
          <w:rFonts w:ascii="Arial" w:eastAsia="Arial" w:hAnsi="Arial" w:cs="Arial"/>
          <w:b/>
          <w:sz w:val="16"/>
          <w:szCs w:val="16"/>
        </w:rPr>
        <w:t>Resolutivos.…</w:t>
      </w:r>
      <w:proofErr w:type="gramEnd"/>
      <w:r>
        <w:rPr>
          <w:rFonts w:ascii="Arial" w:eastAsia="Arial" w:hAnsi="Arial" w:cs="Arial"/>
          <w:b/>
          <w:sz w:val="16"/>
          <w:szCs w:val="16"/>
        </w:rPr>
        <w:t>………………………………………………………………………………….....…………...19</w:t>
      </w:r>
    </w:p>
    <w:p w14:paraId="0D09AED1" w14:textId="77777777" w:rsidR="00734053" w:rsidRDefault="00734053">
      <w:pPr>
        <w:rPr>
          <w:rFonts w:ascii="Arial" w:eastAsia="Arial" w:hAnsi="Arial" w:cs="Arial"/>
          <w:b/>
          <w:sz w:val="16"/>
          <w:szCs w:val="16"/>
        </w:rPr>
      </w:pPr>
    </w:p>
    <w:p w14:paraId="47843CE6" w14:textId="77777777" w:rsidR="00734053" w:rsidRDefault="00734053">
      <w:pPr>
        <w:spacing w:line="360" w:lineRule="auto"/>
        <w:ind w:left="3881" w:right="2324" w:hanging="140"/>
        <w:rPr>
          <w:rFonts w:ascii="Arial" w:eastAsia="Arial" w:hAnsi="Arial" w:cs="Arial"/>
          <w:b/>
          <w:sz w:val="16"/>
          <w:szCs w:val="16"/>
        </w:rPr>
      </w:pPr>
    </w:p>
    <w:p w14:paraId="37212D81" w14:textId="77777777" w:rsidR="00734053" w:rsidRDefault="00734053">
      <w:pPr>
        <w:spacing w:line="360" w:lineRule="auto"/>
        <w:ind w:left="3881" w:right="2324" w:hanging="140"/>
        <w:rPr>
          <w:rFonts w:ascii="Arial" w:eastAsia="Arial" w:hAnsi="Arial" w:cs="Arial"/>
          <w:b/>
          <w:sz w:val="16"/>
          <w:szCs w:val="16"/>
        </w:rPr>
      </w:pPr>
    </w:p>
    <w:p w14:paraId="0EDB8190" w14:textId="77777777" w:rsidR="00734053" w:rsidRDefault="00734053">
      <w:pPr>
        <w:spacing w:line="360" w:lineRule="auto"/>
        <w:ind w:left="3881" w:right="2324" w:hanging="140"/>
        <w:rPr>
          <w:rFonts w:ascii="Arial" w:eastAsia="Arial" w:hAnsi="Arial" w:cs="Arial"/>
          <w:b/>
          <w:sz w:val="16"/>
          <w:szCs w:val="16"/>
        </w:rPr>
      </w:pPr>
    </w:p>
    <w:p w14:paraId="160620AC" w14:textId="77777777" w:rsidR="00734053" w:rsidRDefault="00734053">
      <w:pPr>
        <w:spacing w:line="360" w:lineRule="auto"/>
        <w:ind w:left="3881" w:right="2324" w:hanging="140"/>
        <w:rPr>
          <w:rFonts w:ascii="Arial" w:eastAsia="Arial" w:hAnsi="Arial" w:cs="Arial"/>
          <w:b/>
          <w:sz w:val="16"/>
          <w:szCs w:val="16"/>
        </w:rPr>
      </w:pPr>
    </w:p>
    <w:p w14:paraId="0420122C" w14:textId="77777777" w:rsidR="00734053" w:rsidRDefault="00734053">
      <w:pPr>
        <w:spacing w:line="360" w:lineRule="auto"/>
        <w:ind w:left="3881" w:right="2324" w:hanging="140"/>
        <w:rPr>
          <w:rFonts w:ascii="Arial" w:eastAsia="Arial" w:hAnsi="Arial" w:cs="Arial"/>
          <w:b/>
          <w:sz w:val="16"/>
          <w:szCs w:val="16"/>
        </w:rPr>
      </w:pPr>
    </w:p>
    <w:p w14:paraId="5D65D17D" w14:textId="77777777" w:rsidR="00734053" w:rsidRDefault="00734053">
      <w:pPr>
        <w:spacing w:line="360" w:lineRule="auto"/>
        <w:ind w:left="3881" w:right="2324" w:hanging="140"/>
        <w:rPr>
          <w:rFonts w:ascii="Arial" w:eastAsia="Arial" w:hAnsi="Arial" w:cs="Arial"/>
          <w:b/>
          <w:sz w:val="16"/>
          <w:szCs w:val="16"/>
        </w:rPr>
      </w:pPr>
    </w:p>
    <w:p w14:paraId="26228865" w14:textId="77777777" w:rsidR="00734053" w:rsidRDefault="00734053">
      <w:pPr>
        <w:spacing w:line="360" w:lineRule="auto"/>
        <w:ind w:left="3881" w:right="2324" w:hanging="140"/>
        <w:rPr>
          <w:rFonts w:ascii="Arial" w:eastAsia="Arial" w:hAnsi="Arial" w:cs="Arial"/>
          <w:b/>
          <w:sz w:val="16"/>
          <w:szCs w:val="16"/>
        </w:rPr>
      </w:pPr>
    </w:p>
    <w:p w14:paraId="15D75852" w14:textId="77777777" w:rsidR="00734053" w:rsidRDefault="003763B4">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ff6"/>
        <w:tblW w:w="7370" w:type="dxa"/>
        <w:tblInd w:w="851" w:type="dxa"/>
        <w:tblLayout w:type="fixed"/>
        <w:tblLook w:val="0400" w:firstRow="0" w:lastRow="0" w:firstColumn="0" w:lastColumn="0" w:noHBand="0" w:noVBand="1"/>
      </w:tblPr>
      <w:tblGrid>
        <w:gridCol w:w="1843"/>
        <w:gridCol w:w="5527"/>
      </w:tblGrid>
      <w:tr w:rsidR="00734053" w14:paraId="5F72D379" w14:textId="77777777">
        <w:trPr>
          <w:trHeight w:val="3670"/>
        </w:trPr>
        <w:tc>
          <w:tcPr>
            <w:tcW w:w="1843" w:type="dxa"/>
            <w:shd w:val="clear" w:color="auto" w:fill="auto"/>
          </w:tcPr>
          <w:p w14:paraId="0163FC2A"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73CD7779"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2C6D6135"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B370432"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08A8D91F"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p w14:paraId="509E1D8D"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5CE09944"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2F64A6E3"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43631C7E"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4C48F94C"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2690A530"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161DEE58"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154D5986"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PRD:</w:t>
            </w:r>
          </w:p>
          <w:p w14:paraId="53701BF5"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0EED5B47" w14:textId="77777777" w:rsidR="00734053" w:rsidRDefault="003763B4">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tc>
        <w:tc>
          <w:tcPr>
            <w:tcW w:w="5528" w:type="dxa"/>
            <w:shd w:val="clear" w:color="auto" w:fill="auto"/>
          </w:tcPr>
          <w:p w14:paraId="42D35B08"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 y María Teresa Jiménez Esquivel.</w:t>
            </w:r>
          </w:p>
          <w:p w14:paraId="41580A23"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del estado. </w:t>
            </w:r>
          </w:p>
          <w:p w14:paraId="6989BE73"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645C2488"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3DF25EAE"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p w14:paraId="16271AEC"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75407DD0"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4627899A"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75D6A84B"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47032CCC"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5FDA6925"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5900A4E1"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08C22FEC"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Partido de la Revolución Democrática.</w:t>
            </w:r>
          </w:p>
          <w:p w14:paraId="1CB51E98"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6B6366FC" w14:textId="77777777" w:rsidR="00734053" w:rsidRDefault="003763B4">
            <w:pPr>
              <w:spacing w:line="276" w:lineRule="auto"/>
              <w:ind w:right="-257"/>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tc>
      </w:tr>
    </w:tbl>
    <w:p w14:paraId="5327A199" w14:textId="77777777" w:rsidR="00734053" w:rsidRDefault="003763B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326F3FDA" w14:textId="77777777" w:rsidR="00734053" w:rsidRDefault="00734053">
      <w:pPr>
        <w:pBdr>
          <w:top w:val="nil"/>
          <w:left w:val="nil"/>
          <w:bottom w:val="nil"/>
          <w:right w:val="nil"/>
          <w:between w:val="nil"/>
        </w:pBdr>
        <w:rPr>
          <w:color w:val="000000"/>
        </w:rPr>
      </w:pPr>
    </w:p>
    <w:p w14:paraId="70F15CCB" w14:textId="77777777" w:rsidR="00734053" w:rsidRDefault="003763B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7681C656" w14:textId="77777777" w:rsidR="00734053" w:rsidRDefault="003763B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4 de junio, el ciudadano Israel Ángel Ramírez, representante suplente del PAN ante el Consejo General, presentó una queja en contra de Nora Ruvalcaba Gámez, candidata de Morena a la gubernatura del estado, así como del referido instituto político, por el presunto indebido uso de recursos públicos y de programas sociales con fines electorales, derivado de un video obtenido vía WhatsApp, en el cual una persona describe una serie de acciones tendientes a coaccionar el voto en favor de la candidata denunciada a cambio de obtener una serie de beneficios. A su vez, exigió a la autoridad administrativa la adopción de medidas cautelares.</w:t>
      </w:r>
    </w:p>
    <w:p w14:paraId="6BA2D557" w14:textId="77777777" w:rsidR="00734053" w:rsidRDefault="003763B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y admisión. </w:t>
      </w:r>
      <w:r>
        <w:rPr>
          <w:rFonts w:ascii="Arial" w:eastAsia="Arial" w:hAnsi="Arial" w:cs="Arial"/>
          <w:sz w:val="24"/>
          <w:szCs w:val="24"/>
        </w:rPr>
        <w:t xml:space="preserve">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IEE/PES/096/2022, y el 13 del mismo mes, admitió a trámite la denuncia y, a su vez, fijó fecha para la celebración de la audiencia de pruebas y alegatos.</w:t>
      </w:r>
    </w:p>
    <w:p w14:paraId="60DF4D6F" w14:textId="77777777" w:rsidR="00734053" w:rsidRDefault="003763B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4. Valoración de medidas cautelares. </w:t>
      </w:r>
      <w:r>
        <w:rPr>
          <w:rFonts w:ascii="Arial" w:eastAsia="Arial" w:hAnsi="Arial" w:cs="Arial"/>
          <w:sz w:val="24"/>
          <w:szCs w:val="24"/>
        </w:rPr>
        <w:t xml:space="preserve">En igual fecha,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determinó no proponer la adopción de medidas cautelares a la Comisión de Quejas y Denuncias del Instituto Local, ello, al considerar que en atención a su naturaleza, estas no pueden recaer sobre hechos futuros de realización incierta.</w:t>
      </w:r>
    </w:p>
    <w:p w14:paraId="71AA8BA4" w14:textId="77777777" w:rsidR="00734053" w:rsidRDefault="003763B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lastRenderedPageBreak/>
        <w:t>5. Audiencia de alegatos y remisión del expediente.</w:t>
      </w:r>
      <w:r>
        <w:rPr>
          <w:rFonts w:ascii="Arial" w:eastAsia="Arial" w:hAnsi="Arial" w:cs="Arial"/>
          <w:sz w:val="24"/>
          <w:szCs w:val="24"/>
        </w:rPr>
        <w:t xml:space="preserve"> El 17 de junio, la Secretaría Ejecutiva celebró la audiencia de pruebas y alegatos, y posteriormente, rindió el informe circunstanciado. Al día siguiente, remitió el expediente a este Tribunal. </w:t>
      </w:r>
    </w:p>
    <w:p w14:paraId="36BBF722" w14:textId="77777777" w:rsidR="00734053" w:rsidRDefault="003763B4">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6. Turno, radicación y formulación del proyecto de resolución TEEA-PES-068/2022. </w:t>
      </w:r>
      <w:r>
        <w:rPr>
          <w:rFonts w:ascii="Arial" w:eastAsia="Arial" w:hAnsi="Arial" w:cs="Arial"/>
          <w:sz w:val="24"/>
          <w:szCs w:val="24"/>
        </w:rPr>
        <w:t xml:space="preserve">El mismo día,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TEEA-PES-068/2022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6404A433" w14:textId="77777777" w:rsidR="00734053" w:rsidRDefault="003763B4">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Este Tribunal es competente para resolver el presente procedimiento especial sancionador, porque se relaciona con la posible vulneración a los artículos 7, párrafo segundo, 248, fracción V, y 268, fracción I, del Código Electoral, derivado de un video obtenido vía WhatsApp, en el que una persona supuestamente describe acciones tendientes a coaccionar el voto del electorado en favor de la entonces candidata Nora Ruvalcaba Gámez, a cambio de recibir dinero y beneficiarse de programas sociales del Ejecutivo Federal</w:t>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274 y 275 del Código Electoral.</w:t>
      </w:r>
    </w:p>
    <w:p w14:paraId="211C11FE" w14:textId="77777777" w:rsidR="00734053" w:rsidRDefault="00734053">
      <w:pPr>
        <w:pBdr>
          <w:top w:val="nil"/>
          <w:left w:val="nil"/>
          <w:bottom w:val="nil"/>
          <w:right w:val="nil"/>
          <w:between w:val="nil"/>
        </w:pBdr>
        <w:rPr>
          <w:color w:val="000000"/>
        </w:rPr>
      </w:pPr>
    </w:p>
    <w:p w14:paraId="4CEB1277"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71304D39" w14:textId="77777777" w:rsidR="00734053" w:rsidRDefault="00734053">
      <w:pPr>
        <w:pBdr>
          <w:top w:val="nil"/>
          <w:left w:val="nil"/>
          <w:bottom w:val="nil"/>
          <w:right w:val="nil"/>
          <w:between w:val="nil"/>
        </w:pBdr>
        <w:rPr>
          <w:color w:val="000000"/>
        </w:rPr>
      </w:pPr>
    </w:p>
    <w:p w14:paraId="650F766C"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Morena,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los elementos de prueba suficientes que permitan acreditar los hechos denunciados.</w:t>
      </w:r>
    </w:p>
    <w:p w14:paraId="1D3EEAAC" w14:textId="77777777" w:rsidR="00734053" w:rsidRDefault="00734053">
      <w:pPr>
        <w:pBdr>
          <w:top w:val="nil"/>
          <w:left w:val="nil"/>
          <w:bottom w:val="nil"/>
          <w:right w:val="nil"/>
          <w:between w:val="nil"/>
        </w:pBdr>
        <w:rPr>
          <w:color w:val="000000"/>
        </w:rPr>
      </w:pPr>
    </w:p>
    <w:p w14:paraId="11BD8F5F"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5"/>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3031DC8B" w14:textId="77777777" w:rsidR="00734053" w:rsidRDefault="003763B4">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w:t>
      </w:r>
      <w:r>
        <w:rPr>
          <w:rFonts w:ascii="Arial" w:eastAsia="Arial" w:hAnsi="Arial" w:cs="Arial"/>
          <w:sz w:val="24"/>
          <w:szCs w:val="24"/>
        </w:rPr>
        <w:lastRenderedPageBreak/>
        <w:t>criterio se acreditan, además de que ofreció las pruebas que estimó pertinente, por tanto, no es posible actualizar tal causal de improcedencia, pues el quejoso ofreció las probanzas que consideró necesarias para la acreditación de los hechos cuestionados. Por tanto, la posible actualización de la infracción, en todo caso, es materia de análisis en el estudio de fondo de la presente resolución.</w:t>
      </w:r>
    </w:p>
    <w:p w14:paraId="03E6A0B5" w14:textId="77777777" w:rsidR="00734053" w:rsidRDefault="00734053">
      <w:pPr>
        <w:pBdr>
          <w:top w:val="nil"/>
          <w:left w:val="nil"/>
          <w:bottom w:val="nil"/>
          <w:right w:val="nil"/>
          <w:between w:val="nil"/>
        </w:pBdr>
        <w:rPr>
          <w:color w:val="000000"/>
        </w:rPr>
      </w:pPr>
    </w:p>
    <w:p w14:paraId="41AFFBEC"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1760611B" w14:textId="77777777" w:rsidR="00734053" w:rsidRDefault="00734053">
      <w:pPr>
        <w:pBdr>
          <w:top w:val="nil"/>
          <w:left w:val="nil"/>
          <w:bottom w:val="nil"/>
          <w:right w:val="nil"/>
          <w:between w:val="nil"/>
        </w:pBdr>
        <w:rPr>
          <w:color w:val="000000"/>
          <w:sz w:val="16"/>
          <w:szCs w:val="16"/>
        </w:rPr>
      </w:pPr>
    </w:p>
    <w:p w14:paraId="677A1083"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50D86B46" w14:textId="77777777" w:rsidR="00734053" w:rsidRDefault="00734053">
      <w:pPr>
        <w:pBdr>
          <w:top w:val="nil"/>
          <w:left w:val="nil"/>
          <w:bottom w:val="nil"/>
          <w:right w:val="nil"/>
          <w:between w:val="nil"/>
        </w:pBdr>
        <w:rPr>
          <w:color w:val="000000"/>
        </w:rPr>
      </w:pPr>
    </w:p>
    <w:p w14:paraId="199835AC" w14:textId="77777777" w:rsidR="00734053" w:rsidRDefault="003763B4">
      <w:pPr>
        <w:numPr>
          <w:ilvl w:val="1"/>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El PAN refiere que la denunciada</w:t>
      </w:r>
      <w:r>
        <w:rPr>
          <w:rFonts w:ascii="Arial" w:eastAsia="Arial" w:hAnsi="Arial" w:cs="Arial"/>
          <w:sz w:val="24"/>
          <w:szCs w:val="24"/>
        </w:rPr>
        <w:t xml:space="preserve"> usó de manera indebida recursos públicos y programas sociales</w:t>
      </w:r>
      <w:r>
        <w:rPr>
          <w:rFonts w:ascii="Arial" w:eastAsia="Arial" w:hAnsi="Arial" w:cs="Arial"/>
          <w:color w:val="000000"/>
          <w:sz w:val="24"/>
          <w:szCs w:val="24"/>
        </w:rPr>
        <w:t xml:space="preserve">, porque derivado de un video obtenido vía WhatsApp, </w:t>
      </w:r>
      <w:r>
        <w:rPr>
          <w:rFonts w:ascii="Arial" w:eastAsia="Arial" w:hAnsi="Arial" w:cs="Arial"/>
          <w:sz w:val="24"/>
          <w:szCs w:val="24"/>
        </w:rPr>
        <w:t xml:space="preserve">se advierte que una persona describe una serie de acciones encaminadas a coaccionar el voto de la ciudadanía en favor de la candidata denunciada, a cambio de recibir dinero y beneficiarse de programas sociales coordinados por el Ejecutivo Federal.  </w:t>
      </w:r>
    </w:p>
    <w:p w14:paraId="7F4FC7C5" w14:textId="77777777" w:rsidR="00734053" w:rsidRDefault="00734053">
      <w:pPr>
        <w:pBdr>
          <w:top w:val="nil"/>
          <w:left w:val="nil"/>
          <w:bottom w:val="nil"/>
          <w:right w:val="nil"/>
          <w:between w:val="nil"/>
        </w:pBdr>
        <w:rPr>
          <w:color w:val="000000"/>
        </w:rPr>
      </w:pPr>
    </w:p>
    <w:p w14:paraId="32AFCAED"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sz w:val="24"/>
          <w:szCs w:val="24"/>
        </w:rPr>
        <w:t>El audio del video denunciado, esencialmente, es el siguiente</w:t>
      </w:r>
      <w:r>
        <w:rPr>
          <w:rFonts w:ascii="Arial" w:eastAsia="Arial" w:hAnsi="Arial" w:cs="Arial"/>
          <w:color w:val="000000"/>
          <w:sz w:val="24"/>
          <w:szCs w:val="24"/>
        </w:rPr>
        <w:t xml:space="preserve">: </w:t>
      </w:r>
    </w:p>
    <w:p w14:paraId="1D08B167" w14:textId="77777777" w:rsidR="00734053" w:rsidRDefault="00734053">
      <w:pPr>
        <w:pBdr>
          <w:top w:val="nil"/>
          <w:left w:val="nil"/>
          <w:bottom w:val="nil"/>
          <w:right w:val="nil"/>
          <w:between w:val="nil"/>
        </w:pBdr>
        <w:rPr>
          <w:color w:val="000000"/>
        </w:rPr>
      </w:pPr>
    </w:p>
    <w:p w14:paraId="718A84F2" w14:textId="77777777" w:rsidR="00734053" w:rsidRDefault="003763B4">
      <w:pPr>
        <w:pBdr>
          <w:top w:val="nil"/>
          <w:left w:val="nil"/>
          <w:bottom w:val="nil"/>
          <w:right w:val="nil"/>
          <w:between w:val="nil"/>
        </w:pBdr>
        <w:tabs>
          <w:tab w:val="left" w:pos="851"/>
        </w:tabs>
        <w:spacing w:line="360" w:lineRule="auto"/>
        <w:ind w:left="851" w:right="899"/>
        <w:jc w:val="both"/>
        <w:rPr>
          <w:rFonts w:ascii="Arial" w:eastAsia="Arial" w:hAnsi="Arial" w:cs="Arial"/>
          <w:i/>
          <w:color w:val="000000"/>
          <w:sz w:val="24"/>
          <w:szCs w:val="24"/>
        </w:rPr>
      </w:pPr>
      <w:r>
        <w:rPr>
          <w:rFonts w:ascii="Arial" w:eastAsia="Arial" w:hAnsi="Arial" w:cs="Arial"/>
          <w:i/>
          <w:color w:val="000000"/>
          <w:sz w:val="24"/>
          <w:szCs w:val="24"/>
        </w:rPr>
        <w:t>“Ustedes van a agarrar el dinero y ustedes saben a quién se los van a entregar” […]</w:t>
      </w:r>
    </w:p>
    <w:p w14:paraId="6A1B3185" w14:textId="77777777" w:rsidR="00734053" w:rsidRDefault="003763B4">
      <w:pPr>
        <w:pBdr>
          <w:top w:val="nil"/>
          <w:left w:val="nil"/>
          <w:bottom w:val="nil"/>
          <w:right w:val="nil"/>
          <w:between w:val="nil"/>
        </w:pBdr>
        <w:tabs>
          <w:tab w:val="left" w:pos="851"/>
        </w:tabs>
        <w:spacing w:line="360" w:lineRule="auto"/>
        <w:ind w:left="851" w:right="899"/>
        <w:jc w:val="both"/>
        <w:rPr>
          <w:rFonts w:ascii="Arial" w:eastAsia="Arial" w:hAnsi="Arial" w:cs="Arial"/>
          <w:i/>
          <w:color w:val="000000"/>
          <w:sz w:val="24"/>
          <w:szCs w:val="24"/>
        </w:rPr>
      </w:pPr>
      <w:r>
        <w:rPr>
          <w:rFonts w:ascii="Arial" w:eastAsia="Arial" w:hAnsi="Arial" w:cs="Arial"/>
          <w:i/>
          <w:color w:val="000000"/>
          <w:sz w:val="24"/>
          <w:szCs w:val="24"/>
        </w:rPr>
        <w:t>“tú traes puros viejitos, a esos los tienes que sacar a votar como quiera, ellos tienen que ir a votar porque a ellos se les está dando el apoyo […] tú diles que, si no van y votan, se les va a quitar el apoyo” […]</w:t>
      </w:r>
    </w:p>
    <w:p w14:paraId="3047B407" w14:textId="77777777" w:rsidR="00734053" w:rsidRDefault="003763B4">
      <w:pPr>
        <w:pBdr>
          <w:top w:val="nil"/>
          <w:left w:val="nil"/>
          <w:bottom w:val="nil"/>
          <w:right w:val="nil"/>
          <w:between w:val="nil"/>
        </w:pBdr>
        <w:tabs>
          <w:tab w:val="left" w:pos="851"/>
        </w:tabs>
        <w:spacing w:line="360" w:lineRule="auto"/>
        <w:ind w:left="851" w:right="899"/>
        <w:jc w:val="both"/>
        <w:rPr>
          <w:rFonts w:ascii="Arial" w:eastAsia="Arial" w:hAnsi="Arial" w:cs="Arial"/>
          <w:i/>
          <w:color w:val="000000"/>
          <w:sz w:val="24"/>
          <w:szCs w:val="24"/>
        </w:rPr>
      </w:pPr>
      <w:r>
        <w:rPr>
          <w:rFonts w:ascii="Arial" w:eastAsia="Arial" w:hAnsi="Arial" w:cs="Arial"/>
          <w:i/>
          <w:color w:val="000000"/>
          <w:sz w:val="24"/>
          <w:szCs w:val="24"/>
        </w:rPr>
        <w:t>“hay que sacar también a los muchachos que acaban de cumplir los dieciocho años, porque todos esos son los que ya se les dio la beca Benito Juárez, a ellos se les dio el apoyo”.</w:t>
      </w:r>
    </w:p>
    <w:p w14:paraId="49D23BEC" w14:textId="77777777" w:rsidR="00734053" w:rsidRDefault="00734053">
      <w:pPr>
        <w:pBdr>
          <w:top w:val="nil"/>
          <w:left w:val="nil"/>
          <w:bottom w:val="nil"/>
          <w:right w:val="nil"/>
          <w:between w:val="nil"/>
        </w:pBdr>
        <w:spacing w:line="360" w:lineRule="auto"/>
        <w:ind w:right="36"/>
        <w:jc w:val="both"/>
      </w:pPr>
    </w:p>
    <w:p w14:paraId="21519C3C" w14:textId="77777777" w:rsidR="00734053" w:rsidRDefault="003763B4">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el instituto político postulante,</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52E378EC" w14:textId="77777777" w:rsidR="00734053" w:rsidRDefault="00734053">
      <w:pPr>
        <w:pBdr>
          <w:top w:val="nil"/>
          <w:left w:val="nil"/>
          <w:bottom w:val="nil"/>
          <w:right w:val="nil"/>
          <w:between w:val="nil"/>
        </w:pBdr>
        <w:rPr>
          <w:color w:val="000000"/>
        </w:rPr>
      </w:pPr>
    </w:p>
    <w:p w14:paraId="7BA2C861" w14:textId="77777777" w:rsidR="00734053" w:rsidRDefault="003763B4">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2EEE187E" w14:textId="77777777" w:rsidR="00734053" w:rsidRDefault="003763B4">
      <w:pPr>
        <w:numPr>
          <w:ilvl w:val="0"/>
          <w:numId w:val="3"/>
        </w:numPr>
        <w:pBdr>
          <w:top w:val="nil"/>
          <w:left w:val="nil"/>
          <w:bottom w:val="nil"/>
          <w:right w:val="nil"/>
          <w:between w:val="nil"/>
        </w:pBdr>
        <w:tabs>
          <w:tab w:val="left" w:pos="284"/>
        </w:tabs>
        <w:spacing w:line="360" w:lineRule="auto"/>
        <w:ind w:left="284" w:hanging="284"/>
        <w:jc w:val="both"/>
        <w:rPr>
          <w:color w:val="000000"/>
        </w:rPr>
      </w:pPr>
      <w:r>
        <w:rPr>
          <w:rFonts w:ascii="Arial" w:eastAsia="Arial" w:hAnsi="Arial" w:cs="Arial"/>
          <w:color w:val="000000"/>
          <w:sz w:val="24"/>
          <w:szCs w:val="24"/>
        </w:rPr>
        <w:t xml:space="preserve">Afirman que desconocen los hechos denunciados y, por tanto, se deslindan de las manifestaciones realizadas en el video exhibido por el PAN. </w:t>
      </w:r>
    </w:p>
    <w:p w14:paraId="7F2E58EF" w14:textId="77777777" w:rsidR="00734053" w:rsidRDefault="003763B4">
      <w:pPr>
        <w:numPr>
          <w:ilvl w:val="0"/>
          <w:numId w:val="3"/>
        </w:numPr>
        <w:pBdr>
          <w:top w:val="nil"/>
          <w:left w:val="nil"/>
          <w:bottom w:val="nil"/>
          <w:right w:val="nil"/>
          <w:between w:val="nil"/>
        </w:pBdr>
        <w:tabs>
          <w:tab w:val="left" w:pos="284"/>
        </w:tabs>
        <w:spacing w:line="360" w:lineRule="auto"/>
        <w:ind w:left="284" w:hanging="284"/>
        <w:jc w:val="both"/>
        <w:rPr>
          <w:color w:val="000000"/>
        </w:rPr>
      </w:pPr>
      <w:r>
        <w:rPr>
          <w:rFonts w:ascii="Arial" w:eastAsia="Arial" w:hAnsi="Arial" w:cs="Arial"/>
          <w:color w:val="000000"/>
          <w:sz w:val="24"/>
          <w:szCs w:val="24"/>
        </w:rPr>
        <w:t>Estiman que, a partir del material audiovisual, no es posible acreditar la identidad de las personas que realizan las manifestaciones cuestionadas y, en consecuencia, determinar si se trata de servidores públicos o militantes de Morena.</w:t>
      </w:r>
    </w:p>
    <w:p w14:paraId="3016CDC0" w14:textId="77777777" w:rsidR="00734053" w:rsidRDefault="003763B4">
      <w:pPr>
        <w:numPr>
          <w:ilvl w:val="0"/>
          <w:numId w:val="3"/>
        </w:numPr>
        <w:pBdr>
          <w:top w:val="nil"/>
          <w:left w:val="nil"/>
          <w:bottom w:val="nil"/>
          <w:right w:val="nil"/>
          <w:between w:val="nil"/>
        </w:pBdr>
        <w:tabs>
          <w:tab w:val="left" w:pos="284"/>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Afirman </w:t>
      </w:r>
      <w:proofErr w:type="gramStart"/>
      <w:r>
        <w:rPr>
          <w:rFonts w:ascii="Arial" w:eastAsia="Arial" w:hAnsi="Arial" w:cs="Arial"/>
          <w:color w:val="000000"/>
          <w:sz w:val="24"/>
          <w:szCs w:val="24"/>
        </w:rPr>
        <w:t>que</w:t>
      </w:r>
      <w:proofErr w:type="gramEnd"/>
      <w:r>
        <w:rPr>
          <w:rFonts w:ascii="Arial" w:eastAsia="Arial" w:hAnsi="Arial" w:cs="Arial"/>
          <w:sz w:val="24"/>
          <w:szCs w:val="24"/>
        </w:rPr>
        <w:t xml:space="preserve"> </w:t>
      </w:r>
      <w:r>
        <w:rPr>
          <w:rFonts w:ascii="Arial" w:eastAsia="Arial" w:hAnsi="Arial" w:cs="Arial"/>
          <w:color w:val="000000"/>
          <w:sz w:val="24"/>
          <w:szCs w:val="24"/>
        </w:rPr>
        <w:t xml:space="preserve">del análisis probatorio, no se acredita que se hayan realizado las acciones tendientes a condicionar y/o coaccionar el voto de la ciudadanía o bien, la forma en que se utilizó de forma indebida los recursos públicos y los programas sociales. </w:t>
      </w:r>
    </w:p>
    <w:p w14:paraId="75DFFB37" w14:textId="77777777" w:rsidR="00734053" w:rsidRDefault="003763B4">
      <w:pPr>
        <w:numPr>
          <w:ilvl w:val="0"/>
          <w:numId w:val="3"/>
        </w:numPr>
        <w:pBdr>
          <w:top w:val="nil"/>
          <w:left w:val="nil"/>
          <w:bottom w:val="nil"/>
          <w:right w:val="nil"/>
          <w:between w:val="nil"/>
        </w:pBdr>
        <w:tabs>
          <w:tab w:val="left" w:pos="284"/>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lastRenderedPageBreak/>
        <w:t>Consideran que no es posible acreditar la infracción</w:t>
      </w:r>
      <w:r>
        <w:rPr>
          <w:rFonts w:ascii="Arial" w:eastAsia="Arial" w:hAnsi="Arial" w:cs="Arial"/>
          <w:sz w:val="24"/>
          <w:szCs w:val="24"/>
        </w:rPr>
        <w:t xml:space="preserve">, </w:t>
      </w:r>
      <w:r>
        <w:rPr>
          <w:rFonts w:ascii="Arial" w:eastAsia="Arial" w:hAnsi="Arial" w:cs="Arial"/>
          <w:color w:val="000000"/>
          <w:sz w:val="24"/>
          <w:szCs w:val="24"/>
        </w:rPr>
        <w:t>porque el denunciante sólo ofreció como medio de prueba el video en cuestión, el cual resulta insuficiente para generar la veracidad de los hechos denunciados.</w:t>
      </w:r>
    </w:p>
    <w:p w14:paraId="2CB55D39" w14:textId="77777777" w:rsidR="00734053" w:rsidRDefault="00734053">
      <w:pPr>
        <w:pBdr>
          <w:top w:val="nil"/>
          <w:left w:val="nil"/>
          <w:bottom w:val="nil"/>
          <w:right w:val="nil"/>
          <w:between w:val="nil"/>
        </w:pBdr>
        <w:tabs>
          <w:tab w:val="left" w:pos="284"/>
        </w:tabs>
        <w:ind w:left="720"/>
        <w:jc w:val="both"/>
        <w:rPr>
          <w:rFonts w:ascii="Arial" w:eastAsia="Arial" w:hAnsi="Arial" w:cs="Arial"/>
          <w:sz w:val="24"/>
          <w:szCs w:val="24"/>
        </w:rPr>
      </w:pPr>
    </w:p>
    <w:p w14:paraId="44C63171" w14:textId="77777777" w:rsidR="00734053" w:rsidRDefault="003763B4">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02639ECF" w14:textId="77777777" w:rsidR="00734053" w:rsidRDefault="00734053">
      <w:pPr>
        <w:pBdr>
          <w:top w:val="nil"/>
          <w:left w:val="nil"/>
          <w:bottom w:val="nil"/>
          <w:right w:val="nil"/>
          <w:between w:val="nil"/>
        </w:pBdr>
        <w:rPr>
          <w:color w:val="000000"/>
        </w:rPr>
      </w:pPr>
    </w:p>
    <w:p w14:paraId="42D02E1C" w14:textId="77777777" w:rsidR="00734053" w:rsidRDefault="003763B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instituto político denunciante: </w:t>
      </w:r>
    </w:p>
    <w:p w14:paraId="4785C9E1" w14:textId="77777777" w:rsidR="00734053" w:rsidRDefault="00734053">
      <w:pPr>
        <w:pBdr>
          <w:top w:val="nil"/>
          <w:left w:val="nil"/>
          <w:bottom w:val="nil"/>
          <w:right w:val="nil"/>
          <w:between w:val="nil"/>
        </w:pBdr>
        <w:rPr>
          <w:color w:val="000000"/>
        </w:rPr>
      </w:pPr>
    </w:p>
    <w:tbl>
      <w:tblPr>
        <w:tblStyle w:val="aff7"/>
        <w:tblW w:w="963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9"/>
        <w:gridCol w:w="2757"/>
        <w:gridCol w:w="6377"/>
      </w:tblGrid>
      <w:tr w:rsidR="00734053" w14:paraId="0BF64C04" w14:textId="77777777" w:rsidTr="007340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729EA82F" w14:textId="77777777" w:rsidR="00734053" w:rsidRDefault="003763B4">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4BA6FF0C" w14:textId="77777777" w:rsidR="00734053" w:rsidRDefault="003763B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7" w:type="dxa"/>
          </w:tcPr>
          <w:p w14:paraId="60933F75" w14:textId="77777777" w:rsidR="00734053" w:rsidRDefault="003763B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734053" w14:paraId="5F344A62" w14:textId="77777777" w:rsidTr="0073405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2CEE722" w14:textId="77777777" w:rsidR="00734053" w:rsidRDefault="003763B4">
            <w:pPr>
              <w:jc w:val="center"/>
              <w:rPr>
                <w:rFonts w:ascii="Arial" w:eastAsia="Arial" w:hAnsi="Arial" w:cs="Arial"/>
                <w:sz w:val="18"/>
                <w:szCs w:val="18"/>
              </w:rPr>
            </w:pPr>
            <w:r>
              <w:rPr>
                <w:rFonts w:ascii="Arial" w:eastAsia="Arial" w:hAnsi="Arial" w:cs="Arial"/>
                <w:sz w:val="18"/>
                <w:szCs w:val="18"/>
              </w:rPr>
              <w:t>1</w:t>
            </w:r>
          </w:p>
        </w:tc>
        <w:tc>
          <w:tcPr>
            <w:tcW w:w="2757" w:type="dxa"/>
          </w:tcPr>
          <w:p w14:paraId="5685C73C" w14:textId="77777777" w:rsidR="00734053" w:rsidRDefault="003763B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p>
        </w:tc>
        <w:tc>
          <w:tcPr>
            <w:tcW w:w="6377" w:type="dxa"/>
          </w:tcPr>
          <w:p w14:paraId="6539385E" w14:textId="77777777" w:rsidR="00734053" w:rsidRDefault="003763B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Oficialía Electoral IEE/OE/137/2022, consistente en la certificación del audio del vídeo de WhatsApp.</w:t>
            </w:r>
          </w:p>
        </w:tc>
      </w:tr>
      <w:tr w:rsidR="00734053" w14:paraId="6D37AAED" w14:textId="77777777" w:rsidTr="00734053">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74168271" w14:textId="77777777" w:rsidR="00734053" w:rsidRDefault="003763B4">
            <w:pPr>
              <w:jc w:val="center"/>
              <w:rPr>
                <w:rFonts w:ascii="Arial" w:eastAsia="Arial" w:hAnsi="Arial" w:cs="Arial"/>
                <w:sz w:val="18"/>
                <w:szCs w:val="18"/>
              </w:rPr>
            </w:pPr>
            <w:r>
              <w:rPr>
                <w:rFonts w:ascii="Arial" w:eastAsia="Arial" w:hAnsi="Arial" w:cs="Arial"/>
                <w:sz w:val="18"/>
                <w:szCs w:val="18"/>
              </w:rPr>
              <w:t>2</w:t>
            </w:r>
          </w:p>
        </w:tc>
        <w:tc>
          <w:tcPr>
            <w:tcW w:w="2757" w:type="dxa"/>
          </w:tcPr>
          <w:p w14:paraId="1E971806" w14:textId="77777777" w:rsidR="00734053" w:rsidRDefault="003763B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2581521B" w14:textId="77777777" w:rsidR="00734053" w:rsidRDefault="003763B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Contenido del audio del video denunciado. </w:t>
            </w:r>
          </w:p>
        </w:tc>
      </w:tr>
      <w:tr w:rsidR="00734053" w14:paraId="56E7E8DD" w14:textId="77777777" w:rsidTr="00734053">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0BA52D21" w14:textId="77777777" w:rsidR="00734053" w:rsidRDefault="003763B4">
            <w:pPr>
              <w:jc w:val="center"/>
              <w:rPr>
                <w:rFonts w:ascii="Arial" w:eastAsia="Arial" w:hAnsi="Arial" w:cs="Arial"/>
                <w:sz w:val="18"/>
                <w:szCs w:val="18"/>
              </w:rPr>
            </w:pPr>
            <w:r>
              <w:rPr>
                <w:rFonts w:ascii="Arial" w:eastAsia="Arial" w:hAnsi="Arial" w:cs="Arial"/>
                <w:sz w:val="18"/>
                <w:szCs w:val="18"/>
              </w:rPr>
              <w:t>3</w:t>
            </w:r>
          </w:p>
        </w:tc>
        <w:tc>
          <w:tcPr>
            <w:tcW w:w="2757" w:type="dxa"/>
          </w:tcPr>
          <w:p w14:paraId="5AC0F52C" w14:textId="77777777" w:rsidR="00734053" w:rsidRDefault="003763B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7" w:type="dxa"/>
          </w:tcPr>
          <w:p w14:paraId="378A7CF1" w14:textId="77777777" w:rsidR="00734053" w:rsidRDefault="003763B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734053" w14:paraId="41327EB7" w14:textId="77777777" w:rsidTr="00734053">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19DD52C9" w14:textId="77777777" w:rsidR="00734053" w:rsidRDefault="003763B4">
            <w:pPr>
              <w:jc w:val="center"/>
              <w:rPr>
                <w:rFonts w:ascii="Arial" w:eastAsia="Arial" w:hAnsi="Arial" w:cs="Arial"/>
                <w:sz w:val="18"/>
                <w:szCs w:val="18"/>
              </w:rPr>
            </w:pPr>
            <w:r>
              <w:rPr>
                <w:rFonts w:ascii="Arial" w:eastAsia="Arial" w:hAnsi="Arial" w:cs="Arial"/>
                <w:sz w:val="18"/>
                <w:szCs w:val="18"/>
              </w:rPr>
              <w:t>4</w:t>
            </w:r>
          </w:p>
        </w:tc>
        <w:tc>
          <w:tcPr>
            <w:tcW w:w="2757" w:type="dxa"/>
          </w:tcPr>
          <w:p w14:paraId="5ABD9D18" w14:textId="77777777" w:rsidR="00734053" w:rsidRDefault="003763B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7" w:type="dxa"/>
          </w:tcPr>
          <w:p w14:paraId="374084C6" w14:textId="77777777" w:rsidR="00734053" w:rsidRDefault="003763B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493403B4" w14:textId="77777777" w:rsidR="00734053" w:rsidRDefault="00734053">
      <w:pPr>
        <w:tabs>
          <w:tab w:val="left" w:pos="567"/>
        </w:tabs>
        <w:spacing w:line="360" w:lineRule="auto"/>
        <w:jc w:val="both"/>
        <w:rPr>
          <w:rFonts w:ascii="Arial" w:eastAsia="Arial" w:hAnsi="Arial" w:cs="Arial"/>
          <w:b/>
          <w:sz w:val="24"/>
          <w:szCs w:val="24"/>
        </w:rPr>
      </w:pPr>
    </w:p>
    <w:p w14:paraId="6B7EE655" w14:textId="77777777" w:rsidR="00734053" w:rsidRDefault="003763B4">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7E5731D4" w14:textId="77777777" w:rsidR="00734053" w:rsidRDefault="00734053">
      <w:pPr>
        <w:pBdr>
          <w:top w:val="nil"/>
          <w:left w:val="nil"/>
          <w:bottom w:val="nil"/>
          <w:right w:val="nil"/>
          <w:between w:val="nil"/>
        </w:pBdr>
        <w:rPr>
          <w:color w:val="000000"/>
        </w:rPr>
      </w:pPr>
    </w:p>
    <w:tbl>
      <w:tblPr>
        <w:tblStyle w:val="aff8"/>
        <w:tblW w:w="963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9"/>
        <w:gridCol w:w="2757"/>
        <w:gridCol w:w="6377"/>
      </w:tblGrid>
      <w:tr w:rsidR="00734053" w14:paraId="051474A9" w14:textId="77777777" w:rsidTr="007340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721F8208" w14:textId="77777777" w:rsidR="00734053" w:rsidRDefault="003763B4">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3DCC5C06" w14:textId="77777777" w:rsidR="00734053" w:rsidRDefault="003763B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7" w:type="dxa"/>
          </w:tcPr>
          <w:p w14:paraId="63F33A67" w14:textId="77777777" w:rsidR="00734053" w:rsidRDefault="003763B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734053" w14:paraId="76E78FAB" w14:textId="77777777" w:rsidTr="00734053">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CCC38CE" w14:textId="77777777" w:rsidR="00734053" w:rsidRDefault="003763B4">
            <w:pPr>
              <w:jc w:val="center"/>
              <w:rPr>
                <w:rFonts w:ascii="Arial" w:eastAsia="Arial" w:hAnsi="Arial" w:cs="Arial"/>
                <w:sz w:val="18"/>
                <w:szCs w:val="18"/>
              </w:rPr>
            </w:pPr>
            <w:r>
              <w:rPr>
                <w:rFonts w:ascii="Arial" w:eastAsia="Arial" w:hAnsi="Arial" w:cs="Arial"/>
                <w:sz w:val="18"/>
                <w:szCs w:val="18"/>
              </w:rPr>
              <w:t>1</w:t>
            </w:r>
          </w:p>
        </w:tc>
        <w:tc>
          <w:tcPr>
            <w:tcW w:w="2757" w:type="dxa"/>
          </w:tcPr>
          <w:p w14:paraId="41AC26A1" w14:textId="77777777" w:rsidR="00734053" w:rsidRDefault="003763B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7" w:type="dxa"/>
          </w:tcPr>
          <w:p w14:paraId="0452C8A2" w14:textId="77777777" w:rsidR="00734053" w:rsidRDefault="003763B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734053" w14:paraId="3614904A" w14:textId="77777777" w:rsidTr="00734053">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C7F8264" w14:textId="77777777" w:rsidR="00734053" w:rsidRDefault="003763B4">
            <w:pPr>
              <w:jc w:val="center"/>
              <w:rPr>
                <w:rFonts w:ascii="Arial" w:eastAsia="Arial" w:hAnsi="Arial" w:cs="Arial"/>
                <w:sz w:val="18"/>
                <w:szCs w:val="18"/>
              </w:rPr>
            </w:pPr>
            <w:r>
              <w:rPr>
                <w:rFonts w:ascii="Arial" w:eastAsia="Arial" w:hAnsi="Arial" w:cs="Arial"/>
                <w:sz w:val="18"/>
                <w:szCs w:val="18"/>
              </w:rPr>
              <w:t>2</w:t>
            </w:r>
          </w:p>
        </w:tc>
        <w:tc>
          <w:tcPr>
            <w:tcW w:w="2757" w:type="dxa"/>
          </w:tcPr>
          <w:p w14:paraId="32BA0621" w14:textId="77777777" w:rsidR="00734053" w:rsidRDefault="003763B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7" w:type="dxa"/>
          </w:tcPr>
          <w:p w14:paraId="2589E4A0" w14:textId="77777777" w:rsidR="00734053" w:rsidRDefault="003763B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4DF02945" w14:textId="77777777" w:rsidR="00734053" w:rsidRDefault="00734053">
      <w:pPr>
        <w:tabs>
          <w:tab w:val="left" w:pos="567"/>
        </w:tabs>
        <w:spacing w:line="360" w:lineRule="auto"/>
        <w:jc w:val="both"/>
        <w:rPr>
          <w:rFonts w:ascii="Arial" w:eastAsia="Arial" w:hAnsi="Arial" w:cs="Arial"/>
          <w:b/>
        </w:rPr>
      </w:pPr>
    </w:p>
    <w:p w14:paraId="116C135C" w14:textId="77777777" w:rsidR="00734053" w:rsidRDefault="003763B4">
      <w:pPr>
        <w:pBdr>
          <w:top w:val="nil"/>
          <w:left w:val="nil"/>
          <w:bottom w:val="nil"/>
          <w:right w:val="nil"/>
          <w:between w:val="nil"/>
        </w:pBdr>
        <w:tabs>
          <w:tab w:val="left" w:pos="567"/>
        </w:tabs>
        <w:spacing w:line="360" w:lineRule="auto"/>
        <w:jc w:val="both"/>
        <w:rPr>
          <w:rFonts w:ascii="Arial" w:eastAsia="Arial" w:hAnsi="Arial" w:cs="Arial"/>
          <w:color w:val="000000"/>
          <w:sz w:val="6"/>
          <w:szCs w:val="6"/>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7A2F7B59" w14:textId="77777777" w:rsidR="00734053" w:rsidRDefault="00734053">
      <w:pPr>
        <w:rPr>
          <w:color w:val="000000"/>
          <w:sz w:val="24"/>
          <w:szCs w:val="24"/>
        </w:rPr>
      </w:pPr>
    </w:p>
    <w:p w14:paraId="0A9BF7C0" w14:textId="77777777" w:rsidR="00734053" w:rsidRDefault="003763B4">
      <w:pPr>
        <w:rPr>
          <w:rFonts w:ascii="Arial" w:eastAsia="Arial" w:hAnsi="Arial" w:cs="Arial"/>
          <w:b/>
          <w:sz w:val="24"/>
          <w:szCs w:val="24"/>
        </w:rPr>
      </w:pPr>
      <w:r>
        <w:rPr>
          <w:rFonts w:ascii="Arial" w:eastAsia="Arial" w:hAnsi="Arial" w:cs="Arial"/>
          <w:b/>
          <w:sz w:val="24"/>
          <w:szCs w:val="24"/>
        </w:rPr>
        <w:t>VI. Análisis de fondo</w:t>
      </w:r>
    </w:p>
    <w:p w14:paraId="1C7C4251" w14:textId="77777777" w:rsidR="00734053" w:rsidRDefault="00734053">
      <w:pPr>
        <w:pBdr>
          <w:top w:val="nil"/>
          <w:left w:val="nil"/>
          <w:bottom w:val="nil"/>
          <w:right w:val="nil"/>
          <w:between w:val="nil"/>
        </w:pBdr>
        <w:rPr>
          <w:color w:val="000000"/>
          <w:sz w:val="14"/>
          <w:szCs w:val="14"/>
        </w:rPr>
      </w:pPr>
    </w:p>
    <w:p w14:paraId="6608CE6D" w14:textId="77777777" w:rsidR="00734053" w:rsidRDefault="003763B4">
      <w:pPr>
        <w:numPr>
          <w:ilvl w:val="0"/>
          <w:numId w:val="1"/>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7AE423DB" w14:textId="77777777" w:rsidR="00734053" w:rsidRDefault="00734053">
      <w:pPr>
        <w:pBdr>
          <w:top w:val="nil"/>
          <w:left w:val="nil"/>
          <w:bottom w:val="nil"/>
          <w:right w:val="nil"/>
          <w:between w:val="nil"/>
        </w:pBdr>
        <w:rPr>
          <w:color w:val="000000"/>
          <w:sz w:val="14"/>
          <w:szCs w:val="14"/>
        </w:rPr>
      </w:pPr>
    </w:p>
    <w:p w14:paraId="1D4076DB" w14:textId="6390D918"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ofrecimiento de un video obtenido a través de conversaciones privadas mediante el uso de la aplicación WhatsApp, se considera una prueba formalmente válida que, en su caso, pueda acreditar los hechos materia de la denuncia -coacción en el electorado derivado del uso indebido de recursos y </w:t>
      </w:r>
      <w:r w:rsidR="006E1662">
        <w:rPr>
          <w:rFonts w:ascii="Arial" w:eastAsia="Arial" w:hAnsi="Arial" w:cs="Arial"/>
          <w:sz w:val="24"/>
          <w:szCs w:val="24"/>
        </w:rPr>
        <w:t>programas sociales</w:t>
      </w:r>
      <w:r>
        <w:rPr>
          <w:rFonts w:ascii="Arial" w:eastAsia="Arial" w:hAnsi="Arial" w:cs="Arial"/>
          <w:sz w:val="24"/>
          <w:szCs w:val="24"/>
        </w:rPr>
        <w:t>-?</w:t>
      </w:r>
    </w:p>
    <w:p w14:paraId="4D1C716C" w14:textId="77777777" w:rsidR="00734053" w:rsidRDefault="00734053">
      <w:pPr>
        <w:pBdr>
          <w:top w:val="nil"/>
          <w:left w:val="nil"/>
          <w:bottom w:val="nil"/>
          <w:right w:val="nil"/>
          <w:between w:val="nil"/>
        </w:pBdr>
        <w:rPr>
          <w:color w:val="000000"/>
          <w:sz w:val="14"/>
          <w:szCs w:val="14"/>
        </w:rPr>
      </w:pPr>
    </w:p>
    <w:p w14:paraId="5738091C" w14:textId="77777777" w:rsidR="00734053" w:rsidRDefault="003763B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1BC25EF3" w14:textId="77777777" w:rsidR="00734053" w:rsidRDefault="00734053">
      <w:pPr>
        <w:pBdr>
          <w:top w:val="nil"/>
          <w:left w:val="nil"/>
          <w:bottom w:val="nil"/>
          <w:right w:val="nil"/>
          <w:between w:val="nil"/>
        </w:pBdr>
        <w:rPr>
          <w:color w:val="000000"/>
        </w:rPr>
      </w:pPr>
    </w:p>
    <w:p w14:paraId="0AC159B6" w14:textId="6A664C06" w:rsidR="00734053" w:rsidRDefault="003763B4">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w:t>
      </w:r>
      <w:r>
        <w:rPr>
          <w:rFonts w:ascii="Arial" w:eastAsia="Arial" w:hAnsi="Arial" w:cs="Arial"/>
          <w:b/>
          <w:i/>
          <w:sz w:val="24"/>
          <w:szCs w:val="24"/>
        </w:rPr>
        <w:t>a)</w:t>
      </w:r>
      <w:r>
        <w:rPr>
          <w:rFonts w:ascii="Arial" w:eastAsia="Arial" w:hAnsi="Arial" w:cs="Arial"/>
          <w:sz w:val="24"/>
          <w:szCs w:val="24"/>
        </w:rPr>
        <w:t xml:space="preserve"> la inexistencia de las infracciones </w:t>
      </w:r>
      <w:r w:rsidR="006E1662">
        <w:rPr>
          <w:rFonts w:ascii="Arial" w:eastAsia="Arial" w:hAnsi="Arial" w:cs="Arial"/>
          <w:sz w:val="24"/>
          <w:szCs w:val="24"/>
        </w:rPr>
        <w:t>atribuidas</w:t>
      </w:r>
      <w:r>
        <w:rPr>
          <w:rFonts w:ascii="Arial" w:eastAsia="Arial" w:hAnsi="Arial" w:cs="Arial"/>
          <w:sz w:val="24"/>
          <w:szCs w:val="24"/>
        </w:rPr>
        <w:t xml:space="preserve"> a la entonces candidata Nora Ruvalcaba Gámez, consistentes en coacción y uso indebido de programas sociales, derivado del supuesto ofrecimiento a la ciudadanía de recibir dinero y beneficios de programas públicos del gobierno Federal, a cambio de su voto en favor de la candidata denunciada y </w:t>
      </w:r>
      <w:r>
        <w:rPr>
          <w:rFonts w:ascii="Arial" w:eastAsia="Arial" w:hAnsi="Arial" w:cs="Arial"/>
          <w:b/>
          <w:i/>
          <w:sz w:val="24"/>
          <w:szCs w:val="24"/>
        </w:rPr>
        <w:t>b)</w:t>
      </w:r>
      <w:r>
        <w:rPr>
          <w:rFonts w:ascii="Arial" w:eastAsia="Arial" w:hAnsi="Arial" w:cs="Arial"/>
          <w:sz w:val="24"/>
          <w:szCs w:val="24"/>
        </w:rPr>
        <w:t xml:space="preserve"> la inexistencia de culpa in vigilando a Morena. </w:t>
      </w:r>
    </w:p>
    <w:p w14:paraId="369B4EE5" w14:textId="77777777" w:rsidR="00734053" w:rsidRDefault="00734053">
      <w:pPr>
        <w:jc w:val="both"/>
        <w:rPr>
          <w:rFonts w:ascii="Arial" w:eastAsia="Arial" w:hAnsi="Arial" w:cs="Arial"/>
          <w:sz w:val="24"/>
          <w:szCs w:val="24"/>
        </w:rPr>
      </w:pPr>
      <w:bookmarkStart w:id="4" w:name="_heading=h.g0uyelrbl3ks" w:colFirst="0" w:colLast="0"/>
      <w:bookmarkEnd w:id="4"/>
    </w:p>
    <w:p w14:paraId="7F2E6E5F" w14:textId="77777777" w:rsidR="00734053" w:rsidRDefault="003763B4">
      <w:pPr>
        <w:spacing w:line="360" w:lineRule="auto"/>
        <w:jc w:val="both"/>
        <w:rPr>
          <w:rFonts w:ascii="Arial" w:eastAsia="Arial" w:hAnsi="Arial" w:cs="Arial"/>
          <w:sz w:val="24"/>
          <w:szCs w:val="24"/>
        </w:rPr>
      </w:pPr>
      <w:bookmarkStart w:id="5" w:name="_heading=h.fcp5wqfapxew" w:colFirst="0" w:colLast="0"/>
      <w:bookmarkEnd w:id="5"/>
      <w:r>
        <w:rPr>
          <w:rFonts w:ascii="Arial" w:eastAsia="Arial" w:hAnsi="Arial" w:cs="Arial"/>
          <w:sz w:val="24"/>
          <w:szCs w:val="24"/>
        </w:rPr>
        <w:t xml:space="preserve">Ello porque este órgano jurisdiccional advierte que, en atención a la prueba ofrecida por la parte denunciante -consistente en un audio obtenido </w:t>
      </w:r>
      <w:r>
        <w:rPr>
          <w:rFonts w:ascii="Arial" w:eastAsia="Arial" w:hAnsi="Arial" w:cs="Arial"/>
          <w:sz w:val="24"/>
          <w:szCs w:val="24"/>
          <w:highlight w:val="white"/>
        </w:rPr>
        <w:t>a través la plataforma de mensajería instantánea de WhatsApp- no se logra acreditar que los participantes de la conversación involucrada hubiesen consentido</w:t>
      </w:r>
      <w:r>
        <w:rPr>
          <w:rFonts w:ascii="Arial" w:eastAsia="Arial" w:hAnsi="Arial" w:cs="Arial"/>
          <w:b/>
          <w:sz w:val="24"/>
          <w:szCs w:val="24"/>
          <w:highlight w:val="white"/>
        </w:rPr>
        <w:t xml:space="preserve"> levantar el secreto de su comunicación</w:t>
      </w:r>
      <w:r>
        <w:rPr>
          <w:rFonts w:ascii="Arial" w:eastAsia="Arial" w:hAnsi="Arial" w:cs="Arial"/>
          <w:sz w:val="24"/>
          <w:szCs w:val="24"/>
          <w:highlight w:val="white"/>
        </w:rPr>
        <w:t xml:space="preserve">, por tanto el medio de prueba resulta ilícito y debe ser excluido de cualquier valoración probatoria, al existir el riesgo de vulnerar lo previsto en el artículo 16 de la Constitución General, en cuanto al derecho fundamental de la inviolabilidad de las comunicaciones privadas. </w:t>
      </w:r>
    </w:p>
    <w:p w14:paraId="334D21C8" w14:textId="77777777" w:rsidR="00734053" w:rsidRDefault="00734053">
      <w:pPr>
        <w:spacing w:line="360" w:lineRule="auto"/>
        <w:jc w:val="both"/>
        <w:rPr>
          <w:rFonts w:ascii="Arial" w:eastAsia="Arial" w:hAnsi="Arial" w:cs="Arial"/>
          <w:b/>
          <w:sz w:val="24"/>
          <w:szCs w:val="24"/>
          <w:u w:val="single"/>
        </w:rPr>
      </w:pPr>
    </w:p>
    <w:p w14:paraId="3115C575" w14:textId="77777777" w:rsidR="00734053" w:rsidRDefault="003763B4">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2B44DE24" w14:textId="77777777" w:rsidR="00734053" w:rsidRDefault="00734053">
      <w:pPr>
        <w:pBdr>
          <w:top w:val="nil"/>
          <w:left w:val="nil"/>
          <w:bottom w:val="nil"/>
          <w:right w:val="nil"/>
          <w:between w:val="nil"/>
        </w:pBdr>
        <w:rPr>
          <w:color w:val="000000"/>
        </w:rPr>
      </w:pPr>
    </w:p>
    <w:p w14:paraId="0C0ACD3E" w14:textId="77777777" w:rsidR="00734053" w:rsidRDefault="003763B4">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157085EA" w14:textId="77777777" w:rsidR="00734053" w:rsidRDefault="00734053">
      <w:pPr>
        <w:pBdr>
          <w:top w:val="nil"/>
          <w:left w:val="nil"/>
          <w:bottom w:val="nil"/>
          <w:right w:val="nil"/>
          <w:between w:val="nil"/>
        </w:pBdr>
        <w:rPr>
          <w:color w:val="000000"/>
          <w:highlight w:val="white"/>
        </w:rPr>
      </w:pPr>
    </w:p>
    <w:p w14:paraId="18CE12F0"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El artículo 16 de la Constitución general</w:t>
      </w:r>
      <w:r>
        <w:rPr>
          <w:rFonts w:ascii="Arial" w:eastAsia="Arial" w:hAnsi="Arial" w:cs="Arial"/>
          <w:sz w:val="24"/>
          <w:szCs w:val="24"/>
          <w:highlight w:val="white"/>
          <w:vertAlign w:val="superscript"/>
        </w:rPr>
        <w:footnoteReference w:id="7"/>
      </w:r>
      <w:r>
        <w:rPr>
          <w:rFonts w:ascii="Arial" w:eastAsia="Arial" w:hAnsi="Arial" w:cs="Arial"/>
          <w:sz w:val="24"/>
          <w:szCs w:val="24"/>
          <w:highlight w:val="white"/>
        </w:rPr>
        <w:t xml:space="preserve"> establece, entre otros temas, que las comunicaciones privadas son inviolables (excepto las que son aportadas de manera voluntaria por alguna de las personas que participaron en las mismas), por lo cual, en ningún caso, estas podrán tener valor probatorio, ya que se vulnera el deber de confidencialidad. </w:t>
      </w:r>
    </w:p>
    <w:p w14:paraId="34B94C1E" w14:textId="77777777" w:rsidR="00734053" w:rsidRDefault="00734053">
      <w:pPr>
        <w:pBdr>
          <w:top w:val="nil"/>
          <w:left w:val="nil"/>
          <w:bottom w:val="nil"/>
          <w:right w:val="nil"/>
          <w:between w:val="nil"/>
        </w:pBdr>
        <w:rPr>
          <w:color w:val="000000"/>
          <w:highlight w:val="white"/>
        </w:rPr>
      </w:pPr>
    </w:p>
    <w:p w14:paraId="43A9E6F3" w14:textId="2921EB27" w:rsidR="00734053" w:rsidRDefault="003763B4">
      <w:pPr>
        <w:spacing w:line="360" w:lineRule="auto"/>
        <w:jc w:val="both"/>
        <w:rPr>
          <w:rFonts w:ascii="Arial" w:eastAsia="Arial" w:hAnsi="Arial" w:cs="Arial"/>
          <w:sz w:val="24"/>
          <w:szCs w:val="24"/>
          <w:highlight w:val="yellow"/>
        </w:rPr>
      </w:pPr>
      <w:r>
        <w:rPr>
          <w:rFonts w:ascii="Arial" w:eastAsia="Arial" w:hAnsi="Arial" w:cs="Arial"/>
          <w:sz w:val="24"/>
          <w:szCs w:val="24"/>
          <w:highlight w:val="white"/>
        </w:rPr>
        <w:t>Por su parte, la Sala Superior ha sostenido que el texto constitucional reconoce el derecho fundamental a la inviolabilidad de las comunicaciones privadas, porque cualquier intervención que no cumpla los requisitos legales aplicable carece de valor probatorio, situación que en el ámbito electoral impide autorizar la intervención de tales comunicaciones.</w:t>
      </w:r>
      <w:r w:rsidR="002B00BA">
        <w:rPr>
          <w:rStyle w:val="Refdenotaalpie"/>
          <w:rFonts w:ascii="Arial" w:eastAsia="Arial" w:hAnsi="Arial" w:cs="Arial"/>
          <w:sz w:val="24"/>
          <w:szCs w:val="24"/>
          <w:highlight w:val="white"/>
        </w:rPr>
        <w:footnoteReference w:id="8"/>
      </w:r>
    </w:p>
    <w:p w14:paraId="680DE020" w14:textId="77777777" w:rsidR="00734053" w:rsidRDefault="00734053">
      <w:pPr>
        <w:pBdr>
          <w:top w:val="nil"/>
          <w:left w:val="nil"/>
          <w:bottom w:val="nil"/>
          <w:right w:val="nil"/>
          <w:between w:val="nil"/>
        </w:pBdr>
        <w:rPr>
          <w:color w:val="000000"/>
          <w:highlight w:val="white"/>
        </w:rPr>
      </w:pPr>
    </w:p>
    <w:p w14:paraId="775C2262"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Acorde con tal criterio, cualquier medio de prueba que se origine de la intervención de una comunicación privada, constituye una prueba ilícita que carece de valor probatorio en el contexto del proceso judicial en materia electoral. </w:t>
      </w:r>
    </w:p>
    <w:p w14:paraId="24A005FC" w14:textId="77777777" w:rsidR="00734053" w:rsidRDefault="00734053">
      <w:pPr>
        <w:pBdr>
          <w:top w:val="nil"/>
          <w:left w:val="nil"/>
          <w:bottom w:val="nil"/>
          <w:right w:val="nil"/>
          <w:between w:val="nil"/>
        </w:pBdr>
        <w:rPr>
          <w:color w:val="000000"/>
          <w:highlight w:val="white"/>
        </w:rPr>
      </w:pPr>
    </w:p>
    <w:p w14:paraId="2A125C1B"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También, resulta conveniente tener presente el criterio sustentado por la Primera Sala de la Suprema Corte de Justicia de la Nación, quien consideró que la Constitución general no limita los medios a través de los cuales se puede producir la comunicación objeto de protección del derecho fundamental de inviolabilidad de las comunicaciones, ya que esta puede ser consultada por cualquier medio o artificio técnico desarrollado a la luz de las nuevas tecnologías. </w:t>
      </w:r>
    </w:p>
    <w:p w14:paraId="1D643D32" w14:textId="77777777" w:rsidR="00734053" w:rsidRDefault="00734053">
      <w:pPr>
        <w:pBdr>
          <w:top w:val="nil"/>
          <w:left w:val="nil"/>
          <w:bottom w:val="nil"/>
          <w:right w:val="nil"/>
          <w:between w:val="nil"/>
        </w:pBdr>
        <w:rPr>
          <w:color w:val="000000"/>
          <w:highlight w:val="white"/>
        </w:rPr>
      </w:pPr>
    </w:p>
    <w:p w14:paraId="298C6249"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Esto se debe a que, en la actualidad, las comunicaciones se producen, entre otros medios, a través de redes sociales y sistemas de correo electrónico y mensajería, situación que ha aumentado las posibilidades de intercambio de datos, informaciones y mensajes se han multiplicado, dada la existencia de tantos programas y sistemas como la tecnología es capaz de ofrecer y, por tanto, también las maneras en que dichos contenidos pueden ser interpretados y conocidos por personas a quienes no se ha autorizado expresamente para ello. </w:t>
      </w:r>
    </w:p>
    <w:p w14:paraId="09A34A10" w14:textId="77777777" w:rsidR="00734053" w:rsidRDefault="00734053">
      <w:pPr>
        <w:pBdr>
          <w:top w:val="nil"/>
          <w:left w:val="nil"/>
          <w:bottom w:val="nil"/>
          <w:right w:val="nil"/>
          <w:between w:val="nil"/>
        </w:pBdr>
        <w:rPr>
          <w:color w:val="000000"/>
          <w:highlight w:val="white"/>
        </w:rPr>
      </w:pPr>
    </w:p>
    <w:p w14:paraId="585CFC7C"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consecuencia, todas las formas existentes de comunicación y las que sean fruto de la evolución tecnológica, deben quedar protegidas por el derecho fundamental a la inviolabilidad de las comunicaciones privadas. </w:t>
      </w:r>
    </w:p>
    <w:p w14:paraId="024F157D" w14:textId="77777777" w:rsidR="00734053" w:rsidRDefault="00734053">
      <w:pPr>
        <w:pBdr>
          <w:top w:val="nil"/>
          <w:left w:val="nil"/>
          <w:bottom w:val="nil"/>
          <w:right w:val="nil"/>
          <w:between w:val="nil"/>
        </w:pBdr>
        <w:rPr>
          <w:color w:val="000000"/>
          <w:highlight w:val="white"/>
        </w:rPr>
      </w:pPr>
    </w:p>
    <w:p w14:paraId="2EF81A3A" w14:textId="512C1307" w:rsidR="00734053" w:rsidRDefault="003763B4">
      <w:pPr>
        <w:spacing w:line="360" w:lineRule="auto"/>
        <w:jc w:val="both"/>
        <w:rPr>
          <w:rFonts w:ascii="Arial" w:eastAsia="Arial" w:hAnsi="Arial" w:cs="Arial"/>
          <w:sz w:val="24"/>
          <w:szCs w:val="24"/>
          <w:highlight w:val="yellow"/>
        </w:rPr>
      </w:pPr>
      <w:r>
        <w:rPr>
          <w:rFonts w:ascii="Arial" w:eastAsia="Arial" w:hAnsi="Arial" w:cs="Arial"/>
          <w:sz w:val="24"/>
          <w:szCs w:val="24"/>
          <w:highlight w:val="white"/>
        </w:rPr>
        <w:t>En lo que respecta a las conversaciones difundidas mediante la plataforma de mensajería instantánea como lo es WhatsApp, la Sala Superior ha sostenido que a pesar de que se tratan de comunicaciones privadas, procede la admisión de tales elementos de prueba y valorar su contenido, siempre y cuando estas hayan sido obtenidas en forma lícita. Dicho en otra</w:t>
      </w:r>
      <w:r w:rsidR="002B00BA">
        <w:rPr>
          <w:rFonts w:ascii="Arial" w:eastAsia="Arial" w:hAnsi="Arial" w:cs="Arial"/>
          <w:sz w:val="24"/>
          <w:szCs w:val="24"/>
          <w:highlight w:val="white"/>
        </w:rPr>
        <w:t>s</w:t>
      </w:r>
      <w:r>
        <w:rPr>
          <w:rFonts w:ascii="Arial" w:eastAsia="Arial" w:hAnsi="Arial" w:cs="Arial"/>
          <w:sz w:val="24"/>
          <w:szCs w:val="24"/>
          <w:highlight w:val="white"/>
        </w:rPr>
        <w:t xml:space="preserve"> palabras, cuando hayan sido ofrecidas por alguna de las personas participantes en las comunicaciones, </w:t>
      </w:r>
      <w:r w:rsidR="002B00BA">
        <w:rPr>
          <w:rFonts w:ascii="Arial" w:eastAsia="Arial" w:hAnsi="Arial" w:cs="Arial"/>
          <w:sz w:val="24"/>
          <w:szCs w:val="24"/>
          <w:highlight w:val="white"/>
        </w:rPr>
        <w:t>puesto que,</w:t>
      </w:r>
      <w:r>
        <w:rPr>
          <w:rFonts w:ascii="Arial" w:eastAsia="Arial" w:hAnsi="Arial" w:cs="Arial"/>
          <w:sz w:val="24"/>
          <w:szCs w:val="24"/>
          <w:highlight w:val="white"/>
        </w:rPr>
        <w:t xml:space="preserve"> con ello, desvela la secrecía. </w:t>
      </w:r>
    </w:p>
    <w:p w14:paraId="7F12F74A" w14:textId="77777777" w:rsidR="00734053" w:rsidRDefault="003763B4">
      <w:pPr>
        <w:spacing w:before="240" w:after="240"/>
        <w:rPr>
          <w:rFonts w:ascii="Arial" w:eastAsia="Arial" w:hAnsi="Arial" w:cs="Arial"/>
          <w:b/>
          <w:color w:val="000000"/>
          <w:sz w:val="24"/>
          <w:szCs w:val="24"/>
        </w:rPr>
      </w:pPr>
      <w:r>
        <w:rPr>
          <w:rFonts w:ascii="Arial" w:eastAsia="Arial" w:hAnsi="Arial" w:cs="Arial"/>
          <w:b/>
          <w:color w:val="000000"/>
          <w:sz w:val="24"/>
          <w:szCs w:val="24"/>
        </w:rPr>
        <w:t>2. Caso Concreto</w:t>
      </w:r>
    </w:p>
    <w:p w14:paraId="15A5C906" w14:textId="77777777" w:rsidR="00734053" w:rsidRDefault="00734053">
      <w:pPr>
        <w:pBdr>
          <w:top w:val="nil"/>
          <w:left w:val="nil"/>
          <w:bottom w:val="nil"/>
          <w:right w:val="nil"/>
          <w:between w:val="nil"/>
        </w:pBdr>
        <w:rPr>
          <w:color w:val="000000"/>
        </w:rPr>
      </w:pPr>
    </w:p>
    <w:p w14:paraId="141D9777" w14:textId="77777777" w:rsidR="00734053" w:rsidRDefault="003763B4">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renovó a la gubernatura de Aguascalientes, presentó una queja ante el Instituto Local en contra de Nora Ruvalcaba Gámez, en su calidad de candidata postulada por Morena, y del propio instituto político, al considerar que la candidata usó, de manera indebida, recursos y programas sociales, derivado de la supuesta coacción en el voto de la ciudadanía en favor de la denunciada, a cambio de recibir dinero y beneficiarse de programas sociales del Gobierno Federal. </w:t>
      </w:r>
    </w:p>
    <w:p w14:paraId="4E48711E" w14:textId="77777777" w:rsidR="00734053" w:rsidRDefault="00734053">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p>
    <w:p w14:paraId="4C287147" w14:textId="77777777" w:rsidR="00734053" w:rsidRDefault="003763B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468E816A" w14:textId="77777777" w:rsidR="00734053" w:rsidRDefault="00734053">
      <w:pPr>
        <w:pBdr>
          <w:top w:val="nil"/>
          <w:left w:val="nil"/>
          <w:bottom w:val="nil"/>
          <w:right w:val="nil"/>
          <w:between w:val="nil"/>
        </w:pBdr>
        <w:rPr>
          <w:color w:val="000000"/>
        </w:rPr>
      </w:pPr>
    </w:p>
    <w:p w14:paraId="6407AA6E"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Este Tribunal Electoral considera que las infracciones denunciadas -coacción y uso indebido de programas sociales- son </w:t>
      </w:r>
      <w:r>
        <w:rPr>
          <w:rFonts w:ascii="Arial" w:eastAsia="Arial" w:hAnsi="Arial" w:cs="Arial"/>
          <w:b/>
          <w:sz w:val="24"/>
          <w:szCs w:val="24"/>
          <w:highlight w:val="white"/>
        </w:rPr>
        <w:t>inexistentes</w:t>
      </w:r>
      <w:r>
        <w:rPr>
          <w:rFonts w:ascii="Arial" w:eastAsia="Arial" w:hAnsi="Arial" w:cs="Arial"/>
          <w:sz w:val="24"/>
          <w:szCs w:val="24"/>
          <w:highlight w:val="white"/>
        </w:rPr>
        <w:t xml:space="preserve">, porque la parte denunciante sustentó su dicho en una prueba obtenida a través la plataforma de mensajería instantánea de WhatsApp, situación que implicó la necesidad para esta autoridad, de valorar si tal prueba fue aportada de forma lícita, es decir, que la parte denunciada hubiese participado en el contenido de tal conversación y, por tanto, hubiese ofrecido dicho medio probatorio de forma voluntaria, no obstante, del escrito de denuncia </w:t>
      </w:r>
      <w:r>
        <w:rPr>
          <w:rFonts w:ascii="Arial" w:eastAsia="Arial" w:hAnsi="Arial" w:cs="Arial"/>
          <w:b/>
          <w:sz w:val="24"/>
          <w:szCs w:val="24"/>
          <w:highlight w:val="white"/>
        </w:rPr>
        <w:t>no se advierte que la parte quejosa hubiese demostrado tal situación</w:t>
      </w:r>
      <w:r>
        <w:rPr>
          <w:rFonts w:ascii="Arial" w:eastAsia="Arial" w:hAnsi="Arial" w:cs="Arial"/>
          <w:sz w:val="24"/>
          <w:szCs w:val="24"/>
          <w:highlight w:val="white"/>
        </w:rPr>
        <w:t xml:space="preserve">, ya que se limita a señalar que el audio lo obtuvo de dicha aplicación, sin aportar mayores elementos para esclarecer tal situación. </w:t>
      </w:r>
    </w:p>
    <w:p w14:paraId="15221F85" w14:textId="77777777" w:rsidR="00734053" w:rsidRDefault="00734053">
      <w:pPr>
        <w:pBdr>
          <w:top w:val="nil"/>
          <w:left w:val="nil"/>
          <w:bottom w:val="nil"/>
          <w:right w:val="nil"/>
          <w:between w:val="nil"/>
        </w:pBdr>
        <w:rPr>
          <w:color w:val="000000"/>
          <w:highlight w:val="white"/>
        </w:rPr>
      </w:pPr>
    </w:p>
    <w:p w14:paraId="591FF7D3"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Esta postura se debe a que, tal como se adelantó, la parte denunciante pretende acreditar las irregularidades que denuncia a partir del ofrecimiento de un audio, en el que, a su dicho, demuestra la existencia de las infracciones comentadas, medio de prueba que refiere haber obtenido de una conversación surgida en la plataforma digital de WhatsApp, de la cual, no reconoció en su escrito de denuncia, formar parte de esta, por lo cual, es posible asumir que fue una persona tercera ajena al diálogo o interlocución en la que se emitieron. </w:t>
      </w:r>
    </w:p>
    <w:p w14:paraId="3A733092" w14:textId="77777777" w:rsidR="00734053" w:rsidRDefault="00734053">
      <w:pPr>
        <w:jc w:val="both"/>
        <w:rPr>
          <w:rFonts w:ascii="Arial" w:eastAsia="Arial" w:hAnsi="Arial" w:cs="Arial"/>
          <w:sz w:val="24"/>
          <w:szCs w:val="24"/>
          <w:highlight w:val="white"/>
        </w:rPr>
      </w:pPr>
    </w:p>
    <w:p w14:paraId="701B1F7D"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Por tales condiciones, esta autoridad jurisdiccional estima que </w:t>
      </w:r>
      <w:r>
        <w:rPr>
          <w:rFonts w:ascii="Arial" w:eastAsia="Arial" w:hAnsi="Arial" w:cs="Arial"/>
          <w:b/>
          <w:sz w:val="24"/>
          <w:szCs w:val="24"/>
          <w:highlight w:val="white"/>
        </w:rPr>
        <w:t>la prueba obtenida se trata de una comunicación privada</w:t>
      </w:r>
      <w:r>
        <w:rPr>
          <w:rFonts w:ascii="Arial" w:eastAsia="Arial" w:hAnsi="Arial" w:cs="Arial"/>
          <w:sz w:val="24"/>
          <w:szCs w:val="24"/>
          <w:highlight w:val="white"/>
        </w:rPr>
        <w:t xml:space="preserve"> que no fue aportada de forma voluntaria por parte de alguna de las personas que, a dicho del denunciante, participaron en ella. </w:t>
      </w:r>
    </w:p>
    <w:p w14:paraId="5B93DF11" w14:textId="77777777" w:rsidR="00734053" w:rsidRDefault="00734053">
      <w:pPr>
        <w:pBdr>
          <w:top w:val="nil"/>
          <w:left w:val="nil"/>
          <w:bottom w:val="nil"/>
          <w:right w:val="nil"/>
          <w:between w:val="nil"/>
        </w:pBdr>
        <w:rPr>
          <w:color w:val="000000"/>
          <w:highlight w:val="white"/>
        </w:rPr>
      </w:pPr>
    </w:p>
    <w:p w14:paraId="52E1754D" w14:textId="561B6401" w:rsidR="00734053" w:rsidRDefault="003763B4">
      <w:pPr>
        <w:spacing w:line="360" w:lineRule="auto"/>
        <w:jc w:val="both"/>
        <w:rPr>
          <w:rFonts w:ascii="Arial" w:eastAsia="Arial" w:hAnsi="Arial" w:cs="Arial"/>
          <w:i/>
          <w:sz w:val="24"/>
          <w:szCs w:val="24"/>
          <w:highlight w:val="white"/>
        </w:rPr>
      </w:pPr>
      <w:r>
        <w:rPr>
          <w:rFonts w:ascii="Arial" w:eastAsia="Arial" w:hAnsi="Arial" w:cs="Arial"/>
          <w:sz w:val="24"/>
          <w:szCs w:val="24"/>
          <w:highlight w:val="white"/>
        </w:rPr>
        <w:t>Lo anterior es resultado de que la parte quejosa se limita señalar lo siguiente:</w:t>
      </w:r>
      <w:r>
        <w:rPr>
          <w:rFonts w:ascii="Arial" w:eastAsia="Arial" w:hAnsi="Arial" w:cs="Arial"/>
          <w:i/>
          <w:sz w:val="24"/>
          <w:szCs w:val="24"/>
          <w:highlight w:val="white"/>
        </w:rPr>
        <w:t xml:space="preserve"> “en fecha cuatro de junio, un día antes de la jornada electoral, durante la etapa de veda electoral, me entero a través </w:t>
      </w:r>
      <w:r w:rsidR="006E1662">
        <w:rPr>
          <w:rFonts w:ascii="Arial" w:eastAsia="Arial" w:hAnsi="Arial" w:cs="Arial"/>
          <w:i/>
          <w:sz w:val="24"/>
          <w:szCs w:val="24"/>
          <w:highlight w:val="white"/>
        </w:rPr>
        <w:t>de la</w:t>
      </w:r>
      <w:r>
        <w:rPr>
          <w:rFonts w:ascii="Arial" w:eastAsia="Arial" w:hAnsi="Arial" w:cs="Arial"/>
          <w:i/>
          <w:sz w:val="24"/>
          <w:szCs w:val="24"/>
          <w:highlight w:val="white"/>
        </w:rPr>
        <w:t xml:space="preserve"> red social de Whats</w:t>
      </w:r>
      <w:r w:rsidR="006E1662">
        <w:rPr>
          <w:rFonts w:ascii="Arial" w:eastAsia="Arial" w:hAnsi="Arial" w:cs="Arial"/>
          <w:i/>
          <w:sz w:val="24"/>
          <w:szCs w:val="24"/>
          <w:highlight w:val="white"/>
        </w:rPr>
        <w:t>A</w:t>
      </w:r>
      <w:r>
        <w:rPr>
          <w:rFonts w:ascii="Arial" w:eastAsia="Arial" w:hAnsi="Arial" w:cs="Arial"/>
          <w:i/>
          <w:sz w:val="24"/>
          <w:szCs w:val="24"/>
          <w:highlight w:val="white"/>
        </w:rPr>
        <w:t xml:space="preserve">pp de la comisión de actos que son violatorios a los principios electorales, por coacción al voto, así como el uso de programas sociales con fines electorales, por parte del Partido MORENA, sus militantes y Nora Ruvalcaba Gámez [...]”. </w:t>
      </w:r>
    </w:p>
    <w:p w14:paraId="2E5DFAEB" w14:textId="77777777" w:rsidR="00734053" w:rsidRDefault="00734053">
      <w:pPr>
        <w:pBdr>
          <w:top w:val="nil"/>
          <w:left w:val="nil"/>
          <w:bottom w:val="nil"/>
          <w:right w:val="nil"/>
          <w:between w:val="nil"/>
        </w:pBdr>
        <w:rPr>
          <w:color w:val="000000"/>
          <w:highlight w:val="white"/>
        </w:rPr>
      </w:pPr>
    </w:p>
    <w:p w14:paraId="666FCB15"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De la afirmación íntegra ya transcrita, es posible advertir que el denunciante señala expresamente en su escrito de denuncia que la prueba ofrecida -audio- fue resultado de un dato que él obtuvo, al referir que, a través de mensajería instantánea de WhatsApp, identificó las supuestas irregularidades, sin precisar en alguna parte de tal escrito que este hubiese participado en dicha conversación dentro del marco de tales comunicaciones y, por ello, que hubiese sido </w:t>
      </w:r>
      <w:r>
        <w:rPr>
          <w:rFonts w:ascii="Arial" w:eastAsia="Arial" w:hAnsi="Arial" w:cs="Arial"/>
          <w:b/>
          <w:sz w:val="24"/>
          <w:szCs w:val="24"/>
          <w:highlight w:val="white"/>
        </w:rPr>
        <w:t>su voluntad levantar el secreto de las comunicaciones</w:t>
      </w:r>
      <w:r>
        <w:rPr>
          <w:rFonts w:ascii="Arial" w:eastAsia="Arial" w:hAnsi="Arial" w:cs="Arial"/>
          <w:sz w:val="24"/>
          <w:szCs w:val="24"/>
          <w:highlight w:val="white"/>
        </w:rPr>
        <w:t xml:space="preserve"> y compartir su contenido con las autoridades electorales a fin de que fueran utilizadas como medio probatorio en la instancia jurisdiccional. </w:t>
      </w:r>
    </w:p>
    <w:p w14:paraId="69CEC9EE" w14:textId="77777777" w:rsidR="00734053" w:rsidRDefault="00734053">
      <w:pPr>
        <w:pBdr>
          <w:top w:val="nil"/>
          <w:left w:val="nil"/>
          <w:bottom w:val="nil"/>
          <w:right w:val="nil"/>
          <w:between w:val="nil"/>
        </w:pBdr>
        <w:rPr>
          <w:color w:val="000000"/>
          <w:highlight w:val="white"/>
        </w:rPr>
      </w:pPr>
    </w:p>
    <w:p w14:paraId="3D259F7B"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Por otra parte, de las constancias que existen en el expediente, este Tribunal Electoral advierte que no existe constancia alguna con la que se acredite que alguna de las personas </w:t>
      </w:r>
      <w:r>
        <w:rPr>
          <w:rFonts w:ascii="Arial" w:eastAsia="Arial" w:hAnsi="Arial" w:cs="Arial"/>
          <w:sz w:val="24"/>
          <w:szCs w:val="24"/>
          <w:highlight w:val="white"/>
        </w:rPr>
        <w:lastRenderedPageBreak/>
        <w:t xml:space="preserve">que participaron en las conversaciones, fuera quien difundió su contenido o autorizado al denunciante su difusión a fin de que se haya usado en el presente procedimiento sancionador. </w:t>
      </w:r>
    </w:p>
    <w:p w14:paraId="6763FA5D" w14:textId="77777777" w:rsidR="00734053" w:rsidRDefault="00734053">
      <w:pPr>
        <w:pBdr>
          <w:top w:val="nil"/>
          <w:left w:val="nil"/>
          <w:bottom w:val="nil"/>
          <w:right w:val="nil"/>
          <w:between w:val="nil"/>
        </w:pBdr>
        <w:rPr>
          <w:color w:val="000000"/>
          <w:highlight w:val="white"/>
        </w:rPr>
      </w:pPr>
    </w:p>
    <w:p w14:paraId="0188A2F9"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consecuencia, a criterio de este órgano jurisdiccional, </w:t>
      </w:r>
      <w:r>
        <w:rPr>
          <w:rFonts w:ascii="Arial" w:eastAsia="Arial" w:hAnsi="Arial" w:cs="Arial"/>
          <w:b/>
          <w:sz w:val="24"/>
          <w:szCs w:val="24"/>
          <w:highlight w:val="white"/>
        </w:rPr>
        <w:t>los medios probatorios aportados no gozan de licitud</w:t>
      </w:r>
      <w:r>
        <w:rPr>
          <w:rFonts w:ascii="Arial" w:eastAsia="Arial" w:hAnsi="Arial" w:cs="Arial"/>
          <w:sz w:val="24"/>
          <w:szCs w:val="24"/>
          <w:highlight w:val="white"/>
        </w:rPr>
        <w:t xml:space="preserve">, por lo cual </w:t>
      </w:r>
      <w:r>
        <w:rPr>
          <w:rFonts w:ascii="Arial" w:eastAsia="Arial" w:hAnsi="Arial" w:cs="Arial"/>
          <w:b/>
          <w:sz w:val="24"/>
          <w:szCs w:val="24"/>
          <w:highlight w:val="white"/>
          <w:u w:val="single"/>
        </w:rPr>
        <w:t>ni siquiera tienen un valor probatorio indiciario</w:t>
      </w:r>
      <w:r>
        <w:rPr>
          <w:rFonts w:ascii="Arial" w:eastAsia="Arial" w:hAnsi="Arial" w:cs="Arial"/>
          <w:sz w:val="24"/>
          <w:szCs w:val="24"/>
          <w:highlight w:val="white"/>
        </w:rPr>
        <w:t xml:space="preserve">, pues tal y como lo refirió la funcionaria de la oficialía electoral, solo reprodujo el contenido del CD, sin haber constatado mayores elementos. </w:t>
      </w:r>
    </w:p>
    <w:p w14:paraId="71E0CE1F" w14:textId="77777777" w:rsidR="00734053" w:rsidRDefault="00734053">
      <w:pPr>
        <w:pBdr>
          <w:top w:val="nil"/>
          <w:left w:val="nil"/>
          <w:bottom w:val="nil"/>
          <w:right w:val="nil"/>
          <w:between w:val="nil"/>
        </w:pBdr>
        <w:rPr>
          <w:color w:val="000000"/>
          <w:highlight w:val="white"/>
        </w:rPr>
      </w:pPr>
    </w:p>
    <w:p w14:paraId="585066C9" w14:textId="77777777" w:rsidR="00734053" w:rsidRDefault="003763B4">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Por lo expuesto, este Tribunal Electoral estima que </w:t>
      </w:r>
      <w:r>
        <w:rPr>
          <w:rFonts w:ascii="Arial" w:eastAsia="Arial" w:hAnsi="Arial" w:cs="Arial"/>
          <w:b/>
          <w:sz w:val="24"/>
          <w:szCs w:val="24"/>
          <w:highlight w:val="white"/>
        </w:rPr>
        <w:t>las infracciones son inexistentes</w:t>
      </w:r>
      <w:r>
        <w:rPr>
          <w:rFonts w:ascii="Arial" w:eastAsia="Arial" w:hAnsi="Arial" w:cs="Arial"/>
          <w:sz w:val="24"/>
          <w:szCs w:val="24"/>
          <w:highlight w:val="white"/>
        </w:rPr>
        <w:t xml:space="preserve">, dado que, como se argumentó, las pruebas no resultan lícitas y, por tanto, deben ser excluidas de cualquier valoración probatoria, al existir el riesgo de vulnerar lo previsto en el artículo 16 de la Constitución general, en cuanto al derecho fundamental de la inviolabilidad de las comunicaciones privadas. </w:t>
      </w:r>
    </w:p>
    <w:p w14:paraId="1F840536" w14:textId="77777777" w:rsidR="00734053" w:rsidRDefault="00734053">
      <w:pPr>
        <w:jc w:val="both"/>
        <w:rPr>
          <w:rFonts w:ascii="Arial" w:eastAsia="Arial" w:hAnsi="Arial" w:cs="Arial"/>
          <w:sz w:val="24"/>
          <w:szCs w:val="24"/>
          <w:highlight w:val="white"/>
        </w:rPr>
      </w:pPr>
    </w:p>
    <w:p w14:paraId="26C8BA71" w14:textId="77777777" w:rsidR="00734053" w:rsidRDefault="003763B4">
      <w:pPr>
        <w:spacing w:line="360" w:lineRule="auto"/>
        <w:jc w:val="center"/>
        <w:rPr>
          <w:rFonts w:ascii="Arial" w:eastAsia="Arial" w:hAnsi="Arial" w:cs="Arial"/>
          <w:b/>
          <w:sz w:val="24"/>
          <w:szCs w:val="24"/>
        </w:rPr>
      </w:pPr>
      <w:r>
        <w:rPr>
          <w:rFonts w:ascii="Arial" w:eastAsia="Arial" w:hAnsi="Arial" w:cs="Arial"/>
          <w:b/>
          <w:sz w:val="24"/>
          <w:szCs w:val="24"/>
        </w:rPr>
        <w:t>VII. Resolutivos:</w:t>
      </w:r>
    </w:p>
    <w:p w14:paraId="7DA54203" w14:textId="77777777" w:rsidR="00734053" w:rsidRDefault="00734053">
      <w:pPr>
        <w:pBdr>
          <w:top w:val="nil"/>
          <w:left w:val="nil"/>
          <w:bottom w:val="nil"/>
          <w:right w:val="nil"/>
          <w:between w:val="nil"/>
        </w:pBdr>
        <w:rPr>
          <w:color w:val="000000"/>
        </w:rPr>
      </w:pPr>
    </w:p>
    <w:p w14:paraId="47E25970" w14:textId="77777777" w:rsidR="00734053" w:rsidRDefault="003763B4">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 xml:space="preserve">inexistencia de los hechos denunciados </w:t>
      </w:r>
      <w:r>
        <w:rPr>
          <w:rFonts w:ascii="Arial" w:eastAsia="Arial" w:hAnsi="Arial" w:cs="Arial"/>
          <w:sz w:val="24"/>
          <w:szCs w:val="24"/>
        </w:rPr>
        <w:t>atribuidos a la entonces candidata, Nora Ruvalcaba Gámez.</w:t>
      </w:r>
    </w:p>
    <w:p w14:paraId="518DEA57" w14:textId="77777777" w:rsidR="00734053" w:rsidRDefault="00734053">
      <w:pPr>
        <w:jc w:val="both"/>
        <w:rPr>
          <w:rFonts w:ascii="Arial" w:eastAsia="Arial" w:hAnsi="Arial" w:cs="Arial"/>
          <w:sz w:val="24"/>
          <w:szCs w:val="24"/>
        </w:rPr>
      </w:pPr>
    </w:p>
    <w:p w14:paraId="4C63DE7A" w14:textId="77777777" w:rsidR="00734053" w:rsidRDefault="003763B4">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2E5AC41D" w14:textId="77777777" w:rsidR="00734053" w:rsidRDefault="00734053">
      <w:pPr>
        <w:pBdr>
          <w:top w:val="nil"/>
          <w:left w:val="nil"/>
          <w:bottom w:val="nil"/>
          <w:right w:val="nil"/>
          <w:between w:val="nil"/>
        </w:pBdr>
        <w:rPr>
          <w:color w:val="000000"/>
        </w:rPr>
      </w:pPr>
    </w:p>
    <w:p w14:paraId="6B22658C" w14:textId="77777777" w:rsidR="00734053" w:rsidRDefault="003763B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219EA3F9" w14:textId="77777777" w:rsidR="00734053" w:rsidRDefault="00734053">
      <w:pPr>
        <w:pBdr>
          <w:top w:val="nil"/>
          <w:left w:val="nil"/>
          <w:bottom w:val="nil"/>
          <w:right w:val="nil"/>
          <w:between w:val="nil"/>
        </w:pBdr>
        <w:rPr>
          <w:color w:val="000000"/>
        </w:rPr>
      </w:pPr>
    </w:p>
    <w:p w14:paraId="5E054186" w14:textId="77777777" w:rsidR="00734053" w:rsidRDefault="003763B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0AAFA91E" w14:textId="6495DB14" w:rsidR="00734053" w:rsidRDefault="00734053">
      <w:pPr>
        <w:pBdr>
          <w:top w:val="nil"/>
          <w:left w:val="nil"/>
          <w:bottom w:val="nil"/>
          <w:right w:val="nil"/>
          <w:between w:val="nil"/>
        </w:pBdr>
        <w:rPr>
          <w:color w:val="000000"/>
        </w:rPr>
      </w:pPr>
    </w:p>
    <w:tbl>
      <w:tblPr>
        <w:tblStyle w:val="aff9"/>
        <w:tblW w:w="9120" w:type="dxa"/>
        <w:jc w:val="center"/>
        <w:tblInd w:w="0" w:type="dxa"/>
        <w:tblLayout w:type="fixed"/>
        <w:tblLook w:val="0400" w:firstRow="0" w:lastRow="0" w:firstColumn="0" w:lastColumn="0" w:noHBand="0" w:noVBand="1"/>
      </w:tblPr>
      <w:tblGrid>
        <w:gridCol w:w="4559"/>
        <w:gridCol w:w="4561"/>
      </w:tblGrid>
      <w:tr w:rsidR="00734053" w14:paraId="60140808" w14:textId="77777777">
        <w:trPr>
          <w:trHeight w:val="1211"/>
          <w:jc w:val="center"/>
        </w:trPr>
        <w:tc>
          <w:tcPr>
            <w:tcW w:w="9120" w:type="dxa"/>
            <w:gridSpan w:val="2"/>
            <w:shd w:val="clear" w:color="auto" w:fill="auto"/>
          </w:tcPr>
          <w:p w14:paraId="0FF7ABE8" w14:textId="77777777" w:rsidR="00734053" w:rsidRDefault="003763B4">
            <w:pPr>
              <w:spacing w:line="360" w:lineRule="auto"/>
              <w:jc w:val="center"/>
              <w:rPr>
                <w:rFonts w:ascii="Arial" w:eastAsia="Arial" w:hAnsi="Arial" w:cs="Arial"/>
                <w:b/>
                <w:color w:val="000000"/>
                <w:sz w:val="24"/>
                <w:szCs w:val="24"/>
              </w:rPr>
            </w:pPr>
            <w:bookmarkStart w:id="6" w:name="_heading=h.3znysh7" w:colFirst="0" w:colLast="0"/>
            <w:bookmarkEnd w:id="6"/>
            <w:r>
              <w:rPr>
                <w:rFonts w:ascii="Arial" w:eastAsia="Arial" w:hAnsi="Arial" w:cs="Arial"/>
                <w:b/>
                <w:color w:val="000000"/>
                <w:sz w:val="24"/>
                <w:szCs w:val="24"/>
              </w:rPr>
              <w:t>MAGISTRADA PRESIDENTA</w:t>
            </w:r>
          </w:p>
          <w:p w14:paraId="2B8AAC1D" w14:textId="77777777" w:rsidR="00734053" w:rsidRDefault="00734053">
            <w:pPr>
              <w:pBdr>
                <w:top w:val="nil"/>
                <w:left w:val="nil"/>
                <w:bottom w:val="nil"/>
                <w:right w:val="nil"/>
                <w:between w:val="nil"/>
              </w:pBdr>
              <w:rPr>
                <w:rFonts w:ascii="Times New Roman" w:eastAsia="Times New Roman" w:hAnsi="Times New Roman" w:cs="Times New Roman"/>
                <w:color w:val="000000"/>
                <w:sz w:val="24"/>
                <w:szCs w:val="24"/>
              </w:rPr>
            </w:pPr>
          </w:p>
          <w:p w14:paraId="01F99D4B" w14:textId="77777777" w:rsidR="00734053" w:rsidRDefault="003763B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734053" w14:paraId="6AB6CA5B" w14:textId="77777777">
        <w:trPr>
          <w:trHeight w:val="1549"/>
          <w:jc w:val="center"/>
        </w:trPr>
        <w:tc>
          <w:tcPr>
            <w:tcW w:w="4559" w:type="dxa"/>
            <w:shd w:val="clear" w:color="auto" w:fill="auto"/>
          </w:tcPr>
          <w:p w14:paraId="7B85072D" w14:textId="37B9338E" w:rsidR="00734053" w:rsidRDefault="003763B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39714C40" w14:textId="178C0B2C" w:rsidR="00734053" w:rsidRDefault="00734053">
            <w:pPr>
              <w:pBdr>
                <w:top w:val="nil"/>
                <w:left w:val="nil"/>
                <w:bottom w:val="nil"/>
                <w:right w:val="nil"/>
                <w:between w:val="nil"/>
              </w:pBdr>
              <w:rPr>
                <w:rFonts w:ascii="Times New Roman" w:eastAsia="Times New Roman" w:hAnsi="Times New Roman" w:cs="Times New Roman"/>
                <w:color w:val="000000"/>
                <w:sz w:val="24"/>
                <w:szCs w:val="24"/>
              </w:rPr>
            </w:pPr>
          </w:p>
          <w:p w14:paraId="4A86F350" w14:textId="3244E73F" w:rsidR="00734053" w:rsidRDefault="003763B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6312984" w14:textId="77777777" w:rsidR="00734053" w:rsidRDefault="003763B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1712848C" w14:textId="77777777" w:rsidR="00734053" w:rsidRDefault="003763B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3C73AF4C" w14:textId="77777777" w:rsidR="00734053" w:rsidRDefault="00734053">
            <w:pPr>
              <w:rPr>
                <w:sz w:val="28"/>
                <w:szCs w:val="28"/>
              </w:rPr>
            </w:pPr>
          </w:p>
          <w:p w14:paraId="3D18D88B" w14:textId="77777777" w:rsidR="00734053" w:rsidRDefault="003763B4">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7D380F7B" w14:textId="77777777" w:rsidR="00734053" w:rsidRDefault="003763B4">
            <w:pPr>
              <w:jc w:val="center"/>
              <w:rPr>
                <w:sz w:val="24"/>
                <w:szCs w:val="24"/>
              </w:rPr>
            </w:pPr>
            <w:r>
              <w:rPr>
                <w:rFonts w:ascii="Arial" w:eastAsia="Arial" w:hAnsi="Arial" w:cs="Arial"/>
                <w:b/>
                <w:color w:val="000000"/>
                <w:sz w:val="24"/>
                <w:szCs w:val="24"/>
              </w:rPr>
              <w:t>HERNÁNDEZ GALLEGOS</w:t>
            </w:r>
          </w:p>
        </w:tc>
      </w:tr>
      <w:tr w:rsidR="00734053" w14:paraId="2C693FD3" w14:textId="77777777">
        <w:trPr>
          <w:jc w:val="center"/>
        </w:trPr>
        <w:tc>
          <w:tcPr>
            <w:tcW w:w="9120" w:type="dxa"/>
            <w:gridSpan w:val="2"/>
            <w:shd w:val="clear" w:color="auto" w:fill="auto"/>
          </w:tcPr>
          <w:p w14:paraId="017DFBD3" w14:textId="26742F09" w:rsidR="00734053" w:rsidRDefault="003763B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59327D4E" w14:textId="3F0223C8" w:rsidR="00734053" w:rsidRDefault="00734053">
            <w:pPr>
              <w:pBdr>
                <w:top w:val="nil"/>
                <w:left w:val="nil"/>
                <w:bottom w:val="nil"/>
                <w:right w:val="nil"/>
                <w:between w:val="nil"/>
              </w:pBdr>
              <w:rPr>
                <w:rFonts w:ascii="Times New Roman" w:eastAsia="Times New Roman" w:hAnsi="Times New Roman" w:cs="Times New Roman"/>
                <w:color w:val="000000"/>
                <w:sz w:val="24"/>
                <w:szCs w:val="24"/>
              </w:rPr>
            </w:pPr>
          </w:p>
          <w:p w14:paraId="00FE0743" w14:textId="77777777" w:rsidR="00734053" w:rsidRDefault="003763B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5CC25B1E" w14:textId="426FBEF7" w:rsidR="00734053" w:rsidRDefault="00734053">
      <w:pPr>
        <w:spacing w:line="360" w:lineRule="auto"/>
        <w:rPr>
          <w:rFonts w:ascii="Arial" w:eastAsia="Arial" w:hAnsi="Arial" w:cs="Arial"/>
          <w:sz w:val="24"/>
          <w:szCs w:val="24"/>
        </w:rPr>
      </w:pPr>
    </w:p>
    <w:sectPr w:rsidR="00734053">
      <w:headerReference w:type="even" r:id="rId8"/>
      <w:headerReference w:type="default" r:id="rId9"/>
      <w:footerReference w:type="even" r:id="rId10"/>
      <w:footerReference w:type="default" r:id="rId11"/>
      <w:headerReference w:type="first" r:id="rId12"/>
      <w:footerReference w:type="first" r:id="rId13"/>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7606D" w14:textId="77777777" w:rsidR="00A34381" w:rsidRDefault="00A34381">
      <w:r>
        <w:separator/>
      </w:r>
    </w:p>
  </w:endnote>
  <w:endnote w:type="continuationSeparator" w:id="0">
    <w:p w14:paraId="484E8168" w14:textId="77777777" w:rsidR="00A34381" w:rsidRDefault="00A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2444" w14:textId="77777777" w:rsidR="00734053" w:rsidRDefault="0073405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8F28" w14:textId="77777777" w:rsidR="00734053" w:rsidRDefault="0073405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EE27" w14:textId="77777777" w:rsidR="00734053" w:rsidRDefault="0073405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2B2D4" w14:textId="77777777" w:rsidR="00A34381" w:rsidRDefault="00A34381">
      <w:r>
        <w:separator/>
      </w:r>
    </w:p>
  </w:footnote>
  <w:footnote w:type="continuationSeparator" w:id="0">
    <w:p w14:paraId="55437D69" w14:textId="77777777" w:rsidR="00A34381" w:rsidRDefault="00A34381">
      <w:r>
        <w:continuationSeparator/>
      </w:r>
    </w:p>
  </w:footnote>
  <w:footnote w:id="1">
    <w:p w14:paraId="76BB87CA" w14:textId="77777777" w:rsidR="00734053" w:rsidRDefault="003763B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13553FE1" w14:textId="77777777" w:rsidR="00734053" w:rsidRDefault="003763B4">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48805901" w14:textId="77777777" w:rsidR="00734053" w:rsidRDefault="003763B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7EE35307" w14:textId="77777777" w:rsidR="00734053" w:rsidRDefault="003763B4">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71F5214F" w14:textId="77777777" w:rsidR="00734053" w:rsidRDefault="003763B4">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640BD7F2" w14:textId="77777777" w:rsidR="00734053" w:rsidRDefault="003763B4">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35684FAF" w14:textId="77777777" w:rsidR="00734053" w:rsidRDefault="003763B4">
      <w:pPr>
        <w:jc w:val="both"/>
        <w:rPr>
          <w:rFonts w:ascii="Arial" w:eastAsia="Arial" w:hAnsi="Arial" w:cs="Arial"/>
        </w:rPr>
      </w:pPr>
      <w:r>
        <w:rPr>
          <w:rFonts w:ascii="Arial" w:eastAsia="Arial" w:hAnsi="Arial" w:cs="Arial"/>
        </w:rPr>
        <w:t>III. El denunciante no aporte ni ofrezca prueba alguna de sus dichos; […]</w:t>
      </w:r>
    </w:p>
    <w:p w14:paraId="7DC5AE35" w14:textId="77777777" w:rsidR="00734053" w:rsidRDefault="003763B4">
      <w:pPr>
        <w:jc w:val="both"/>
        <w:rPr>
          <w:rFonts w:ascii="Arial" w:eastAsia="Arial" w:hAnsi="Arial" w:cs="Arial"/>
        </w:rPr>
      </w:pPr>
      <w:r>
        <w:rPr>
          <w:rFonts w:ascii="Arial" w:eastAsia="Arial" w:hAnsi="Arial" w:cs="Arial"/>
        </w:rPr>
        <w:t>V. La denuncia sea evidentemente frívola. […]</w:t>
      </w:r>
    </w:p>
    <w:p w14:paraId="23B92BF4" w14:textId="77777777" w:rsidR="00734053" w:rsidRDefault="00734053">
      <w:pPr>
        <w:rPr>
          <w:rFonts w:ascii="Arial" w:eastAsia="Arial" w:hAnsi="Arial" w:cs="Arial"/>
        </w:rPr>
      </w:pPr>
    </w:p>
  </w:footnote>
  <w:footnote w:id="6">
    <w:p w14:paraId="11D7FD7F" w14:textId="77777777" w:rsidR="00734053" w:rsidRDefault="003763B4">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6249A0D" w14:textId="77777777" w:rsidR="00734053" w:rsidRDefault="003763B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65369EF1" w14:textId="77777777" w:rsidR="00734053" w:rsidRDefault="003763B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7B7C628E" w14:textId="77777777" w:rsidR="00734053" w:rsidRDefault="00734053">
      <w:pPr>
        <w:pBdr>
          <w:top w:val="nil"/>
          <w:left w:val="nil"/>
          <w:bottom w:val="nil"/>
          <w:right w:val="nil"/>
          <w:between w:val="nil"/>
        </w:pBdr>
        <w:rPr>
          <w:rFonts w:ascii="Arial" w:eastAsia="Arial" w:hAnsi="Arial" w:cs="Arial"/>
          <w:color w:val="000000"/>
        </w:rPr>
      </w:pPr>
    </w:p>
  </w:footnote>
  <w:footnote w:id="7">
    <w:p w14:paraId="6DDDEE13" w14:textId="56FF955C" w:rsidR="00734053" w:rsidRDefault="003763B4">
      <w:pPr>
        <w:jc w:val="both"/>
        <w:rPr>
          <w:rFonts w:ascii="Arial" w:eastAsia="Arial" w:hAnsi="Arial" w:cs="Arial"/>
        </w:rPr>
      </w:pPr>
      <w:r>
        <w:rPr>
          <w:vertAlign w:val="superscript"/>
        </w:rPr>
        <w:footnoteRef/>
      </w:r>
      <w:r>
        <w:rPr>
          <w:rFonts w:ascii="Arial" w:eastAsia="Arial" w:hAnsi="Arial" w:cs="Arial"/>
        </w:rPr>
        <w:t xml:space="preserve"> Artículo 16. 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w:t>
      </w:r>
      <w:r w:rsidR="00AE4F1D">
        <w:rPr>
          <w:rFonts w:ascii="Arial" w:eastAsia="Arial" w:hAnsi="Arial" w:cs="Arial"/>
        </w:rPr>
        <w:t xml:space="preserve"> </w:t>
      </w:r>
      <w:r>
        <w:rPr>
          <w:rFonts w:ascii="Arial" w:eastAsia="Arial" w:hAnsi="Arial" w:cs="Arial"/>
        </w:rPr>
        <w:t>[...]</w:t>
      </w:r>
      <w:r>
        <w:rPr>
          <w:rFonts w:ascii="Arial" w:eastAsia="Arial" w:hAnsi="Arial" w:cs="Arial"/>
        </w:rPr>
        <w:br/>
        <w:t xml:space="preserve">Las comunicaciones privadas son inviolables. La ley sancionará penalmente cualquier acto que atente contra la libertad y </w:t>
      </w:r>
      <w:proofErr w:type="spellStart"/>
      <w:r>
        <w:rPr>
          <w:rFonts w:ascii="Arial" w:eastAsia="Arial" w:hAnsi="Arial" w:cs="Arial"/>
        </w:rPr>
        <w:t>privacía</w:t>
      </w:r>
      <w:proofErr w:type="spellEnd"/>
      <w:r>
        <w:rPr>
          <w:rFonts w:ascii="Arial" w:eastAsia="Arial" w:hAnsi="Arial" w:cs="Arial"/>
        </w:rPr>
        <w:t xml:space="preserve"> de las mismas, excepto cuando sean aportadas de forma voluntaria por alguno de los particulares que participen en ellas. El juez valorará el alcance de éstas, siempre y cuando contengan información relacionada con la comisión de un delito. En ningún caso se admitirán comunicaciones que violen el deber de confidencialidad que establezca la ley. [...]</w:t>
      </w:r>
    </w:p>
  </w:footnote>
  <w:footnote w:id="8">
    <w:p w14:paraId="63474C96" w14:textId="4C8553A4" w:rsidR="002B00BA" w:rsidRDefault="002B00BA" w:rsidP="002B00BA">
      <w:pPr>
        <w:pStyle w:val="Textonotapie"/>
        <w:jc w:val="both"/>
      </w:pPr>
      <w:r>
        <w:rPr>
          <w:rStyle w:val="Refdenotaalpie"/>
        </w:rPr>
        <w:footnoteRef/>
      </w:r>
      <w:r>
        <w:t xml:space="preserve"> </w:t>
      </w:r>
      <w:r w:rsidRPr="002B00BA">
        <w:rPr>
          <w:rFonts w:ascii="Arial" w:hAnsi="Arial" w:cs="Arial"/>
          <w:color w:val="000000"/>
          <w:shd w:val="clear" w:color="auto" w:fill="FFFFFF"/>
        </w:rPr>
        <w:t>Jurispru</w:t>
      </w:r>
      <w:r w:rsidRPr="002B00BA">
        <w:rPr>
          <w:rFonts w:ascii="Arial" w:hAnsi="Arial" w:cs="Arial"/>
          <w:shd w:val="clear" w:color="auto" w:fill="FFFFFF"/>
        </w:rPr>
        <w:t xml:space="preserve">dencia 10/2012, de rubro: </w:t>
      </w:r>
      <w:r w:rsidRPr="002B00BA">
        <w:rPr>
          <w:rFonts w:ascii="Arial" w:hAnsi="Arial" w:cs="Arial"/>
          <w:i/>
          <w:iCs/>
          <w:shd w:val="clear" w:color="auto" w:fill="FFFFFF"/>
        </w:rPr>
        <w:t>“GRABACIÓN DE </w:t>
      </w:r>
      <w:r w:rsidRPr="002B00BA">
        <w:rPr>
          <w:rStyle w:val="Textoennegrita"/>
          <w:rFonts w:ascii="Arial" w:hAnsi="Arial" w:cs="Arial"/>
          <w:b w:val="0"/>
          <w:bCs w:val="0"/>
          <w:i/>
          <w:iCs/>
          <w:shd w:val="clear" w:color="auto" w:fill="FFFFFF"/>
        </w:rPr>
        <w:t>COMUNICACIONES</w:t>
      </w:r>
      <w:r w:rsidRPr="002B00BA">
        <w:rPr>
          <w:rFonts w:ascii="Arial" w:hAnsi="Arial" w:cs="Arial"/>
          <w:b/>
          <w:bCs/>
          <w:i/>
          <w:iCs/>
          <w:shd w:val="clear" w:color="auto" w:fill="FFFFFF"/>
        </w:rPr>
        <w:t> </w:t>
      </w:r>
      <w:r w:rsidRPr="002B00BA">
        <w:rPr>
          <w:rStyle w:val="Textoennegrita"/>
          <w:rFonts w:ascii="Arial" w:hAnsi="Arial" w:cs="Arial"/>
          <w:b w:val="0"/>
          <w:bCs w:val="0"/>
          <w:i/>
          <w:iCs/>
          <w:shd w:val="clear" w:color="auto" w:fill="FFFFFF"/>
        </w:rPr>
        <w:t>PRIVADAS</w:t>
      </w:r>
      <w:r w:rsidRPr="002B00BA">
        <w:rPr>
          <w:rFonts w:ascii="Arial" w:hAnsi="Arial" w:cs="Arial"/>
          <w:i/>
          <w:iCs/>
          <w:shd w:val="clear" w:color="auto" w:fill="FFFFFF"/>
        </w:rPr>
        <w:t>. CARECE DE VALOR PROBATORIO EN MATERIA ELECTORAL”,</w:t>
      </w:r>
      <w:r w:rsidRPr="002B00BA">
        <w:rPr>
          <w:rFonts w:ascii="Arial" w:hAnsi="Arial" w:cs="Arial"/>
          <w:shd w:val="clear" w:color="auto" w:fill="FFFFFF"/>
        </w:rPr>
        <w:t xml:space="preserve"> visible en la Gaceta de Jurisprudencia y Tesis en materia electoral del Tribunal Electoral del Poder Judicial de la Federación, año 5, número 10, 2012, páginas 23 y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7340" w14:textId="037758EA" w:rsidR="00734053" w:rsidRDefault="00A34381">
    <w:pPr>
      <w:pBdr>
        <w:top w:val="nil"/>
        <w:left w:val="nil"/>
        <w:bottom w:val="nil"/>
        <w:right w:val="nil"/>
        <w:between w:val="nil"/>
      </w:pBdr>
      <w:tabs>
        <w:tab w:val="center" w:pos="4419"/>
        <w:tab w:val="right" w:pos="8838"/>
      </w:tabs>
      <w:rPr>
        <w:color w:val="000000"/>
      </w:rPr>
    </w:pPr>
    <w:r>
      <w:rPr>
        <w:noProof/>
      </w:rPr>
      <w:pict w14:anchorId="1A7B3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93891"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763B4">
      <w:rPr>
        <w:noProof/>
        <w:color w:val="000000"/>
      </w:rPr>
      <mc:AlternateContent>
        <mc:Choice Requires="wps">
          <w:drawing>
            <wp:anchor distT="0" distB="0" distL="0" distR="0" simplePos="0" relativeHeight="251658240" behindDoc="1" locked="0" layoutInCell="1" hidden="0" allowOverlap="1" wp14:anchorId="5B074691" wp14:editId="412B0849">
              <wp:simplePos x="0" y="0"/>
              <wp:positionH relativeFrom="margin">
                <wp:align>center</wp:align>
              </wp:positionH>
              <wp:positionV relativeFrom="margin">
                <wp:align>center</wp:align>
              </wp:positionV>
              <wp:extent cx="63784586" cy="63784586"/>
              <wp:effectExtent l="0" t="0" r="0" b="0"/>
              <wp:wrapNone/>
              <wp:docPr id="75" name="Rectángulo 75"/>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7591AC7D" w14:textId="77777777" w:rsidR="00734053" w:rsidRDefault="003763B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5B074691" id="Rectángulo 75" o:spid="_x0000_s1026" style="position:absolute;margin-left:0;margin-top:0;width:5022.4pt;height:5022.4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" filled="f" stroked="f">
              <v:textbox inset="2.53958mm,2.53958mm,2.53958mm,2.53958mm">
                <w:txbxContent>
                  <w:p w14:paraId="7591AC7D" w14:textId="77777777" w:rsidR="00734053" w:rsidRDefault="003763B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74A9" w14:textId="7097F90B" w:rsidR="00734053" w:rsidRDefault="00A34381">
    <w:pPr>
      <w:pBdr>
        <w:top w:val="nil"/>
        <w:left w:val="nil"/>
        <w:bottom w:val="nil"/>
        <w:right w:val="nil"/>
        <w:between w:val="nil"/>
      </w:pBdr>
      <w:tabs>
        <w:tab w:val="center" w:pos="4419"/>
        <w:tab w:val="right" w:pos="8838"/>
      </w:tabs>
    </w:pPr>
    <w:r>
      <w:rPr>
        <w:noProof/>
      </w:rPr>
      <w:pict w14:anchorId="027F81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93892"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839778801"/>
      <w:docPartObj>
        <w:docPartGallery w:val="Page Numbers (Margins)"/>
        <w:docPartUnique/>
      </w:docPartObj>
    </w:sdtPr>
    <w:sdtEndPr/>
    <w:sdtContent>
      <w:p w14:paraId="5D3B1E50" w14:textId="77777777" w:rsidR="00734053" w:rsidRDefault="009155F2">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150861C1" wp14:editId="490AFD78">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D9AE248" w14:textId="77777777" w:rsidR="009155F2" w:rsidRDefault="009155F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861C1"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D9AE248" w14:textId="77777777" w:rsidR="009155F2" w:rsidRDefault="009155F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289C25B4" w14:textId="77777777" w:rsidR="00734053" w:rsidRDefault="00734053">
    <w:pPr>
      <w:pBdr>
        <w:top w:val="nil"/>
        <w:left w:val="nil"/>
        <w:bottom w:val="nil"/>
        <w:right w:val="nil"/>
        <w:between w:val="nil"/>
      </w:pBdr>
      <w:tabs>
        <w:tab w:val="center" w:pos="4419"/>
        <w:tab w:val="right" w:pos="8838"/>
      </w:tabs>
    </w:pPr>
  </w:p>
  <w:p w14:paraId="095F279D" w14:textId="77777777" w:rsidR="00734053" w:rsidRDefault="003763B4">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2AE9A9AB" wp14:editId="611ED418">
          <wp:extent cx="995527" cy="1154534"/>
          <wp:effectExtent l="0" t="0" r="0" b="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2349" w14:textId="1458B74D" w:rsidR="00734053" w:rsidRDefault="00A34381">
    <w:pPr>
      <w:pBdr>
        <w:top w:val="nil"/>
        <w:left w:val="nil"/>
        <w:bottom w:val="nil"/>
        <w:right w:val="nil"/>
        <w:between w:val="nil"/>
      </w:pBdr>
      <w:tabs>
        <w:tab w:val="center" w:pos="4419"/>
        <w:tab w:val="right" w:pos="8838"/>
      </w:tabs>
      <w:rPr>
        <w:color w:val="000000"/>
      </w:rPr>
    </w:pPr>
    <w:r>
      <w:rPr>
        <w:noProof/>
      </w:rPr>
      <w:pict w14:anchorId="1E1E88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493890"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431A7"/>
    <w:multiLevelType w:val="multilevel"/>
    <w:tmpl w:val="09F2CF7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6A5216A8"/>
    <w:multiLevelType w:val="multilevel"/>
    <w:tmpl w:val="E4C4C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9754FEA"/>
    <w:multiLevelType w:val="multilevel"/>
    <w:tmpl w:val="F1362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3279016">
    <w:abstractNumId w:val="1"/>
  </w:num>
  <w:num w:numId="2" w16cid:durableId="1642691577">
    <w:abstractNumId w:val="0"/>
  </w:num>
  <w:num w:numId="3" w16cid:durableId="840898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053"/>
    <w:rsid w:val="002B00BA"/>
    <w:rsid w:val="003763B4"/>
    <w:rsid w:val="003A41D9"/>
    <w:rsid w:val="00693248"/>
    <w:rsid w:val="006E1662"/>
    <w:rsid w:val="00734053"/>
    <w:rsid w:val="007E5483"/>
    <w:rsid w:val="009155F2"/>
    <w:rsid w:val="009366C6"/>
    <w:rsid w:val="00A34381"/>
    <w:rsid w:val="00AE4F1D"/>
    <w:rsid w:val="00C551D6"/>
    <w:rsid w:val="00E300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C028C"/>
  <w15:docId w15:val="{A4B6BCC4-F2DA-4062-92E5-B6D06FE6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7"/>
    <w:tblPr>
      <w:tblStyleRowBandSize w:val="1"/>
      <w:tblStyleColBandSize w:val="1"/>
      <w:tblCellMar>
        <w:left w:w="115" w:type="dxa"/>
        <w:right w:w="115" w:type="dxa"/>
      </w:tblCellMar>
    </w:tblPr>
  </w:style>
  <w:style w:type="table" w:customStyle="1" w:styleId="a0">
    <w:basedOn w:val="TableNormal7"/>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7"/>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7"/>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7"/>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7"/>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7"/>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6"/>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6"/>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6"/>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6"/>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6"/>
    <w:tblPr>
      <w:tblStyleRowBandSize w:val="1"/>
      <w:tblStyleColBandSize w:val="1"/>
      <w:tblCellMar>
        <w:left w:w="115" w:type="dxa"/>
        <w:right w:w="115" w:type="dxa"/>
      </w:tblCellMar>
    </w:tblPr>
  </w:style>
  <w:style w:type="table" w:customStyle="1" w:styleId="ab">
    <w:basedOn w:val="TableNormal6"/>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5"/>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4"/>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afc">
    <w:basedOn w:val="TableNormal2"/>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d">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2"/>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f0">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3">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character" w:styleId="Refdecomentario">
    <w:name w:val="annotation reference"/>
    <w:basedOn w:val="Fuentedeprrafopredeter"/>
    <w:uiPriority w:val="99"/>
    <w:semiHidden/>
    <w:unhideWhenUsed/>
    <w:rsid w:val="00515C42"/>
    <w:rPr>
      <w:sz w:val="16"/>
      <w:szCs w:val="16"/>
    </w:rPr>
  </w:style>
  <w:style w:type="paragraph" w:styleId="Textocomentario">
    <w:name w:val="annotation text"/>
    <w:basedOn w:val="Normal"/>
    <w:link w:val="TextocomentarioCar"/>
    <w:uiPriority w:val="99"/>
    <w:semiHidden/>
    <w:unhideWhenUsed/>
    <w:rsid w:val="00515C42"/>
  </w:style>
  <w:style w:type="character" w:customStyle="1" w:styleId="TextocomentarioCar">
    <w:name w:val="Texto comentario Car"/>
    <w:basedOn w:val="Fuentedeprrafopredeter"/>
    <w:link w:val="Textocomentario"/>
    <w:uiPriority w:val="99"/>
    <w:semiHidden/>
    <w:rsid w:val="00515C42"/>
  </w:style>
  <w:style w:type="paragraph" w:styleId="Asuntodelcomentario">
    <w:name w:val="annotation subject"/>
    <w:basedOn w:val="Textocomentario"/>
    <w:next w:val="Textocomentario"/>
    <w:link w:val="AsuntodelcomentarioCar"/>
    <w:uiPriority w:val="99"/>
    <w:semiHidden/>
    <w:unhideWhenUsed/>
    <w:rsid w:val="00515C42"/>
    <w:rPr>
      <w:b/>
      <w:bCs/>
    </w:rPr>
  </w:style>
  <w:style w:type="character" w:customStyle="1" w:styleId="AsuntodelcomentarioCar">
    <w:name w:val="Asunto del comentario Car"/>
    <w:basedOn w:val="TextocomentarioCar"/>
    <w:link w:val="Asuntodelcomentario"/>
    <w:uiPriority w:val="99"/>
    <w:semiHidden/>
    <w:rsid w:val="00515C42"/>
    <w:rPr>
      <w:b/>
      <w:bCs/>
    </w:rPr>
  </w:style>
  <w:style w:type="table" w:customStyle="1" w:styleId="aff6">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8">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9">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character" w:styleId="Textoennegrita">
    <w:name w:val="Strong"/>
    <w:basedOn w:val="Fuentedeprrafopredeter"/>
    <w:uiPriority w:val="22"/>
    <w:qFormat/>
    <w:rsid w:val="002B0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Dul9KEBItbRnqOxlnLzlGrkAjQ==">AMUW2mW2LxfJnPwYbIev0SrjfCfC65q7j/oWK5ZNc6N2bellDDl4x56sUnUPl5brDleUxq6KYH8StsQxRY4JcU9npxWd472wpj2Gbh9f5ZSXuttBh3iXWuteALOVEQwgfx9Dv45HZr1TibuYYPQEzTqp/6aukF5DBnSgXKV9GcJ21KzFJwYyJg81DzNkisFf/m5+jRDLNhU2jHsK27KvUFfuj9GORlfH26KR+o0COZNgpR2FPMAcA+lC2SOvT9VLFa6LbDFxa0heVyXWmji91j0Hw0pFskPw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3058</Words>
  <Characters>16823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2022-06-30T17:46:00Z</cp:lastPrinted>
  <dcterms:created xsi:type="dcterms:W3CDTF">2022-06-30T19:39:00Z</dcterms:created>
  <dcterms:modified xsi:type="dcterms:W3CDTF">2022-06-30T19:39:00Z</dcterms:modified>
</cp:coreProperties>
</file>