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02AB1" w14:textId="77777777" w:rsidR="008C67A0" w:rsidRDefault="007C1D0A">
      <w:pPr>
        <w:ind w:left="3826" w:right="36"/>
        <w:jc w:val="both"/>
        <w:rPr>
          <w:rFonts w:ascii="Arial" w:eastAsia="Arial" w:hAnsi="Arial" w:cs="Arial"/>
          <w:b/>
          <w:sz w:val="24"/>
          <w:szCs w:val="24"/>
        </w:rPr>
      </w:pPr>
      <w:bookmarkStart w:id="0" w:name="_heading=h.gjdgxs" w:colFirst="0" w:colLast="0"/>
      <w:bookmarkEnd w:id="0"/>
      <w:r>
        <w:rPr>
          <w:rFonts w:ascii="Arial" w:eastAsia="Arial" w:hAnsi="Arial" w:cs="Arial"/>
          <w:b/>
          <w:sz w:val="24"/>
          <w:szCs w:val="24"/>
        </w:rPr>
        <w:t>PROCEDIMIENTO ESPECIAL SANCIONADOR.</w:t>
      </w:r>
    </w:p>
    <w:p w14:paraId="46A276FB" w14:textId="77777777" w:rsidR="008C67A0" w:rsidRDefault="008C67A0">
      <w:pPr>
        <w:pBdr>
          <w:top w:val="nil"/>
          <w:left w:val="nil"/>
          <w:bottom w:val="nil"/>
          <w:right w:val="nil"/>
          <w:between w:val="nil"/>
        </w:pBdr>
        <w:ind w:left="3826"/>
        <w:rPr>
          <w:rFonts w:ascii="Arial" w:eastAsia="Arial" w:hAnsi="Arial" w:cs="Arial"/>
          <w:color w:val="000000"/>
          <w:sz w:val="14"/>
          <w:szCs w:val="14"/>
        </w:rPr>
      </w:pPr>
    </w:p>
    <w:p w14:paraId="61BB5B3D" w14:textId="77777777" w:rsidR="008C67A0" w:rsidRDefault="007C1D0A">
      <w:pPr>
        <w:ind w:left="3826" w:right="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TEEA-PES-059/2022.</w:t>
      </w:r>
      <w:r>
        <w:rPr>
          <w:rFonts w:ascii="Arial" w:eastAsia="Arial" w:hAnsi="Arial" w:cs="Arial"/>
          <w:b/>
          <w:sz w:val="24"/>
          <w:szCs w:val="24"/>
        </w:rPr>
        <w:t xml:space="preserve"> </w:t>
      </w:r>
    </w:p>
    <w:p w14:paraId="6BA82E1D" w14:textId="77777777" w:rsidR="008C67A0" w:rsidRDefault="008C67A0">
      <w:pPr>
        <w:ind w:left="3826" w:right="36"/>
        <w:jc w:val="both"/>
        <w:rPr>
          <w:rFonts w:ascii="Arial" w:eastAsia="Arial" w:hAnsi="Arial" w:cs="Arial"/>
          <w:b/>
          <w:sz w:val="14"/>
          <w:szCs w:val="14"/>
        </w:rPr>
      </w:pPr>
    </w:p>
    <w:p w14:paraId="2DFE1183" w14:textId="77777777" w:rsidR="008C67A0" w:rsidRDefault="007C1D0A">
      <w:pPr>
        <w:ind w:left="3826" w:right="36"/>
        <w:jc w:val="both"/>
        <w:rPr>
          <w:rFonts w:ascii="Arial" w:eastAsia="Arial" w:hAnsi="Arial" w:cs="Arial"/>
          <w:sz w:val="24"/>
          <w:szCs w:val="24"/>
        </w:rPr>
      </w:pPr>
      <w:r>
        <w:rPr>
          <w:rFonts w:ascii="Arial" w:eastAsia="Arial" w:hAnsi="Arial" w:cs="Arial"/>
          <w:b/>
          <w:sz w:val="24"/>
          <w:szCs w:val="24"/>
        </w:rPr>
        <w:t>DENUNCIANTE:</w:t>
      </w:r>
      <w:r>
        <w:rPr>
          <w:rFonts w:ascii="Arial" w:eastAsia="Arial" w:hAnsi="Arial" w:cs="Arial"/>
          <w:sz w:val="24"/>
          <w:szCs w:val="24"/>
        </w:rPr>
        <w:t xml:space="preserve">  PARTIDO ACCIÓN NACIONAL.</w:t>
      </w:r>
    </w:p>
    <w:p w14:paraId="06F2958D" w14:textId="77777777" w:rsidR="008C67A0" w:rsidRDefault="008C67A0">
      <w:pPr>
        <w:pBdr>
          <w:top w:val="nil"/>
          <w:left w:val="nil"/>
          <w:bottom w:val="nil"/>
          <w:right w:val="nil"/>
          <w:between w:val="nil"/>
        </w:pBdr>
        <w:ind w:left="3826"/>
        <w:rPr>
          <w:rFonts w:ascii="Arial" w:eastAsia="Arial" w:hAnsi="Arial" w:cs="Arial"/>
          <w:color w:val="000000"/>
          <w:sz w:val="14"/>
          <w:szCs w:val="14"/>
        </w:rPr>
      </w:pPr>
    </w:p>
    <w:p w14:paraId="235FF63A" w14:textId="77777777" w:rsidR="008C67A0" w:rsidRDefault="007C1D0A">
      <w:pPr>
        <w:ind w:left="3826" w:right="36"/>
        <w:jc w:val="both"/>
        <w:rPr>
          <w:rFonts w:ascii="Arial" w:eastAsia="Arial" w:hAnsi="Arial" w:cs="Arial"/>
          <w:sz w:val="24"/>
          <w:szCs w:val="24"/>
        </w:rPr>
      </w:pPr>
      <w:r>
        <w:rPr>
          <w:rFonts w:ascii="Arial" w:eastAsia="Arial" w:hAnsi="Arial" w:cs="Arial"/>
          <w:b/>
          <w:sz w:val="24"/>
          <w:szCs w:val="24"/>
        </w:rPr>
        <w:t>DENUNCIADA:</w:t>
      </w:r>
      <w:r>
        <w:rPr>
          <w:rFonts w:ascii="Arial" w:eastAsia="Arial" w:hAnsi="Arial" w:cs="Arial"/>
          <w:sz w:val="24"/>
          <w:szCs w:val="24"/>
        </w:rPr>
        <w:t xml:space="preserve"> NORA RUVALCABA GÁMEZ, CANDIDATA DE MORENA A LA GUBERNATURA DEL ESTADO Y OTRO. </w:t>
      </w:r>
    </w:p>
    <w:p w14:paraId="3375C4CC" w14:textId="77777777" w:rsidR="008C67A0" w:rsidRDefault="008C67A0">
      <w:pPr>
        <w:pBdr>
          <w:top w:val="nil"/>
          <w:left w:val="nil"/>
          <w:bottom w:val="nil"/>
          <w:right w:val="nil"/>
          <w:between w:val="nil"/>
        </w:pBdr>
        <w:ind w:left="3826"/>
        <w:rPr>
          <w:rFonts w:ascii="Arial" w:eastAsia="Arial" w:hAnsi="Arial" w:cs="Arial"/>
          <w:color w:val="000000"/>
          <w:sz w:val="14"/>
          <w:szCs w:val="14"/>
        </w:rPr>
      </w:pPr>
    </w:p>
    <w:p w14:paraId="480B82A7" w14:textId="77777777" w:rsidR="008C67A0" w:rsidRDefault="007C1D0A">
      <w:pPr>
        <w:ind w:left="3826"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7CA01183" w14:textId="77777777" w:rsidR="008C67A0" w:rsidRDefault="008C67A0">
      <w:pPr>
        <w:pBdr>
          <w:top w:val="nil"/>
          <w:left w:val="nil"/>
          <w:bottom w:val="nil"/>
          <w:right w:val="nil"/>
          <w:between w:val="nil"/>
        </w:pBdr>
        <w:ind w:left="3826"/>
        <w:rPr>
          <w:rFonts w:ascii="Arial" w:eastAsia="Arial" w:hAnsi="Arial" w:cs="Arial"/>
          <w:color w:val="000000"/>
          <w:sz w:val="14"/>
          <w:szCs w:val="14"/>
        </w:rPr>
      </w:pPr>
    </w:p>
    <w:p w14:paraId="23CCCE6B" w14:textId="77777777" w:rsidR="008C67A0" w:rsidRDefault="007C1D0A">
      <w:pPr>
        <w:ind w:left="3826" w:right="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Pr>
          <w:rFonts w:ascii="Arial" w:eastAsia="Arial" w:hAnsi="Arial" w:cs="Arial"/>
          <w:sz w:val="24"/>
          <w:szCs w:val="24"/>
        </w:rPr>
        <w:t>EDGAR ALEJANDRO LÓPEZ DÁVILA.</w:t>
      </w:r>
    </w:p>
    <w:p w14:paraId="0317B438" w14:textId="77777777" w:rsidR="008C67A0" w:rsidRDefault="008C67A0">
      <w:pPr>
        <w:ind w:left="3826" w:right="36"/>
        <w:jc w:val="both"/>
        <w:rPr>
          <w:rFonts w:ascii="Arial" w:eastAsia="Arial" w:hAnsi="Arial" w:cs="Arial"/>
          <w:sz w:val="14"/>
          <w:szCs w:val="14"/>
        </w:rPr>
      </w:pPr>
    </w:p>
    <w:p w14:paraId="3F69778D" w14:textId="77777777" w:rsidR="008C67A0" w:rsidRDefault="007C1D0A">
      <w:pPr>
        <w:ind w:left="3826"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4C1C2056" w14:textId="77777777" w:rsidR="008C67A0" w:rsidRDefault="008C67A0">
      <w:pPr>
        <w:pBdr>
          <w:top w:val="nil"/>
          <w:left w:val="nil"/>
          <w:bottom w:val="nil"/>
          <w:right w:val="nil"/>
          <w:between w:val="nil"/>
        </w:pBdr>
        <w:rPr>
          <w:color w:val="000000"/>
        </w:rPr>
      </w:pPr>
    </w:p>
    <w:p w14:paraId="6E1151FD" w14:textId="77777777" w:rsidR="008C67A0" w:rsidRDefault="008C67A0">
      <w:pPr>
        <w:pBdr>
          <w:top w:val="nil"/>
          <w:left w:val="nil"/>
          <w:bottom w:val="nil"/>
          <w:right w:val="nil"/>
          <w:between w:val="nil"/>
        </w:pBdr>
        <w:rPr>
          <w:color w:val="000000"/>
        </w:rPr>
      </w:pPr>
    </w:p>
    <w:p w14:paraId="29835371" w14:textId="34FA7B73" w:rsidR="008C67A0" w:rsidRDefault="007C1D0A">
      <w:pPr>
        <w:pBdr>
          <w:top w:val="nil"/>
          <w:left w:val="nil"/>
          <w:bottom w:val="nil"/>
          <w:right w:val="nil"/>
          <w:between w:val="nil"/>
        </w:pBdr>
        <w:spacing w:line="360" w:lineRule="auto"/>
        <w:ind w:right="36"/>
        <w:jc w:val="right"/>
        <w:rPr>
          <w:rFonts w:ascii="Arial" w:eastAsia="Arial" w:hAnsi="Arial" w:cs="Arial"/>
          <w:sz w:val="24"/>
          <w:szCs w:val="24"/>
        </w:rPr>
      </w:pPr>
      <w:r>
        <w:rPr>
          <w:rFonts w:ascii="Arial" w:eastAsia="Arial" w:hAnsi="Arial" w:cs="Arial"/>
          <w:sz w:val="24"/>
          <w:szCs w:val="24"/>
        </w:rPr>
        <w:t xml:space="preserve">Aguascalientes, Aguascalientes, </w:t>
      </w:r>
      <w:r w:rsidRPr="00D530E3">
        <w:rPr>
          <w:rFonts w:ascii="Arial" w:eastAsia="Arial" w:hAnsi="Arial" w:cs="Arial"/>
          <w:color w:val="000000"/>
          <w:sz w:val="24"/>
          <w:szCs w:val="24"/>
        </w:rPr>
        <w:t xml:space="preserve">a </w:t>
      </w:r>
      <w:r w:rsidR="006209AD" w:rsidRPr="00D530E3">
        <w:rPr>
          <w:rFonts w:ascii="Arial" w:eastAsia="Arial" w:hAnsi="Arial" w:cs="Arial"/>
          <w:sz w:val="24"/>
          <w:szCs w:val="24"/>
        </w:rPr>
        <w:t>30</w:t>
      </w:r>
      <w:r w:rsidRPr="00D530E3">
        <w:rPr>
          <w:rFonts w:ascii="Arial" w:eastAsia="Arial" w:hAnsi="Arial" w:cs="Arial"/>
          <w:sz w:val="24"/>
          <w:szCs w:val="24"/>
        </w:rPr>
        <w:t xml:space="preserve"> </w:t>
      </w:r>
      <w:r w:rsidRPr="00D530E3">
        <w:rPr>
          <w:rFonts w:ascii="Arial" w:eastAsia="Arial" w:hAnsi="Arial" w:cs="Arial"/>
          <w:color w:val="000000"/>
          <w:sz w:val="24"/>
          <w:szCs w:val="24"/>
        </w:rPr>
        <w:t>de junio</w:t>
      </w:r>
      <w:r>
        <w:rPr>
          <w:rFonts w:ascii="Arial" w:eastAsia="Arial" w:hAnsi="Arial" w:cs="Arial"/>
          <w:color w:val="000000"/>
          <w:sz w:val="24"/>
          <w:szCs w:val="24"/>
        </w:rPr>
        <w:t xml:space="preserve"> de 2022</w:t>
      </w:r>
      <w:r>
        <w:rPr>
          <w:rFonts w:ascii="Arial" w:eastAsia="Arial" w:hAnsi="Arial" w:cs="Arial"/>
          <w:sz w:val="24"/>
          <w:szCs w:val="24"/>
        </w:rPr>
        <w:t>.</w:t>
      </w:r>
    </w:p>
    <w:p w14:paraId="2E24EBB2" w14:textId="77777777" w:rsidR="008C67A0" w:rsidRDefault="008C67A0">
      <w:pPr>
        <w:pBdr>
          <w:top w:val="nil"/>
          <w:left w:val="nil"/>
          <w:bottom w:val="nil"/>
          <w:right w:val="nil"/>
          <w:between w:val="nil"/>
        </w:pBdr>
        <w:rPr>
          <w:b/>
          <w:color w:val="000000"/>
          <w:sz w:val="18"/>
          <w:szCs w:val="18"/>
        </w:rPr>
      </w:pPr>
    </w:p>
    <w:p w14:paraId="5972D6BE" w14:textId="77777777" w:rsidR="008C67A0" w:rsidRDefault="008C67A0">
      <w:pPr>
        <w:pBdr>
          <w:top w:val="nil"/>
          <w:left w:val="nil"/>
          <w:bottom w:val="nil"/>
          <w:right w:val="nil"/>
          <w:between w:val="nil"/>
        </w:pBdr>
        <w:rPr>
          <w:color w:val="000000"/>
        </w:rPr>
      </w:pPr>
    </w:p>
    <w:p w14:paraId="25A51104" w14:textId="77777777" w:rsidR="008C67A0" w:rsidRDefault="007C1D0A">
      <w:pPr>
        <w:spacing w:line="360" w:lineRule="auto"/>
        <w:jc w:val="both"/>
        <w:rPr>
          <w:rFonts w:ascii="Arial" w:eastAsia="Arial" w:hAnsi="Arial" w:cs="Arial"/>
          <w:sz w:val="24"/>
          <w:szCs w:val="24"/>
        </w:rPr>
      </w:pPr>
      <w:bookmarkStart w:id="1" w:name="_heading=h.30j0zll" w:colFirst="0" w:colLast="0"/>
      <w:bookmarkEnd w:id="1"/>
      <w:r>
        <w:rPr>
          <w:rFonts w:ascii="Arial" w:eastAsia="Arial" w:hAnsi="Arial" w:cs="Arial"/>
          <w:b/>
          <w:sz w:val="24"/>
          <w:szCs w:val="24"/>
        </w:rPr>
        <w:t xml:space="preserve">Sentencia </w:t>
      </w:r>
      <w:r>
        <w:rPr>
          <w:rFonts w:ascii="Arial" w:eastAsia="Arial" w:hAnsi="Arial" w:cs="Arial"/>
          <w:sz w:val="24"/>
          <w:szCs w:val="24"/>
        </w:rPr>
        <w:t>del Tribunal Electoral</w:t>
      </w:r>
      <w:r>
        <w:rPr>
          <w:rFonts w:ascii="Arial" w:eastAsia="Arial" w:hAnsi="Arial" w:cs="Arial"/>
          <w:b/>
          <w:sz w:val="24"/>
          <w:szCs w:val="24"/>
        </w:rPr>
        <w:t xml:space="preserve"> </w:t>
      </w:r>
      <w:r>
        <w:rPr>
          <w:rFonts w:ascii="Arial" w:eastAsia="Arial" w:hAnsi="Arial" w:cs="Arial"/>
          <w:sz w:val="24"/>
          <w:szCs w:val="24"/>
        </w:rPr>
        <w:t xml:space="preserve">que declara: </w:t>
      </w:r>
      <w:r>
        <w:rPr>
          <w:rFonts w:ascii="Arial" w:eastAsia="Arial" w:hAnsi="Arial" w:cs="Arial"/>
          <w:b/>
          <w:i/>
          <w:sz w:val="24"/>
          <w:szCs w:val="24"/>
        </w:rPr>
        <w:t>a)</w:t>
      </w:r>
      <w:r>
        <w:rPr>
          <w:rFonts w:ascii="Arial" w:eastAsia="Arial" w:hAnsi="Arial" w:cs="Arial"/>
          <w:sz w:val="24"/>
          <w:szCs w:val="24"/>
        </w:rPr>
        <w:t xml:space="preserve"> la </w:t>
      </w:r>
      <w:r>
        <w:rPr>
          <w:rFonts w:ascii="Arial" w:eastAsia="Arial" w:hAnsi="Arial" w:cs="Arial"/>
          <w:b/>
          <w:sz w:val="24"/>
          <w:szCs w:val="24"/>
        </w:rPr>
        <w:t>inexistencia</w:t>
      </w:r>
      <w:r>
        <w:rPr>
          <w:rFonts w:ascii="Arial" w:eastAsia="Arial" w:hAnsi="Arial" w:cs="Arial"/>
          <w:sz w:val="24"/>
          <w:szCs w:val="24"/>
        </w:rPr>
        <w:t xml:space="preserve"> de la infracción atribuida a la entonces candidata Nora Ruvalcaba Gámez, consistente en la vulneración a la normativa en materia de propaganda electoral, específicamente, en cuanto a la prohibición de utilizar la imagen personal de quien ostenta la titularidad del Poder Ejecutivo Federal, prevista en el artículo 26 del Código Electoral, y, por tanto, </w:t>
      </w:r>
      <w:r>
        <w:rPr>
          <w:rFonts w:ascii="Arial" w:eastAsia="Arial" w:hAnsi="Arial" w:cs="Arial"/>
          <w:b/>
          <w:i/>
          <w:sz w:val="24"/>
          <w:szCs w:val="24"/>
        </w:rPr>
        <w:t>b)</w:t>
      </w:r>
      <w:r>
        <w:rPr>
          <w:rFonts w:ascii="Arial" w:eastAsia="Arial" w:hAnsi="Arial" w:cs="Arial"/>
          <w:sz w:val="24"/>
          <w:szCs w:val="24"/>
        </w:rPr>
        <w:t xml:space="preserve"> la </w:t>
      </w:r>
      <w:r>
        <w:rPr>
          <w:rFonts w:ascii="Arial" w:eastAsia="Arial" w:hAnsi="Arial" w:cs="Arial"/>
          <w:b/>
          <w:sz w:val="24"/>
          <w:szCs w:val="24"/>
        </w:rPr>
        <w:t xml:space="preserve">inexistencia </w:t>
      </w:r>
      <w:r>
        <w:rPr>
          <w:rFonts w:ascii="Arial" w:eastAsia="Arial" w:hAnsi="Arial" w:cs="Arial"/>
          <w:sz w:val="24"/>
          <w:szCs w:val="24"/>
        </w:rPr>
        <w:t xml:space="preserve">de la infracción de </w:t>
      </w:r>
      <w:r>
        <w:rPr>
          <w:rFonts w:ascii="Arial" w:eastAsia="Arial" w:hAnsi="Arial" w:cs="Arial"/>
          <w:i/>
          <w:sz w:val="24"/>
          <w:szCs w:val="24"/>
        </w:rPr>
        <w:t xml:space="preserve">culpa in vigilando </w:t>
      </w:r>
      <w:r>
        <w:rPr>
          <w:rFonts w:ascii="Arial" w:eastAsia="Arial" w:hAnsi="Arial" w:cs="Arial"/>
          <w:sz w:val="24"/>
          <w:szCs w:val="24"/>
        </w:rPr>
        <w:t>atribuida a Morena.</w:t>
      </w:r>
    </w:p>
    <w:p w14:paraId="488A7FB3" w14:textId="77777777" w:rsidR="008C67A0" w:rsidRDefault="008C67A0">
      <w:pPr>
        <w:spacing w:line="360" w:lineRule="auto"/>
        <w:jc w:val="both"/>
        <w:rPr>
          <w:rFonts w:ascii="Arial" w:eastAsia="Arial" w:hAnsi="Arial" w:cs="Arial"/>
          <w:sz w:val="24"/>
          <w:szCs w:val="24"/>
        </w:rPr>
      </w:pPr>
    </w:p>
    <w:p w14:paraId="0451C72E" w14:textId="77777777" w:rsidR="008C67A0" w:rsidRDefault="007C1D0A">
      <w:pPr>
        <w:spacing w:line="360" w:lineRule="auto"/>
        <w:jc w:val="both"/>
        <w:rPr>
          <w:rFonts w:ascii="Arial" w:eastAsia="Arial" w:hAnsi="Arial" w:cs="Arial"/>
          <w:sz w:val="24"/>
          <w:szCs w:val="24"/>
        </w:rPr>
      </w:pPr>
      <w:r>
        <w:rPr>
          <w:rFonts w:ascii="Arial" w:eastAsia="Arial" w:hAnsi="Arial" w:cs="Arial"/>
          <w:sz w:val="24"/>
          <w:szCs w:val="24"/>
        </w:rPr>
        <w:t xml:space="preserve">Ello, porque </w:t>
      </w:r>
      <w:r>
        <w:rPr>
          <w:rFonts w:ascii="Arial" w:eastAsia="Arial" w:hAnsi="Arial" w:cs="Arial"/>
          <w:b/>
          <w:sz w:val="24"/>
          <w:szCs w:val="24"/>
        </w:rPr>
        <w:t>este órgano jurisdiccional considera</w:t>
      </w:r>
      <w:r>
        <w:rPr>
          <w:rFonts w:ascii="Arial" w:eastAsia="Arial" w:hAnsi="Arial" w:cs="Arial"/>
          <w:sz w:val="24"/>
          <w:szCs w:val="24"/>
        </w:rPr>
        <w:t xml:space="preserve"> que, del análisis de los hechos denunciados y del material probatorio que obra en el expediente, se advierte que, contrario a lo afirmado por la parte quejosa, el objeto tipo “</w:t>
      </w:r>
      <w:r>
        <w:rPr>
          <w:rFonts w:ascii="Arial" w:eastAsia="Arial" w:hAnsi="Arial" w:cs="Arial"/>
          <w:i/>
          <w:sz w:val="24"/>
          <w:szCs w:val="24"/>
        </w:rPr>
        <w:t xml:space="preserve">peluche”, </w:t>
      </w:r>
      <w:r>
        <w:rPr>
          <w:rFonts w:ascii="Arial" w:eastAsia="Arial" w:hAnsi="Arial" w:cs="Arial"/>
          <w:sz w:val="24"/>
          <w:szCs w:val="24"/>
        </w:rPr>
        <w:t xml:space="preserve">utilizado por la candidatura cuestionada en las actividades propias de la etapa de campaña, </w:t>
      </w:r>
      <w:r>
        <w:rPr>
          <w:rFonts w:ascii="Arial" w:eastAsia="Arial" w:hAnsi="Arial" w:cs="Arial"/>
          <w:b/>
          <w:sz w:val="24"/>
          <w:szCs w:val="24"/>
        </w:rPr>
        <w:t xml:space="preserve">no contiene características o elementos </w:t>
      </w:r>
      <w:r>
        <w:rPr>
          <w:rFonts w:ascii="Arial" w:eastAsia="Arial" w:hAnsi="Arial" w:cs="Arial"/>
          <w:sz w:val="24"/>
          <w:szCs w:val="24"/>
        </w:rPr>
        <w:t xml:space="preserve">que, valorados en los individual o en su conjunto, </w:t>
      </w:r>
      <w:r>
        <w:rPr>
          <w:rFonts w:ascii="Arial" w:eastAsia="Arial" w:hAnsi="Arial" w:cs="Arial"/>
          <w:b/>
          <w:sz w:val="24"/>
          <w:szCs w:val="24"/>
        </w:rPr>
        <w:t xml:space="preserve">demuestren de forma objetiva, unívoca e inequívoca que se trata del Presidente de la República, </w:t>
      </w:r>
      <w:r>
        <w:rPr>
          <w:rFonts w:ascii="Arial" w:eastAsia="Arial" w:hAnsi="Arial" w:cs="Arial"/>
          <w:sz w:val="24"/>
          <w:szCs w:val="24"/>
        </w:rPr>
        <w:t>Andrés Manuel López Obrador.</w:t>
      </w:r>
    </w:p>
    <w:p w14:paraId="5052D852" w14:textId="77777777" w:rsidR="008C67A0" w:rsidRDefault="008C67A0">
      <w:pPr>
        <w:spacing w:line="360" w:lineRule="auto"/>
        <w:jc w:val="both"/>
        <w:rPr>
          <w:rFonts w:ascii="Arial" w:eastAsia="Arial" w:hAnsi="Arial" w:cs="Arial"/>
          <w:sz w:val="24"/>
          <w:szCs w:val="24"/>
        </w:rPr>
      </w:pPr>
    </w:p>
    <w:p w14:paraId="1541ACDD" w14:textId="77777777" w:rsidR="008C67A0" w:rsidRDefault="008C67A0">
      <w:pPr>
        <w:pBdr>
          <w:top w:val="nil"/>
          <w:left w:val="nil"/>
          <w:bottom w:val="nil"/>
          <w:right w:val="nil"/>
          <w:between w:val="nil"/>
        </w:pBdr>
        <w:rPr>
          <w:color w:val="000000"/>
        </w:rPr>
      </w:pPr>
    </w:p>
    <w:p w14:paraId="1391636B" w14:textId="77777777" w:rsidR="008C67A0" w:rsidRDefault="007C1D0A">
      <w:pPr>
        <w:spacing w:line="360" w:lineRule="auto"/>
        <w:jc w:val="both"/>
        <w:rPr>
          <w:rFonts w:ascii="Arial" w:eastAsia="Arial" w:hAnsi="Arial" w:cs="Arial"/>
          <w:b/>
          <w:color w:val="000000"/>
          <w:sz w:val="16"/>
          <w:szCs w:val="16"/>
        </w:rPr>
      </w:pPr>
      <w:bookmarkStart w:id="2" w:name="_heading=h.g687188sr8bc" w:colFirst="0" w:colLast="0"/>
      <w:bookmarkEnd w:id="2"/>
      <w:r>
        <w:rPr>
          <w:rFonts w:ascii="Arial" w:eastAsia="Arial" w:hAnsi="Arial" w:cs="Arial"/>
          <w:b/>
          <w:color w:val="000000"/>
          <w:sz w:val="16"/>
          <w:szCs w:val="16"/>
        </w:rPr>
        <w:t xml:space="preserve">                                                                                       Índice</w:t>
      </w:r>
    </w:p>
    <w:p w14:paraId="4B9FBE23" w14:textId="77777777" w:rsidR="008C67A0" w:rsidRDefault="007C1D0A">
      <w:pPr>
        <w:ind w:left="993" w:right="616"/>
        <w:rPr>
          <w:rFonts w:ascii="Arial" w:eastAsia="Arial" w:hAnsi="Arial" w:cs="Arial"/>
          <w:b/>
          <w:sz w:val="16"/>
          <w:szCs w:val="16"/>
        </w:rPr>
      </w:pPr>
      <w:r>
        <w:rPr>
          <w:rFonts w:ascii="Arial" w:eastAsia="Arial" w:hAnsi="Arial" w:cs="Arial"/>
          <w:b/>
          <w:sz w:val="16"/>
          <w:szCs w:val="16"/>
        </w:rPr>
        <w:t>Contexto del caso ………………………………………………………………………………………</w:t>
      </w:r>
      <w:proofErr w:type="gramStart"/>
      <w:r>
        <w:rPr>
          <w:rFonts w:ascii="Arial" w:eastAsia="Arial" w:hAnsi="Arial" w:cs="Arial"/>
          <w:b/>
          <w:sz w:val="16"/>
          <w:szCs w:val="16"/>
        </w:rPr>
        <w:t>…….</w:t>
      </w:r>
      <w:proofErr w:type="gramEnd"/>
      <w:r>
        <w:rPr>
          <w:rFonts w:ascii="Arial" w:eastAsia="Arial" w:hAnsi="Arial" w:cs="Arial"/>
          <w:b/>
          <w:sz w:val="16"/>
          <w:szCs w:val="16"/>
        </w:rPr>
        <w:t>.2</w:t>
      </w:r>
    </w:p>
    <w:p w14:paraId="4A4E1C61" w14:textId="77777777" w:rsidR="008C67A0" w:rsidRDefault="007C1D0A">
      <w:pPr>
        <w:ind w:left="993" w:right="616"/>
        <w:rPr>
          <w:rFonts w:ascii="Arial" w:eastAsia="Arial" w:hAnsi="Arial" w:cs="Arial"/>
          <w:b/>
          <w:sz w:val="16"/>
          <w:szCs w:val="16"/>
        </w:rPr>
      </w:pPr>
      <w:r>
        <w:rPr>
          <w:rFonts w:ascii="Arial" w:eastAsia="Arial" w:hAnsi="Arial" w:cs="Arial"/>
          <w:b/>
          <w:sz w:val="16"/>
          <w:szCs w:val="16"/>
        </w:rPr>
        <w:t>Competencia ………………………………………………………………………………………………......</w:t>
      </w:r>
      <w:r>
        <w:rPr>
          <w:rFonts w:ascii="Arial" w:eastAsia="Arial" w:hAnsi="Arial" w:cs="Arial"/>
          <w:b/>
          <w:sz w:val="12"/>
          <w:szCs w:val="12"/>
        </w:rPr>
        <w:t>.</w:t>
      </w:r>
      <w:r>
        <w:rPr>
          <w:rFonts w:ascii="Arial" w:eastAsia="Arial" w:hAnsi="Arial" w:cs="Arial"/>
          <w:b/>
          <w:sz w:val="16"/>
          <w:szCs w:val="16"/>
        </w:rPr>
        <w:t>3</w:t>
      </w:r>
    </w:p>
    <w:p w14:paraId="31A3A302" w14:textId="77777777" w:rsidR="008C67A0" w:rsidRDefault="007C1D0A">
      <w:pPr>
        <w:ind w:left="993" w:right="616"/>
        <w:rPr>
          <w:rFonts w:ascii="Arial" w:eastAsia="Arial" w:hAnsi="Arial" w:cs="Arial"/>
          <w:b/>
          <w:sz w:val="16"/>
          <w:szCs w:val="16"/>
        </w:rPr>
      </w:pPr>
      <w:r>
        <w:rPr>
          <w:rFonts w:ascii="Arial" w:eastAsia="Arial" w:hAnsi="Arial" w:cs="Arial"/>
          <w:b/>
          <w:sz w:val="16"/>
          <w:szCs w:val="16"/>
        </w:rPr>
        <w:t>Personería ………………………………………………………………………………………………</w:t>
      </w:r>
      <w:proofErr w:type="gramStart"/>
      <w:r>
        <w:rPr>
          <w:rFonts w:ascii="Arial" w:eastAsia="Arial" w:hAnsi="Arial" w:cs="Arial"/>
          <w:b/>
          <w:sz w:val="16"/>
          <w:szCs w:val="16"/>
        </w:rPr>
        <w:t>…....</w:t>
      </w:r>
      <w:proofErr w:type="gramEnd"/>
      <w:r>
        <w:rPr>
          <w:rFonts w:ascii="Arial" w:eastAsia="Arial" w:hAnsi="Arial" w:cs="Arial"/>
          <w:b/>
          <w:sz w:val="14"/>
          <w:szCs w:val="14"/>
        </w:rPr>
        <w:t>…</w:t>
      </w:r>
      <w:r>
        <w:rPr>
          <w:rFonts w:ascii="Arial" w:eastAsia="Arial" w:hAnsi="Arial" w:cs="Arial"/>
          <w:b/>
          <w:sz w:val="16"/>
          <w:szCs w:val="16"/>
        </w:rPr>
        <w:t>3</w:t>
      </w:r>
    </w:p>
    <w:p w14:paraId="6DB16189" w14:textId="77777777" w:rsidR="008C67A0" w:rsidRDefault="007C1D0A">
      <w:pPr>
        <w:ind w:left="993" w:right="616"/>
        <w:rPr>
          <w:rFonts w:ascii="Arial" w:eastAsia="Arial" w:hAnsi="Arial" w:cs="Arial"/>
          <w:b/>
          <w:sz w:val="16"/>
          <w:szCs w:val="16"/>
        </w:rPr>
      </w:pPr>
      <w:r>
        <w:rPr>
          <w:rFonts w:ascii="Arial" w:eastAsia="Arial" w:hAnsi="Arial" w:cs="Arial"/>
          <w:b/>
          <w:sz w:val="16"/>
          <w:szCs w:val="16"/>
        </w:rPr>
        <w:t>Causales de improcedencia …………………………………………………………………………………3</w:t>
      </w:r>
    </w:p>
    <w:p w14:paraId="48F7AE7E" w14:textId="77777777" w:rsidR="008C67A0" w:rsidRDefault="007C1D0A">
      <w:pPr>
        <w:ind w:left="993" w:right="616"/>
        <w:rPr>
          <w:rFonts w:ascii="Arial" w:eastAsia="Arial" w:hAnsi="Arial" w:cs="Arial"/>
          <w:b/>
          <w:sz w:val="16"/>
          <w:szCs w:val="16"/>
        </w:rPr>
      </w:pPr>
      <w:r>
        <w:rPr>
          <w:rFonts w:ascii="Arial" w:eastAsia="Arial" w:hAnsi="Arial" w:cs="Arial"/>
          <w:b/>
          <w:sz w:val="16"/>
          <w:szCs w:val="16"/>
        </w:rPr>
        <w:t>Estudio de fondo……………………………………………………………………………</w:t>
      </w:r>
      <w:proofErr w:type="gramStart"/>
      <w:r>
        <w:rPr>
          <w:rFonts w:ascii="Arial" w:eastAsia="Arial" w:hAnsi="Arial" w:cs="Arial"/>
          <w:b/>
          <w:sz w:val="16"/>
          <w:szCs w:val="16"/>
        </w:rPr>
        <w:t>…....</w:t>
      </w:r>
      <w:proofErr w:type="gramEnd"/>
      <w:r>
        <w:rPr>
          <w:rFonts w:ascii="Arial" w:eastAsia="Arial" w:hAnsi="Arial" w:cs="Arial"/>
          <w:b/>
          <w:sz w:val="16"/>
          <w:szCs w:val="16"/>
        </w:rPr>
        <w:t>.…………...</w:t>
      </w:r>
      <w:r>
        <w:rPr>
          <w:rFonts w:ascii="Arial" w:eastAsia="Arial" w:hAnsi="Arial" w:cs="Arial"/>
          <w:b/>
          <w:sz w:val="6"/>
          <w:szCs w:val="6"/>
        </w:rPr>
        <w:t>.</w:t>
      </w:r>
      <w:r>
        <w:rPr>
          <w:rFonts w:ascii="Arial" w:eastAsia="Arial" w:hAnsi="Arial" w:cs="Arial"/>
          <w:b/>
          <w:sz w:val="16"/>
          <w:szCs w:val="16"/>
        </w:rPr>
        <w:t>4</w:t>
      </w:r>
    </w:p>
    <w:p w14:paraId="60EDFD00" w14:textId="77777777" w:rsidR="008C67A0" w:rsidRDefault="007C1D0A">
      <w:pPr>
        <w:ind w:left="993" w:right="616"/>
        <w:rPr>
          <w:rFonts w:ascii="Arial" w:eastAsia="Arial" w:hAnsi="Arial" w:cs="Arial"/>
          <w:b/>
          <w:sz w:val="16"/>
          <w:szCs w:val="16"/>
        </w:rPr>
      </w:pPr>
      <w:r>
        <w:rPr>
          <w:rFonts w:ascii="Arial" w:eastAsia="Arial" w:hAnsi="Arial" w:cs="Arial"/>
          <w:b/>
          <w:sz w:val="16"/>
          <w:szCs w:val="16"/>
        </w:rPr>
        <w:t>Análisis de fondo …………………………………………………………………………………………</w:t>
      </w:r>
      <w:proofErr w:type="gramStart"/>
      <w:r>
        <w:rPr>
          <w:rFonts w:ascii="Arial" w:eastAsia="Arial" w:hAnsi="Arial" w:cs="Arial"/>
          <w:b/>
          <w:sz w:val="16"/>
          <w:szCs w:val="16"/>
        </w:rPr>
        <w:t>…...</w:t>
      </w:r>
      <w:r>
        <w:rPr>
          <w:rFonts w:ascii="Arial" w:eastAsia="Arial" w:hAnsi="Arial" w:cs="Arial"/>
          <w:b/>
          <w:sz w:val="4"/>
          <w:szCs w:val="4"/>
        </w:rPr>
        <w:t>.</w:t>
      </w:r>
      <w:proofErr w:type="gramEnd"/>
      <w:r>
        <w:rPr>
          <w:rFonts w:ascii="Arial" w:eastAsia="Arial" w:hAnsi="Arial" w:cs="Arial"/>
          <w:b/>
          <w:sz w:val="16"/>
          <w:szCs w:val="16"/>
        </w:rPr>
        <w:t>6</w:t>
      </w:r>
    </w:p>
    <w:p w14:paraId="250FD20D" w14:textId="77777777" w:rsidR="008C67A0" w:rsidRDefault="007C1D0A">
      <w:pPr>
        <w:ind w:left="993" w:right="616"/>
        <w:rPr>
          <w:rFonts w:ascii="Arial" w:eastAsia="Arial" w:hAnsi="Arial" w:cs="Arial"/>
          <w:sz w:val="16"/>
          <w:szCs w:val="16"/>
        </w:rPr>
      </w:pPr>
      <w:r>
        <w:rPr>
          <w:rFonts w:ascii="Arial" w:eastAsia="Arial" w:hAnsi="Arial" w:cs="Arial"/>
          <w:sz w:val="16"/>
          <w:szCs w:val="16"/>
        </w:rPr>
        <w:t>Apartado I. Decisión………………………………………………………………………………………</w:t>
      </w:r>
      <w:proofErr w:type="gramStart"/>
      <w:r>
        <w:rPr>
          <w:rFonts w:ascii="Arial" w:eastAsia="Arial" w:hAnsi="Arial" w:cs="Arial"/>
          <w:sz w:val="16"/>
          <w:szCs w:val="16"/>
        </w:rPr>
        <w:t>…….</w:t>
      </w:r>
      <w:proofErr w:type="gramEnd"/>
      <w:r>
        <w:rPr>
          <w:rFonts w:ascii="Arial" w:eastAsia="Arial" w:hAnsi="Arial" w:cs="Arial"/>
          <w:sz w:val="16"/>
          <w:szCs w:val="16"/>
        </w:rPr>
        <w:t>.</w:t>
      </w:r>
      <w:r>
        <w:rPr>
          <w:rFonts w:ascii="Arial" w:eastAsia="Arial" w:hAnsi="Arial" w:cs="Arial"/>
          <w:b/>
          <w:sz w:val="16"/>
          <w:szCs w:val="16"/>
        </w:rPr>
        <w:t>7</w:t>
      </w:r>
    </w:p>
    <w:p w14:paraId="6AFA0986" w14:textId="77777777" w:rsidR="008C67A0" w:rsidRDefault="007C1D0A">
      <w:pPr>
        <w:ind w:left="993" w:right="616"/>
        <w:rPr>
          <w:rFonts w:ascii="Arial" w:eastAsia="Arial" w:hAnsi="Arial" w:cs="Arial"/>
          <w:sz w:val="16"/>
          <w:szCs w:val="16"/>
        </w:rPr>
      </w:pPr>
      <w:r>
        <w:rPr>
          <w:rFonts w:ascii="Arial" w:eastAsia="Arial" w:hAnsi="Arial" w:cs="Arial"/>
          <w:sz w:val="16"/>
          <w:szCs w:val="16"/>
        </w:rPr>
        <w:t>Apartado II. Desarrollo y justificación de la decisión…………………………………………………………</w:t>
      </w:r>
      <w:r>
        <w:rPr>
          <w:rFonts w:ascii="Arial" w:eastAsia="Arial" w:hAnsi="Arial" w:cs="Arial"/>
          <w:b/>
          <w:sz w:val="16"/>
          <w:szCs w:val="16"/>
        </w:rPr>
        <w:t>7</w:t>
      </w:r>
    </w:p>
    <w:p w14:paraId="154C3A7D" w14:textId="77777777" w:rsidR="008C67A0" w:rsidRDefault="007C1D0A">
      <w:pPr>
        <w:tabs>
          <w:tab w:val="right" w:pos="8263"/>
          <w:tab w:val="left" w:pos="8789"/>
        </w:tabs>
        <w:ind w:left="993" w:right="616"/>
        <w:rPr>
          <w:rFonts w:ascii="Arial" w:eastAsia="Arial" w:hAnsi="Arial" w:cs="Arial"/>
          <w:b/>
          <w:sz w:val="16"/>
          <w:szCs w:val="16"/>
        </w:rPr>
      </w:pPr>
      <w:r>
        <w:rPr>
          <w:rFonts w:ascii="Arial" w:eastAsia="Arial" w:hAnsi="Arial" w:cs="Arial"/>
          <w:sz w:val="16"/>
          <w:szCs w:val="16"/>
        </w:rPr>
        <w:t>Culpa in vigilando...…</w:t>
      </w:r>
      <w:proofErr w:type="gramStart"/>
      <w:r>
        <w:rPr>
          <w:rFonts w:ascii="Arial" w:eastAsia="Arial" w:hAnsi="Arial" w:cs="Arial"/>
          <w:sz w:val="16"/>
          <w:szCs w:val="16"/>
        </w:rPr>
        <w:t>…….</w:t>
      </w:r>
      <w:proofErr w:type="gramEnd"/>
      <w:r>
        <w:rPr>
          <w:rFonts w:ascii="Arial" w:eastAsia="Arial" w:hAnsi="Arial" w:cs="Arial"/>
          <w:sz w:val="16"/>
          <w:szCs w:val="16"/>
        </w:rPr>
        <w:t>.…………………………………………………………………....…………......</w:t>
      </w:r>
      <w:r>
        <w:rPr>
          <w:rFonts w:ascii="Arial" w:eastAsia="Arial" w:hAnsi="Arial" w:cs="Arial"/>
          <w:b/>
          <w:sz w:val="16"/>
          <w:szCs w:val="16"/>
        </w:rPr>
        <w:t>19</w:t>
      </w:r>
    </w:p>
    <w:p w14:paraId="286C9AF6" w14:textId="77777777" w:rsidR="008C67A0" w:rsidRDefault="007C1D0A">
      <w:pPr>
        <w:tabs>
          <w:tab w:val="right" w:pos="8263"/>
        </w:tabs>
        <w:ind w:left="993" w:right="616"/>
        <w:rPr>
          <w:rFonts w:ascii="Arial" w:eastAsia="Arial" w:hAnsi="Arial" w:cs="Arial"/>
          <w:b/>
          <w:sz w:val="16"/>
          <w:szCs w:val="16"/>
        </w:rPr>
      </w:pPr>
      <w:proofErr w:type="gramStart"/>
      <w:r>
        <w:rPr>
          <w:rFonts w:ascii="Arial" w:eastAsia="Arial" w:hAnsi="Arial" w:cs="Arial"/>
          <w:b/>
          <w:sz w:val="16"/>
          <w:szCs w:val="16"/>
        </w:rPr>
        <w:t>Resolutivos.…</w:t>
      </w:r>
      <w:proofErr w:type="gramEnd"/>
      <w:r>
        <w:rPr>
          <w:rFonts w:ascii="Arial" w:eastAsia="Arial" w:hAnsi="Arial" w:cs="Arial"/>
          <w:b/>
          <w:sz w:val="16"/>
          <w:szCs w:val="16"/>
        </w:rPr>
        <w:t>………………………………………………………………………………….....…………...19</w:t>
      </w:r>
    </w:p>
    <w:p w14:paraId="6981A921" w14:textId="77777777" w:rsidR="008C67A0" w:rsidRDefault="008C67A0">
      <w:pPr>
        <w:rPr>
          <w:rFonts w:ascii="Arial" w:eastAsia="Arial" w:hAnsi="Arial" w:cs="Arial"/>
          <w:b/>
          <w:sz w:val="16"/>
          <w:szCs w:val="16"/>
        </w:rPr>
      </w:pPr>
    </w:p>
    <w:p w14:paraId="2E42480E" w14:textId="77777777" w:rsidR="008C67A0" w:rsidRDefault="008C67A0">
      <w:pPr>
        <w:spacing w:line="360" w:lineRule="auto"/>
        <w:ind w:left="3881" w:right="2324" w:hanging="140"/>
        <w:rPr>
          <w:rFonts w:ascii="Arial" w:eastAsia="Arial" w:hAnsi="Arial" w:cs="Arial"/>
          <w:b/>
          <w:sz w:val="16"/>
          <w:szCs w:val="16"/>
        </w:rPr>
      </w:pPr>
    </w:p>
    <w:p w14:paraId="3FD31E99" w14:textId="77777777" w:rsidR="008C67A0" w:rsidRDefault="008C67A0">
      <w:pPr>
        <w:spacing w:line="360" w:lineRule="auto"/>
        <w:ind w:left="3881" w:right="2324" w:hanging="140"/>
        <w:rPr>
          <w:rFonts w:ascii="Arial" w:eastAsia="Arial" w:hAnsi="Arial" w:cs="Arial"/>
          <w:b/>
          <w:sz w:val="16"/>
          <w:szCs w:val="16"/>
        </w:rPr>
      </w:pPr>
    </w:p>
    <w:p w14:paraId="2149A16F" w14:textId="77777777" w:rsidR="008C67A0" w:rsidRDefault="008C67A0">
      <w:pPr>
        <w:spacing w:line="360" w:lineRule="auto"/>
        <w:ind w:left="3881" w:right="2324" w:hanging="140"/>
        <w:rPr>
          <w:rFonts w:ascii="Arial" w:eastAsia="Arial" w:hAnsi="Arial" w:cs="Arial"/>
          <w:b/>
          <w:sz w:val="16"/>
          <w:szCs w:val="16"/>
        </w:rPr>
      </w:pPr>
    </w:p>
    <w:p w14:paraId="20C2EE9A" w14:textId="77777777" w:rsidR="008C67A0" w:rsidRDefault="007C1D0A">
      <w:pPr>
        <w:spacing w:line="360" w:lineRule="auto"/>
        <w:ind w:right="2324"/>
        <w:jc w:val="center"/>
        <w:rPr>
          <w:rFonts w:ascii="Arial" w:eastAsia="Arial" w:hAnsi="Arial" w:cs="Arial"/>
          <w:b/>
          <w:sz w:val="16"/>
          <w:szCs w:val="16"/>
        </w:rPr>
      </w:pPr>
      <w:r>
        <w:rPr>
          <w:rFonts w:ascii="Arial" w:eastAsia="Arial" w:hAnsi="Arial" w:cs="Arial"/>
          <w:b/>
          <w:sz w:val="16"/>
          <w:szCs w:val="16"/>
        </w:rPr>
        <w:t xml:space="preserve">             Glosario</w:t>
      </w:r>
    </w:p>
    <w:tbl>
      <w:tblPr>
        <w:tblStyle w:val="aff6"/>
        <w:tblW w:w="7370" w:type="dxa"/>
        <w:tblInd w:w="851" w:type="dxa"/>
        <w:tblLayout w:type="fixed"/>
        <w:tblLook w:val="0400" w:firstRow="0" w:lastRow="0" w:firstColumn="0" w:lastColumn="0" w:noHBand="0" w:noVBand="1"/>
      </w:tblPr>
      <w:tblGrid>
        <w:gridCol w:w="1843"/>
        <w:gridCol w:w="5527"/>
      </w:tblGrid>
      <w:tr w:rsidR="008C67A0" w14:paraId="7A24CEEF" w14:textId="77777777">
        <w:trPr>
          <w:trHeight w:val="3670"/>
        </w:trPr>
        <w:tc>
          <w:tcPr>
            <w:tcW w:w="1843" w:type="dxa"/>
            <w:shd w:val="clear" w:color="auto" w:fill="auto"/>
          </w:tcPr>
          <w:p w14:paraId="71484429" w14:textId="77777777" w:rsidR="008C67A0" w:rsidRDefault="007C1D0A">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Denunciante:</w:t>
            </w:r>
          </w:p>
          <w:p w14:paraId="7C6BDE43" w14:textId="77777777" w:rsidR="008C67A0" w:rsidRDefault="007C1D0A">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 xml:space="preserve">Denunciados: </w:t>
            </w:r>
          </w:p>
          <w:p w14:paraId="513ABCD4" w14:textId="77777777" w:rsidR="008C67A0" w:rsidRDefault="008C67A0">
            <w:pPr>
              <w:spacing w:line="276" w:lineRule="auto"/>
              <w:jc w:val="both"/>
              <w:rPr>
                <w:rFonts w:ascii="Arial" w:eastAsia="Arial" w:hAnsi="Arial" w:cs="Arial"/>
                <w:b/>
                <w:color w:val="000000"/>
                <w:sz w:val="16"/>
                <w:szCs w:val="16"/>
              </w:rPr>
            </w:pPr>
          </w:p>
          <w:p w14:paraId="556B0108" w14:textId="77777777" w:rsidR="008C67A0" w:rsidRDefault="007C1D0A">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Código Electoral:</w:t>
            </w:r>
          </w:p>
          <w:p w14:paraId="05137EF4" w14:textId="77777777" w:rsidR="008C67A0" w:rsidRDefault="007C1D0A">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Consejo General:</w:t>
            </w:r>
          </w:p>
          <w:p w14:paraId="57FA1175" w14:textId="77777777" w:rsidR="008C67A0" w:rsidRDefault="007C1D0A">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Instituto Local:</w:t>
            </w:r>
          </w:p>
          <w:p w14:paraId="2F7CA5E6" w14:textId="77777777" w:rsidR="008C67A0" w:rsidRDefault="007C1D0A">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 xml:space="preserve">LEGIPE: </w:t>
            </w:r>
          </w:p>
          <w:p w14:paraId="5BF52DB6" w14:textId="77777777" w:rsidR="008C67A0" w:rsidRDefault="007C1D0A">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MORENA:</w:t>
            </w:r>
          </w:p>
          <w:p w14:paraId="67E7920E" w14:textId="77777777" w:rsidR="008C67A0" w:rsidRDefault="007C1D0A">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Sala Superior:</w:t>
            </w:r>
          </w:p>
          <w:p w14:paraId="39DB155A" w14:textId="77777777" w:rsidR="008C67A0" w:rsidRDefault="007C1D0A">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Secretario Ejecutivo:</w:t>
            </w:r>
          </w:p>
          <w:p w14:paraId="24CEF79C" w14:textId="77777777" w:rsidR="008C67A0" w:rsidRDefault="007C1D0A">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PAN:</w:t>
            </w:r>
          </w:p>
          <w:p w14:paraId="32FDF450" w14:textId="77777777" w:rsidR="008C67A0" w:rsidRDefault="007C1D0A">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PEL:</w:t>
            </w:r>
          </w:p>
          <w:p w14:paraId="53927654" w14:textId="77777777" w:rsidR="008C67A0" w:rsidRDefault="007C1D0A">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PES:</w:t>
            </w:r>
          </w:p>
          <w:p w14:paraId="34D2697B" w14:textId="77777777" w:rsidR="008C67A0" w:rsidRDefault="007C1D0A">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Tribunal Electoral:</w:t>
            </w:r>
          </w:p>
          <w:p w14:paraId="07255BEB" w14:textId="77777777" w:rsidR="008C67A0" w:rsidRDefault="007C1D0A">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SCJN:</w:t>
            </w:r>
          </w:p>
        </w:tc>
        <w:tc>
          <w:tcPr>
            <w:tcW w:w="5528" w:type="dxa"/>
            <w:shd w:val="clear" w:color="auto" w:fill="auto"/>
          </w:tcPr>
          <w:p w14:paraId="3F43FDBE" w14:textId="77777777" w:rsidR="008C67A0" w:rsidRDefault="007C1D0A">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Partido Acción Nacional.</w:t>
            </w:r>
          </w:p>
          <w:p w14:paraId="2E6A44C8" w14:textId="77777777" w:rsidR="008C67A0" w:rsidRDefault="007C1D0A">
            <w:pPr>
              <w:spacing w:line="276" w:lineRule="auto"/>
              <w:jc w:val="both"/>
              <w:rPr>
                <w:rFonts w:ascii="Arial" w:eastAsia="Arial" w:hAnsi="Arial" w:cs="Arial"/>
                <w:color w:val="000000"/>
                <w:sz w:val="16"/>
                <w:szCs w:val="16"/>
              </w:rPr>
            </w:pPr>
            <w:r>
              <w:rPr>
                <w:rFonts w:ascii="Arial" w:eastAsia="Arial" w:hAnsi="Arial" w:cs="Arial"/>
                <w:color w:val="000000"/>
                <w:sz w:val="16"/>
                <w:szCs w:val="16"/>
              </w:rPr>
              <w:t xml:space="preserve">Nora Ruvalcaba Gámez, candidata de Morena a la gubernatura del estado y el propio instituto político. </w:t>
            </w:r>
          </w:p>
          <w:p w14:paraId="3DDD6F91" w14:textId="77777777" w:rsidR="008C67A0" w:rsidRDefault="007C1D0A">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Código Electoral del Estado de Aguascalientes.</w:t>
            </w:r>
          </w:p>
          <w:p w14:paraId="730DEF61" w14:textId="77777777" w:rsidR="008C67A0" w:rsidRDefault="007C1D0A">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Consejo General del Instituto Estatal Electoral de Aguascalientes.</w:t>
            </w:r>
          </w:p>
          <w:p w14:paraId="78A5570B" w14:textId="77777777" w:rsidR="008C67A0" w:rsidRDefault="007C1D0A">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Instituto Estatal Electoral de Aguascalientes.</w:t>
            </w:r>
          </w:p>
          <w:p w14:paraId="7A09361B" w14:textId="77777777" w:rsidR="008C67A0" w:rsidRDefault="007C1D0A">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Ley General de Instituciones y Procedimientos Electorales.</w:t>
            </w:r>
          </w:p>
          <w:p w14:paraId="4E6DA66A" w14:textId="77777777" w:rsidR="008C67A0" w:rsidRDefault="007C1D0A">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 xml:space="preserve">Movimiento de Regeneración Nacional. </w:t>
            </w:r>
          </w:p>
          <w:p w14:paraId="5F960D0B" w14:textId="77777777" w:rsidR="008C67A0" w:rsidRDefault="007C1D0A">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 xml:space="preserve">Sala Superior del Tribunal Electoral del Poder Judicial de la Federación. </w:t>
            </w:r>
          </w:p>
          <w:p w14:paraId="1A7F455A" w14:textId="77777777" w:rsidR="008C67A0" w:rsidRDefault="007C1D0A">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 xml:space="preserve">Secretario Ejecutivo del Instituto Estatal Electoral de Aguascalientes. </w:t>
            </w:r>
          </w:p>
          <w:p w14:paraId="1F9445D2" w14:textId="77777777" w:rsidR="008C67A0" w:rsidRDefault="007C1D0A">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Partido Acción Nacional.</w:t>
            </w:r>
          </w:p>
          <w:p w14:paraId="16473EA4" w14:textId="77777777" w:rsidR="008C67A0" w:rsidRDefault="007C1D0A">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 xml:space="preserve">Procedimiento Electoral Local. </w:t>
            </w:r>
          </w:p>
          <w:p w14:paraId="463AD9A4" w14:textId="77777777" w:rsidR="008C67A0" w:rsidRDefault="007C1D0A">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Procedimiento Especial Sancionador.</w:t>
            </w:r>
          </w:p>
          <w:p w14:paraId="5ABC4E08" w14:textId="77777777" w:rsidR="008C67A0" w:rsidRDefault="007C1D0A">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Tribunal Electoral del Estado de Aguascalientes.</w:t>
            </w:r>
          </w:p>
          <w:p w14:paraId="050A6080" w14:textId="77777777" w:rsidR="008C67A0" w:rsidRDefault="007C1D0A">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Suprema Corte de Justicia de la Nación.</w:t>
            </w:r>
          </w:p>
        </w:tc>
      </w:tr>
    </w:tbl>
    <w:p w14:paraId="7123AF1E" w14:textId="77777777" w:rsidR="008C67A0" w:rsidRDefault="007C1D0A">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t>I. Contexto del caso.</w:t>
      </w:r>
      <w:r>
        <w:rPr>
          <w:rFonts w:ascii="Arial" w:eastAsia="Arial" w:hAnsi="Arial" w:cs="Arial"/>
          <w:b/>
          <w:sz w:val="24"/>
          <w:szCs w:val="24"/>
          <w:vertAlign w:val="superscript"/>
        </w:rPr>
        <w:footnoteReference w:id="2"/>
      </w:r>
    </w:p>
    <w:p w14:paraId="0101FB54" w14:textId="77777777" w:rsidR="008C67A0" w:rsidRDefault="008C67A0">
      <w:pPr>
        <w:pBdr>
          <w:top w:val="nil"/>
          <w:left w:val="nil"/>
          <w:bottom w:val="nil"/>
          <w:right w:val="nil"/>
          <w:between w:val="nil"/>
        </w:pBdr>
        <w:rPr>
          <w:color w:val="000000"/>
        </w:rPr>
      </w:pPr>
    </w:p>
    <w:p w14:paraId="44136882" w14:textId="77777777" w:rsidR="008C67A0" w:rsidRDefault="007C1D0A">
      <w:pPr>
        <w:tabs>
          <w:tab w:val="left" w:pos="284"/>
        </w:tabs>
        <w:spacing w:line="360" w:lineRule="auto"/>
        <w:jc w:val="both"/>
        <w:rPr>
          <w:rFonts w:ascii="Arial" w:eastAsia="Arial" w:hAnsi="Arial" w:cs="Arial"/>
          <w:sz w:val="24"/>
          <w:szCs w:val="24"/>
        </w:rPr>
      </w:pPr>
      <w:r>
        <w:rPr>
          <w:rFonts w:ascii="Arial" w:eastAsia="Arial" w:hAnsi="Arial" w:cs="Arial"/>
          <w:b/>
          <w:sz w:val="24"/>
          <w:szCs w:val="24"/>
        </w:rPr>
        <w:t>1. PEL (2021-2022).</w:t>
      </w:r>
      <w:r>
        <w:rPr>
          <w:rFonts w:ascii="Arial" w:eastAsia="Arial" w:hAnsi="Arial" w:cs="Arial"/>
          <w:sz w:val="24"/>
          <w:szCs w:val="24"/>
        </w:rPr>
        <w:t xml:space="preserve"> El 7 de octubre de 2021, inició el proceso electoral local para renovar la gubernatura del estado de Aguascalientes.</w:t>
      </w:r>
      <w:r>
        <w:rPr>
          <w:rFonts w:ascii="Arial" w:eastAsia="Arial" w:hAnsi="Arial" w:cs="Arial"/>
          <w:sz w:val="24"/>
          <w:szCs w:val="24"/>
          <w:vertAlign w:val="superscript"/>
        </w:rPr>
        <w:footnoteReference w:id="3"/>
      </w:r>
    </w:p>
    <w:p w14:paraId="379D1666" w14:textId="77777777" w:rsidR="008C67A0" w:rsidRDefault="007C1D0A">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2. Denuncia.</w:t>
      </w:r>
      <w:r>
        <w:rPr>
          <w:rFonts w:ascii="Arial" w:eastAsia="Arial" w:hAnsi="Arial" w:cs="Arial"/>
          <w:sz w:val="24"/>
          <w:szCs w:val="24"/>
        </w:rPr>
        <w:t xml:space="preserve"> El 4 de junio, el ciudadano Javier Soto Reyes, entonces representante propietario del PAN y de la coalición “Va Por Aguascalientes” ante el Consejo General, presentó una queja en contra de Nora Ruvalcaba Gámez, candidata de Morena a la gubernatura del estado, así como del referido instituto político, derivado de la utilización de una figura tipo “</w:t>
      </w:r>
      <w:r>
        <w:rPr>
          <w:rFonts w:ascii="Arial" w:eastAsia="Arial" w:hAnsi="Arial" w:cs="Arial"/>
          <w:i/>
          <w:sz w:val="24"/>
          <w:szCs w:val="24"/>
        </w:rPr>
        <w:t xml:space="preserve">peluche” </w:t>
      </w:r>
      <w:r>
        <w:rPr>
          <w:rFonts w:ascii="Arial" w:eastAsia="Arial" w:hAnsi="Arial" w:cs="Arial"/>
          <w:sz w:val="24"/>
          <w:szCs w:val="24"/>
        </w:rPr>
        <w:t>que, a su dicho, representa al Presidente de la República, Andrés Manuel López Obrador, lo cual constituye una infracción a la normativa en materia de propaganda electoral al utilizar la imagen personal del titular del Ejecutivo federal. A su vez, exigió a la autoridad administrativa la adopción de medidas cautelares.</w:t>
      </w:r>
    </w:p>
    <w:p w14:paraId="20711DD3" w14:textId="77777777" w:rsidR="008C67A0" w:rsidRDefault="007C1D0A">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 xml:space="preserve">3. Radicación y admisión. </w:t>
      </w:r>
      <w:r>
        <w:rPr>
          <w:rFonts w:ascii="Arial" w:eastAsia="Arial" w:hAnsi="Arial" w:cs="Arial"/>
          <w:sz w:val="24"/>
          <w:szCs w:val="24"/>
        </w:rPr>
        <w:t xml:space="preserve">Al día siguiente,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radicó la denuncia y le asignó el número de expediente IEE/PES/091/2022. El 10 del mismo mes, admitió a trámite la denuncia y, a su vez, fijó fecha para la celebración de la audiencia de pruebas y alegatos.</w:t>
      </w:r>
    </w:p>
    <w:p w14:paraId="2E91E82B" w14:textId="77777777" w:rsidR="008C67A0" w:rsidRDefault="007C1D0A">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4. Valoración de las medidas cautelares.</w:t>
      </w:r>
      <w:r>
        <w:rPr>
          <w:rFonts w:ascii="Arial" w:eastAsia="Arial" w:hAnsi="Arial" w:cs="Arial"/>
          <w:sz w:val="24"/>
          <w:szCs w:val="24"/>
        </w:rPr>
        <w:t xml:space="preserve"> En misma fecha,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determinó no proponer la adopción de medidas cautelares a la Comisión de Quejas y Denuncias del Instituto Local; ello, al considerar que a la fecha de su valoración, no se actualiza una infracción al bien jurídico tutelado -equidad en la contienda-, puesto que ya había concluido la etapa de la jornada electoral. </w:t>
      </w:r>
    </w:p>
    <w:p w14:paraId="2E847C29" w14:textId="77777777" w:rsidR="008C67A0" w:rsidRDefault="007C1D0A">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lastRenderedPageBreak/>
        <w:t>5. Audiencia de alegatos y remisión del expediente.</w:t>
      </w:r>
      <w:r>
        <w:rPr>
          <w:rFonts w:ascii="Arial" w:eastAsia="Arial" w:hAnsi="Arial" w:cs="Arial"/>
          <w:sz w:val="24"/>
          <w:szCs w:val="24"/>
        </w:rPr>
        <w:t xml:space="preserve"> El 14 de junio, la Secretaría Ejecutiva celebró la audiencia de pruebas y alegatos. Al día siguiente, rindió el informe circunstanciado y remitió el expediente a este Tribunal. </w:t>
      </w:r>
    </w:p>
    <w:p w14:paraId="2B9BEFC3" w14:textId="77777777" w:rsidR="008C67A0" w:rsidRDefault="007C1D0A">
      <w:pPr>
        <w:tabs>
          <w:tab w:val="left" w:pos="284"/>
        </w:tabs>
        <w:spacing w:before="240" w:after="240" w:line="360" w:lineRule="auto"/>
        <w:ind w:right="40"/>
        <w:jc w:val="both"/>
        <w:rPr>
          <w:rFonts w:ascii="Arial" w:eastAsia="Arial" w:hAnsi="Arial" w:cs="Arial"/>
          <w:b/>
          <w:sz w:val="24"/>
          <w:szCs w:val="24"/>
        </w:rPr>
      </w:pPr>
      <w:r>
        <w:rPr>
          <w:rFonts w:ascii="Arial" w:eastAsia="Arial" w:hAnsi="Arial" w:cs="Arial"/>
          <w:b/>
          <w:sz w:val="24"/>
          <w:szCs w:val="24"/>
        </w:rPr>
        <w:t xml:space="preserve">6. Turno, radicación y formulación del proyecto de resolución TEEA-PES-059/2022. </w:t>
      </w:r>
      <w:r>
        <w:rPr>
          <w:rFonts w:ascii="Arial" w:eastAsia="Arial" w:hAnsi="Arial" w:cs="Arial"/>
          <w:sz w:val="24"/>
          <w:szCs w:val="24"/>
        </w:rPr>
        <w:t xml:space="preserve">El mismo día, la Magistrada </w:t>
      </w:r>
      <w:proofErr w:type="gramStart"/>
      <w:r>
        <w:rPr>
          <w:rFonts w:ascii="Arial" w:eastAsia="Arial" w:hAnsi="Arial" w:cs="Arial"/>
          <w:sz w:val="24"/>
          <w:szCs w:val="24"/>
        </w:rPr>
        <w:t>Presidenta</w:t>
      </w:r>
      <w:proofErr w:type="gramEnd"/>
      <w:r>
        <w:rPr>
          <w:rFonts w:ascii="Arial" w:eastAsia="Arial" w:hAnsi="Arial" w:cs="Arial"/>
          <w:sz w:val="24"/>
          <w:szCs w:val="24"/>
        </w:rPr>
        <w:t xml:space="preserve"> ordenó el registro del asunto con el número de expediente TEEA-PES-059/2022 y lo turnó a la Ponencia de la Magistrada Laura Hortensia Llamas Hernández, quien en su oportunidad lo radicó y al no existir algún trámite pendiente, ordenó la formulación del proyecto.</w:t>
      </w:r>
      <w:r>
        <w:rPr>
          <w:rFonts w:ascii="Arial" w:eastAsia="Arial" w:hAnsi="Arial" w:cs="Arial"/>
          <w:sz w:val="24"/>
          <w:szCs w:val="24"/>
          <w:vertAlign w:val="superscript"/>
        </w:rPr>
        <w:footnoteReference w:id="4"/>
      </w:r>
    </w:p>
    <w:p w14:paraId="1849CE87" w14:textId="77777777" w:rsidR="008C67A0" w:rsidRDefault="007C1D0A">
      <w:pPr>
        <w:pBdr>
          <w:top w:val="nil"/>
          <w:left w:val="nil"/>
          <w:bottom w:val="nil"/>
          <w:right w:val="nil"/>
          <w:between w:val="nil"/>
        </w:pBdr>
        <w:tabs>
          <w:tab w:val="left" w:pos="284"/>
        </w:tabs>
        <w:spacing w:line="360" w:lineRule="auto"/>
        <w:ind w:right="36"/>
        <w:jc w:val="both"/>
        <w:rPr>
          <w:color w:val="000000"/>
        </w:rPr>
      </w:pPr>
      <w:r>
        <w:rPr>
          <w:rFonts w:ascii="Arial" w:eastAsia="Arial" w:hAnsi="Arial" w:cs="Arial"/>
          <w:b/>
          <w:color w:val="000000"/>
          <w:sz w:val="24"/>
          <w:szCs w:val="24"/>
        </w:rPr>
        <w:t xml:space="preserve">II. Competencia. </w:t>
      </w:r>
      <w:r>
        <w:rPr>
          <w:rFonts w:ascii="Arial" w:eastAsia="Arial" w:hAnsi="Arial" w:cs="Arial"/>
          <w:color w:val="000000"/>
          <w:sz w:val="24"/>
          <w:szCs w:val="24"/>
        </w:rPr>
        <w:t xml:space="preserve">Este Tribunal es competente para resolver el presente procedimiento especial sancionador, porque se relaciona con la posible vulneración al artículo 26 del Código Electoral, derivado de la utilización -por parte de la candidatura denunciada-, de una figura tipo </w:t>
      </w:r>
      <w:r>
        <w:rPr>
          <w:rFonts w:ascii="Arial" w:eastAsia="Arial" w:hAnsi="Arial" w:cs="Arial"/>
          <w:i/>
          <w:color w:val="000000"/>
          <w:sz w:val="24"/>
          <w:szCs w:val="24"/>
        </w:rPr>
        <w:t>peluche</w:t>
      </w:r>
      <w:r>
        <w:rPr>
          <w:rFonts w:ascii="Arial" w:eastAsia="Arial" w:hAnsi="Arial" w:cs="Arial"/>
          <w:color w:val="000000"/>
          <w:sz w:val="24"/>
          <w:szCs w:val="24"/>
        </w:rPr>
        <w:t xml:space="preserve"> que, a dicho del quejoso, hace alusión a la imagen del titular del Poder Ejecutivo Federal</w:t>
      </w:r>
      <w:r>
        <w:rPr>
          <w:rFonts w:ascii="Arial" w:eastAsia="Arial" w:hAnsi="Arial" w:cs="Arial"/>
          <w:sz w:val="24"/>
          <w:szCs w:val="24"/>
        </w:rPr>
        <w:t>.</w:t>
      </w:r>
      <w:r>
        <w:rPr>
          <w:rFonts w:ascii="Arial" w:eastAsia="Arial" w:hAnsi="Arial" w:cs="Arial"/>
          <w:color w:val="000000"/>
          <w:sz w:val="24"/>
          <w:szCs w:val="24"/>
        </w:rPr>
        <w:t xml:space="preserve"> Lo anterior, de conformidad con los artículos 252, fracción II, 268, fracción II, 274 y 275 del Código Electoral.</w:t>
      </w:r>
    </w:p>
    <w:p w14:paraId="6284DDD8" w14:textId="77777777" w:rsidR="008C67A0" w:rsidRDefault="008C67A0">
      <w:pPr>
        <w:pBdr>
          <w:top w:val="nil"/>
          <w:left w:val="nil"/>
          <w:bottom w:val="nil"/>
          <w:right w:val="nil"/>
          <w:between w:val="nil"/>
        </w:pBdr>
        <w:rPr>
          <w:color w:val="000000"/>
        </w:rPr>
      </w:pPr>
    </w:p>
    <w:p w14:paraId="1E3F8847" w14:textId="77777777" w:rsidR="008C67A0" w:rsidRDefault="007C1D0A">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III. Personería. </w:t>
      </w:r>
      <w:r>
        <w:rPr>
          <w:rFonts w:ascii="Arial" w:eastAsia="Arial" w:hAnsi="Arial" w:cs="Arial"/>
          <w:color w:val="000000"/>
          <w:sz w:val="24"/>
          <w:szCs w:val="24"/>
        </w:rPr>
        <w:t>La autoridad instructora tuvo por acreditada la personería del denunciante y l</w:t>
      </w:r>
      <w:r>
        <w:rPr>
          <w:rFonts w:ascii="Arial" w:eastAsia="Arial" w:hAnsi="Arial" w:cs="Arial"/>
          <w:sz w:val="24"/>
          <w:szCs w:val="24"/>
        </w:rPr>
        <w:t>as</w:t>
      </w:r>
      <w:r>
        <w:rPr>
          <w:rFonts w:ascii="Arial" w:eastAsia="Arial" w:hAnsi="Arial" w:cs="Arial"/>
          <w:color w:val="000000"/>
          <w:sz w:val="24"/>
          <w:szCs w:val="24"/>
        </w:rPr>
        <w:t xml:space="preserve"> </w:t>
      </w:r>
      <w:r>
        <w:rPr>
          <w:rFonts w:ascii="Arial" w:eastAsia="Arial" w:hAnsi="Arial" w:cs="Arial"/>
          <w:sz w:val="24"/>
          <w:szCs w:val="24"/>
        </w:rPr>
        <w:t>partes</w:t>
      </w:r>
      <w:r>
        <w:rPr>
          <w:rFonts w:ascii="Arial" w:eastAsia="Arial" w:hAnsi="Arial" w:cs="Arial"/>
          <w:color w:val="000000"/>
          <w:sz w:val="24"/>
          <w:szCs w:val="24"/>
        </w:rPr>
        <w:t xml:space="preserve"> denunciad</w:t>
      </w:r>
      <w:r>
        <w:rPr>
          <w:rFonts w:ascii="Arial" w:eastAsia="Arial" w:hAnsi="Arial" w:cs="Arial"/>
          <w:sz w:val="24"/>
          <w:szCs w:val="24"/>
        </w:rPr>
        <w:t>as, respectivamente</w:t>
      </w:r>
      <w:r>
        <w:rPr>
          <w:rFonts w:ascii="Arial" w:eastAsia="Arial" w:hAnsi="Arial" w:cs="Arial"/>
          <w:color w:val="000000"/>
          <w:sz w:val="24"/>
          <w:szCs w:val="24"/>
        </w:rPr>
        <w:t>.</w:t>
      </w:r>
    </w:p>
    <w:p w14:paraId="065BD959" w14:textId="77777777" w:rsidR="008C67A0" w:rsidRDefault="008C67A0">
      <w:pPr>
        <w:pBdr>
          <w:top w:val="nil"/>
          <w:left w:val="nil"/>
          <w:bottom w:val="nil"/>
          <w:right w:val="nil"/>
          <w:between w:val="nil"/>
        </w:pBdr>
        <w:rPr>
          <w:color w:val="000000"/>
        </w:rPr>
      </w:pPr>
    </w:p>
    <w:p w14:paraId="0CADDEBC" w14:textId="77777777" w:rsidR="008C67A0" w:rsidRDefault="007C1D0A">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color w:val="000000"/>
          <w:sz w:val="24"/>
          <w:szCs w:val="24"/>
        </w:rPr>
        <w:t xml:space="preserve">IV. Causales de improcedencia. </w:t>
      </w:r>
      <w:r>
        <w:rPr>
          <w:rFonts w:ascii="Arial" w:eastAsia="Arial" w:hAnsi="Arial" w:cs="Arial"/>
          <w:color w:val="000000"/>
          <w:sz w:val="24"/>
          <w:szCs w:val="24"/>
        </w:rPr>
        <w:t xml:space="preserve">La ciudadana </w:t>
      </w:r>
      <w:r>
        <w:rPr>
          <w:rFonts w:ascii="Arial" w:eastAsia="Arial" w:hAnsi="Arial" w:cs="Arial"/>
          <w:sz w:val="24"/>
          <w:szCs w:val="24"/>
        </w:rPr>
        <w:t xml:space="preserve">Nora Ruvalcaba Gámez y el partido Morena, en sus escritos de contestación, refieren que la denuncia presentada en su contra es </w:t>
      </w:r>
      <w:r>
        <w:rPr>
          <w:rFonts w:ascii="Arial" w:eastAsia="Arial" w:hAnsi="Arial" w:cs="Arial"/>
          <w:b/>
          <w:sz w:val="24"/>
          <w:szCs w:val="24"/>
        </w:rPr>
        <w:t>frívola y oscura</w:t>
      </w:r>
      <w:r>
        <w:rPr>
          <w:rFonts w:ascii="Arial" w:eastAsia="Arial" w:hAnsi="Arial" w:cs="Arial"/>
          <w:sz w:val="24"/>
          <w:szCs w:val="24"/>
        </w:rPr>
        <w:t>, ya que no se ofrecieron elementos de prueba que permitan acreditar los hechos denunciados.</w:t>
      </w:r>
    </w:p>
    <w:p w14:paraId="05469D01" w14:textId="77777777" w:rsidR="008C67A0" w:rsidRDefault="008C67A0">
      <w:pPr>
        <w:pBdr>
          <w:top w:val="nil"/>
          <w:left w:val="nil"/>
          <w:bottom w:val="nil"/>
          <w:right w:val="nil"/>
          <w:between w:val="nil"/>
        </w:pBdr>
        <w:rPr>
          <w:color w:val="000000"/>
        </w:rPr>
      </w:pPr>
    </w:p>
    <w:p w14:paraId="0101E684" w14:textId="77777777" w:rsidR="008C67A0" w:rsidRDefault="007C1D0A">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El artículo 270, fracción V, del Código Electoral</w:t>
      </w:r>
      <w:r>
        <w:rPr>
          <w:rFonts w:ascii="Arial" w:eastAsia="Arial" w:hAnsi="Arial" w:cs="Arial"/>
          <w:sz w:val="24"/>
          <w:szCs w:val="24"/>
          <w:vertAlign w:val="superscript"/>
        </w:rPr>
        <w:footnoteReference w:id="5"/>
      </w:r>
      <w:r>
        <w:rPr>
          <w:rFonts w:ascii="Arial" w:eastAsia="Arial" w:hAnsi="Arial" w:cs="Arial"/>
          <w:sz w:val="24"/>
          <w:szCs w:val="24"/>
        </w:rPr>
        <w:t xml:space="preserve"> establece que la denuncia se desechará de plano, cuando sea evidentemente frívola. Esta causal se actualiza cuando de la denuncia se advierta que las pretensiones de la parte quejosa no podrían lograrse jurídicamente, por no estar al alcance del derecho o bien, que no existan pruebas que sirvan para acreditar la infracción.</w:t>
      </w:r>
    </w:p>
    <w:p w14:paraId="40F4FD71" w14:textId="77777777" w:rsidR="008C67A0" w:rsidRDefault="007C1D0A">
      <w:pPr>
        <w:tabs>
          <w:tab w:val="left" w:pos="426"/>
        </w:tabs>
        <w:spacing w:before="240" w:line="360" w:lineRule="auto"/>
        <w:ind w:right="40"/>
        <w:jc w:val="both"/>
        <w:rPr>
          <w:rFonts w:ascii="Arial" w:eastAsia="Arial" w:hAnsi="Arial" w:cs="Arial"/>
          <w:sz w:val="24"/>
          <w:szCs w:val="24"/>
        </w:rPr>
      </w:pPr>
      <w:r>
        <w:rPr>
          <w:rFonts w:ascii="Arial" w:eastAsia="Arial" w:hAnsi="Arial" w:cs="Arial"/>
          <w:sz w:val="24"/>
          <w:szCs w:val="24"/>
        </w:rPr>
        <w:t xml:space="preserve">Al respecto, este Tribunal considera que del escrito de la denuncia y de las constancias del expediente, se advierte que el denunciante señaló los hechos y las infracciones que, a su criterio se acreditan, además de que ofreció la pruebas que estimó pertinente, por tanto, no </w:t>
      </w:r>
      <w:r>
        <w:rPr>
          <w:rFonts w:ascii="Arial" w:eastAsia="Arial" w:hAnsi="Arial" w:cs="Arial"/>
          <w:sz w:val="24"/>
          <w:szCs w:val="24"/>
        </w:rPr>
        <w:lastRenderedPageBreak/>
        <w:t>es posible actualizar tal causal de improcedencia, pues el quejoso ofreció las pruebas que consideró necesarias para la acreditación de los hechos cuestionados. Por tanto, la posible actualización de la infracción, en todo caso, es materia de análisis en el estudio de fondo de la presente resolución.</w:t>
      </w:r>
    </w:p>
    <w:p w14:paraId="11ABA754" w14:textId="77777777" w:rsidR="008C67A0" w:rsidRDefault="008C67A0">
      <w:pPr>
        <w:pBdr>
          <w:top w:val="nil"/>
          <w:left w:val="nil"/>
          <w:bottom w:val="nil"/>
          <w:right w:val="nil"/>
          <w:between w:val="nil"/>
        </w:pBdr>
        <w:rPr>
          <w:color w:val="000000"/>
        </w:rPr>
      </w:pPr>
    </w:p>
    <w:p w14:paraId="013F0734" w14:textId="77777777" w:rsidR="008C67A0" w:rsidRDefault="007C1D0A">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V. Estudio de fondo</w:t>
      </w:r>
    </w:p>
    <w:p w14:paraId="6A040684" w14:textId="77777777" w:rsidR="008C67A0" w:rsidRDefault="008C67A0">
      <w:pPr>
        <w:pBdr>
          <w:top w:val="nil"/>
          <w:left w:val="nil"/>
          <w:bottom w:val="nil"/>
          <w:right w:val="nil"/>
          <w:between w:val="nil"/>
        </w:pBdr>
        <w:rPr>
          <w:color w:val="000000"/>
          <w:sz w:val="16"/>
          <w:szCs w:val="16"/>
        </w:rPr>
      </w:pPr>
    </w:p>
    <w:p w14:paraId="377AF1BD" w14:textId="77777777" w:rsidR="008C67A0" w:rsidRDefault="007C1D0A">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1. Hechos denunciados </w:t>
      </w:r>
    </w:p>
    <w:p w14:paraId="0298A14D" w14:textId="77777777" w:rsidR="008C67A0" w:rsidRDefault="008C67A0">
      <w:pPr>
        <w:pBdr>
          <w:top w:val="nil"/>
          <w:left w:val="nil"/>
          <w:bottom w:val="nil"/>
          <w:right w:val="nil"/>
          <w:between w:val="nil"/>
        </w:pBdr>
        <w:rPr>
          <w:color w:val="000000"/>
        </w:rPr>
      </w:pPr>
    </w:p>
    <w:p w14:paraId="3470BEF2" w14:textId="77777777" w:rsidR="008C67A0" w:rsidRDefault="007C1D0A">
      <w:pPr>
        <w:numPr>
          <w:ilvl w:val="1"/>
          <w:numId w:val="2"/>
        </w:numPr>
        <w:pBdr>
          <w:top w:val="nil"/>
          <w:left w:val="nil"/>
          <w:bottom w:val="nil"/>
          <w:right w:val="nil"/>
          <w:between w:val="nil"/>
        </w:pBdr>
        <w:tabs>
          <w:tab w:val="left" w:pos="426"/>
        </w:tabs>
        <w:spacing w:line="360" w:lineRule="auto"/>
        <w:ind w:left="0" w:right="36" w:firstLine="0"/>
        <w:jc w:val="both"/>
        <w:rPr>
          <w:rFonts w:ascii="Arial" w:eastAsia="Arial" w:hAnsi="Arial" w:cs="Arial"/>
          <w:color w:val="000000"/>
          <w:sz w:val="24"/>
          <w:szCs w:val="24"/>
        </w:rPr>
      </w:pPr>
      <w:bookmarkStart w:id="3" w:name="_heading=h.1fob9te" w:colFirst="0" w:colLast="0"/>
      <w:bookmarkEnd w:id="3"/>
      <w:r>
        <w:rPr>
          <w:rFonts w:ascii="Arial" w:eastAsia="Arial" w:hAnsi="Arial" w:cs="Arial"/>
          <w:b/>
          <w:color w:val="000000"/>
          <w:sz w:val="24"/>
          <w:szCs w:val="24"/>
        </w:rPr>
        <w:t xml:space="preserve">En contra de Nora Ruvalcaba Gámez. </w:t>
      </w:r>
      <w:r>
        <w:rPr>
          <w:rFonts w:ascii="Arial" w:eastAsia="Arial" w:hAnsi="Arial" w:cs="Arial"/>
          <w:color w:val="000000"/>
          <w:sz w:val="24"/>
          <w:szCs w:val="24"/>
        </w:rPr>
        <w:t>El PAN refiere que la denunciada</w:t>
      </w:r>
      <w:r>
        <w:rPr>
          <w:rFonts w:ascii="Arial" w:eastAsia="Arial" w:hAnsi="Arial" w:cs="Arial"/>
          <w:sz w:val="24"/>
          <w:szCs w:val="24"/>
        </w:rPr>
        <w:t xml:space="preserve"> vulneró</w:t>
      </w:r>
      <w:r>
        <w:rPr>
          <w:rFonts w:ascii="Arial" w:eastAsia="Arial" w:hAnsi="Arial" w:cs="Arial"/>
          <w:color w:val="000000"/>
          <w:sz w:val="24"/>
          <w:szCs w:val="24"/>
        </w:rPr>
        <w:t xml:space="preserve"> </w:t>
      </w:r>
      <w:r>
        <w:rPr>
          <w:rFonts w:ascii="Arial" w:eastAsia="Arial" w:hAnsi="Arial" w:cs="Arial"/>
          <w:sz w:val="24"/>
          <w:szCs w:val="24"/>
        </w:rPr>
        <w:t>la prohibición de utilizar la imagen personal del titular del Poder Ejecutivo Federal</w:t>
      </w:r>
      <w:r>
        <w:rPr>
          <w:rFonts w:ascii="Arial" w:eastAsia="Arial" w:hAnsi="Arial" w:cs="Arial"/>
          <w:color w:val="000000"/>
          <w:sz w:val="24"/>
          <w:szCs w:val="24"/>
        </w:rPr>
        <w:t xml:space="preserve">, derivado de una serie de publicaciones en su perfil de Facebook, donde se advierte una figura tipo </w:t>
      </w:r>
      <w:r>
        <w:rPr>
          <w:rFonts w:ascii="Arial" w:eastAsia="Arial" w:hAnsi="Arial" w:cs="Arial"/>
          <w:sz w:val="24"/>
          <w:szCs w:val="24"/>
        </w:rPr>
        <w:t>“</w:t>
      </w:r>
      <w:r>
        <w:rPr>
          <w:rFonts w:ascii="Arial" w:eastAsia="Arial" w:hAnsi="Arial" w:cs="Arial"/>
          <w:i/>
          <w:color w:val="000000"/>
          <w:sz w:val="24"/>
          <w:szCs w:val="24"/>
        </w:rPr>
        <w:t>peluche</w:t>
      </w:r>
      <w:r>
        <w:rPr>
          <w:rFonts w:ascii="Arial" w:eastAsia="Arial" w:hAnsi="Arial" w:cs="Arial"/>
          <w:i/>
          <w:sz w:val="24"/>
          <w:szCs w:val="24"/>
        </w:rPr>
        <w:t>”</w:t>
      </w:r>
      <w:r>
        <w:rPr>
          <w:rFonts w:ascii="Arial" w:eastAsia="Arial" w:hAnsi="Arial" w:cs="Arial"/>
          <w:i/>
          <w:color w:val="000000"/>
          <w:sz w:val="24"/>
          <w:szCs w:val="24"/>
        </w:rPr>
        <w:t xml:space="preserve"> </w:t>
      </w:r>
      <w:r>
        <w:rPr>
          <w:rFonts w:ascii="Arial" w:eastAsia="Arial" w:hAnsi="Arial" w:cs="Arial"/>
          <w:color w:val="000000"/>
          <w:sz w:val="24"/>
          <w:szCs w:val="24"/>
        </w:rPr>
        <w:t xml:space="preserve">que, a su criterio, </w:t>
      </w:r>
      <w:r>
        <w:rPr>
          <w:rFonts w:ascii="Arial" w:eastAsia="Arial" w:hAnsi="Arial" w:cs="Arial"/>
          <w:sz w:val="24"/>
          <w:szCs w:val="24"/>
        </w:rPr>
        <w:t>representa al</w:t>
      </w:r>
      <w:r>
        <w:rPr>
          <w:rFonts w:ascii="Arial" w:eastAsia="Arial" w:hAnsi="Arial" w:cs="Arial"/>
          <w:color w:val="000000"/>
          <w:sz w:val="24"/>
          <w:szCs w:val="24"/>
        </w:rPr>
        <w:t xml:space="preserve"> </w:t>
      </w:r>
      <w:proofErr w:type="gramStart"/>
      <w:r>
        <w:rPr>
          <w:rFonts w:ascii="Arial" w:eastAsia="Arial" w:hAnsi="Arial" w:cs="Arial"/>
          <w:sz w:val="24"/>
          <w:szCs w:val="24"/>
        </w:rPr>
        <w:t>Presidente</w:t>
      </w:r>
      <w:proofErr w:type="gramEnd"/>
      <w:r>
        <w:rPr>
          <w:rFonts w:ascii="Arial" w:eastAsia="Arial" w:hAnsi="Arial" w:cs="Arial"/>
          <w:sz w:val="24"/>
          <w:szCs w:val="24"/>
        </w:rPr>
        <w:t xml:space="preserve"> de la República, Andrés Manuel López Obrador, lo cual tuvo como objetivo coaccionar e influenciar la voluntad de la ciudadanía en el proceso electoral de renovación de gubernatura. </w:t>
      </w:r>
    </w:p>
    <w:p w14:paraId="645A17B1" w14:textId="77777777" w:rsidR="008C67A0" w:rsidRDefault="008C67A0">
      <w:pPr>
        <w:pBdr>
          <w:top w:val="nil"/>
          <w:left w:val="nil"/>
          <w:bottom w:val="nil"/>
          <w:right w:val="nil"/>
          <w:between w:val="nil"/>
        </w:pBdr>
        <w:rPr>
          <w:color w:val="000000"/>
        </w:rPr>
      </w:pPr>
    </w:p>
    <w:p w14:paraId="6F4BC09B" w14:textId="77777777" w:rsidR="008C67A0" w:rsidRDefault="007C1D0A">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sz w:val="24"/>
          <w:szCs w:val="24"/>
        </w:rPr>
        <w:t>La figura en cuestión es la siguiente:</w:t>
      </w:r>
      <w:r>
        <w:rPr>
          <w:rFonts w:ascii="Arial" w:eastAsia="Arial" w:hAnsi="Arial" w:cs="Arial"/>
          <w:color w:val="000000"/>
          <w:sz w:val="24"/>
          <w:szCs w:val="24"/>
        </w:rPr>
        <w:t xml:space="preserve"> </w:t>
      </w:r>
    </w:p>
    <w:p w14:paraId="4828FC4F" w14:textId="77777777" w:rsidR="008C67A0" w:rsidRDefault="008C67A0">
      <w:pPr>
        <w:pBdr>
          <w:top w:val="nil"/>
          <w:left w:val="nil"/>
          <w:bottom w:val="nil"/>
          <w:right w:val="nil"/>
          <w:between w:val="nil"/>
        </w:pBdr>
        <w:rPr>
          <w:color w:val="000000"/>
        </w:rPr>
      </w:pPr>
    </w:p>
    <w:tbl>
      <w:tblPr>
        <w:tblStyle w:val="aff7"/>
        <w:tblW w:w="9585" w:type="dxa"/>
        <w:tblInd w:w="12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9585"/>
      </w:tblGrid>
      <w:tr w:rsidR="008C67A0" w14:paraId="0C4DC1FB" w14:textId="77777777" w:rsidTr="008C67A0">
        <w:trPr>
          <w:cnfStyle w:val="000000100000" w:firstRow="0" w:lastRow="0" w:firstColumn="0" w:lastColumn="0" w:oddVBand="0" w:evenVBand="0" w:oddHBand="1" w:evenHBand="0" w:firstRowFirstColumn="0" w:firstRowLastColumn="0" w:lastRowFirstColumn="0" w:lastRowLastColumn="0"/>
        </w:trPr>
        <w:tc>
          <w:tcPr>
            <w:tcW w:w="9585" w:type="dxa"/>
          </w:tcPr>
          <w:p w14:paraId="6764423B" w14:textId="77777777" w:rsidR="008C67A0" w:rsidRDefault="007C1D0A">
            <w:pPr>
              <w:tabs>
                <w:tab w:val="left" w:pos="426"/>
              </w:tabs>
              <w:spacing w:line="360" w:lineRule="auto"/>
              <w:ind w:right="36"/>
              <w:jc w:val="center"/>
              <w:rPr>
                <w:rFonts w:ascii="Arial" w:eastAsia="Arial" w:hAnsi="Arial" w:cs="Arial"/>
                <w:b/>
                <w:color w:val="000000"/>
                <w:sz w:val="24"/>
                <w:szCs w:val="24"/>
              </w:rPr>
            </w:pPr>
            <w:r>
              <w:rPr>
                <w:rFonts w:ascii="Arial" w:eastAsia="Arial" w:hAnsi="Arial" w:cs="Arial"/>
                <w:b/>
                <w:color w:val="000000"/>
                <w:sz w:val="24"/>
                <w:szCs w:val="24"/>
              </w:rPr>
              <w:t>Imágenes representativas:</w:t>
            </w:r>
          </w:p>
        </w:tc>
      </w:tr>
      <w:tr w:rsidR="008C67A0" w14:paraId="02D409B6" w14:textId="77777777" w:rsidTr="008C67A0">
        <w:trPr>
          <w:trHeight w:val="3030"/>
        </w:trPr>
        <w:tc>
          <w:tcPr>
            <w:tcW w:w="9585" w:type="dxa"/>
          </w:tcPr>
          <w:p w14:paraId="1E1766EB" w14:textId="77777777" w:rsidR="008C67A0" w:rsidRDefault="007C1D0A">
            <w:pPr>
              <w:tabs>
                <w:tab w:val="left" w:pos="426"/>
              </w:tabs>
              <w:spacing w:line="360" w:lineRule="auto"/>
              <w:ind w:right="36"/>
              <w:jc w:val="center"/>
            </w:pPr>
            <w:r>
              <w:rPr>
                <w:noProof/>
              </w:rPr>
              <w:drawing>
                <wp:inline distT="0" distB="0" distL="0" distR="0" wp14:anchorId="627F1566" wp14:editId="4064CD8F">
                  <wp:extent cx="1629577" cy="1848476"/>
                  <wp:effectExtent l="0" t="0" r="0" b="0"/>
                  <wp:docPr id="7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l="56043" t="31027" r="27487" b="35760"/>
                          <a:stretch>
                            <a:fillRect/>
                          </a:stretch>
                        </pic:blipFill>
                        <pic:spPr>
                          <a:xfrm>
                            <a:off x="0" y="0"/>
                            <a:ext cx="1629577" cy="1848476"/>
                          </a:xfrm>
                          <a:prstGeom prst="rect">
                            <a:avLst/>
                          </a:prstGeom>
                          <a:ln/>
                        </pic:spPr>
                      </pic:pic>
                    </a:graphicData>
                  </a:graphic>
                </wp:inline>
              </w:drawing>
            </w:r>
            <w:r>
              <w:t xml:space="preserve"> </w:t>
            </w:r>
            <w:r>
              <w:rPr>
                <w:noProof/>
              </w:rPr>
              <w:drawing>
                <wp:inline distT="0" distB="0" distL="0" distR="0" wp14:anchorId="762EC92D" wp14:editId="7BE8C891">
                  <wp:extent cx="1613214" cy="1853477"/>
                  <wp:effectExtent l="0" t="0" r="0" b="0"/>
                  <wp:docPr id="7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l="56311" t="42905" r="33180" b="35630"/>
                          <a:stretch>
                            <a:fillRect/>
                          </a:stretch>
                        </pic:blipFill>
                        <pic:spPr>
                          <a:xfrm>
                            <a:off x="0" y="0"/>
                            <a:ext cx="1613214" cy="1853477"/>
                          </a:xfrm>
                          <a:prstGeom prst="rect">
                            <a:avLst/>
                          </a:prstGeom>
                          <a:ln/>
                        </pic:spPr>
                      </pic:pic>
                    </a:graphicData>
                  </a:graphic>
                </wp:inline>
              </w:drawing>
            </w:r>
          </w:p>
        </w:tc>
      </w:tr>
    </w:tbl>
    <w:p w14:paraId="1B853168" w14:textId="77777777" w:rsidR="008C67A0" w:rsidRDefault="008C67A0">
      <w:pPr>
        <w:pBdr>
          <w:top w:val="nil"/>
          <w:left w:val="nil"/>
          <w:bottom w:val="nil"/>
          <w:right w:val="nil"/>
          <w:between w:val="nil"/>
        </w:pBdr>
        <w:spacing w:line="360" w:lineRule="auto"/>
        <w:ind w:right="36"/>
        <w:jc w:val="both"/>
      </w:pPr>
    </w:p>
    <w:p w14:paraId="5FC535A7" w14:textId="77777777" w:rsidR="008C67A0" w:rsidRDefault="007C1D0A">
      <w:pPr>
        <w:pBdr>
          <w:top w:val="nil"/>
          <w:left w:val="nil"/>
          <w:bottom w:val="nil"/>
          <w:right w:val="nil"/>
          <w:between w:val="nil"/>
        </w:pBdr>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1.2. En contra de Morena. </w:t>
      </w:r>
      <w:r>
        <w:rPr>
          <w:rFonts w:ascii="Arial" w:eastAsia="Arial" w:hAnsi="Arial" w:cs="Arial"/>
          <w:color w:val="000000"/>
          <w:sz w:val="24"/>
          <w:szCs w:val="24"/>
        </w:rPr>
        <w:t xml:space="preserve">El quejoso refiere que </w:t>
      </w:r>
      <w:r>
        <w:rPr>
          <w:rFonts w:ascii="Arial" w:eastAsia="Arial" w:hAnsi="Arial" w:cs="Arial"/>
          <w:sz w:val="24"/>
          <w:szCs w:val="24"/>
        </w:rPr>
        <w:t>Morena</w:t>
      </w:r>
      <w:r>
        <w:rPr>
          <w:rFonts w:ascii="Arial" w:eastAsia="Arial" w:hAnsi="Arial" w:cs="Arial"/>
          <w:b/>
          <w:color w:val="000000"/>
          <w:sz w:val="24"/>
          <w:szCs w:val="24"/>
        </w:rPr>
        <w:t xml:space="preserve"> incumplió su deber de cuidar </w:t>
      </w:r>
      <w:r>
        <w:rPr>
          <w:rFonts w:ascii="Arial" w:eastAsia="Arial" w:hAnsi="Arial" w:cs="Arial"/>
          <w:color w:val="000000"/>
          <w:sz w:val="24"/>
          <w:szCs w:val="24"/>
        </w:rPr>
        <w:t>que la candidata no incumpliera la normativa electoral.</w:t>
      </w:r>
    </w:p>
    <w:p w14:paraId="2BA83477" w14:textId="77777777" w:rsidR="008C67A0" w:rsidRDefault="008C67A0">
      <w:pPr>
        <w:pBdr>
          <w:top w:val="nil"/>
          <w:left w:val="nil"/>
          <w:bottom w:val="nil"/>
          <w:right w:val="nil"/>
          <w:between w:val="nil"/>
        </w:pBdr>
        <w:rPr>
          <w:color w:val="000000"/>
        </w:rPr>
      </w:pPr>
    </w:p>
    <w:p w14:paraId="6EF1892D" w14:textId="77777777" w:rsidR="008C67A0" w:rsidRDefault="007C1D0A">
      <w:p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2. Defensa. </w:t>
      </w:r>
      <w:r>
        <w:rPr>
          <w:rFonts w:ascii="Arial" w:eastAsia="Arial" w:hAnsi="Arial" w:cs="Arial"/>
          <w:color w:val="000000"/>
          <w:sz w:val="24"/>
          <w:szCs w:val="24"/>
        </w:rPr>
        <w:t xml:space="preserve">La candidata y el partido político como partes denunciadas, manifestaron lo siguiente: </w:t>
      </w:r>
    </w:p>
    <w:p w14:paraId="43287C48" w14:textId="77777777" w:rsidR="008C67A0" w:rsidRDefault="007C1D0A">
      <w:pPr>
        <w:numPr>
          <w:ilvl w:val="0"/>
          <w:numId w:val="4"/>
        </w:numPr>
        <w:pBdr>
          <w:top w:val="nil"/>
          <w:left w:val="nil"/>
          <w:bottom w:val="nil"/>
          <w:right w:val="nil"/>
          <w:between w:val="nil"/>
        </w:pBdr>
        <w:tabs>
          <w:tab w:val="left" w:pos="567"/>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 xml:space="preserve">Consideran que de la certificación de las publicaciones realizada por la oficialía electoral se advierte un objeto de la caricatura de un rostro, sin acreditar que este se trate del </w:t>
      </w:r>
      <w:proofErr w:type="gramStart"/>
      <w:r>
        <w:rPr>
          <w:rFonts w:ascii="Arial" w:eastAsia="Arial" w:hAnsi="Arial" w:cs="Arial"/>
          <w:color w:val="000000"/>
          <w:sz w:val="24"/>
          <w:szCs w:val="24"/>
        </w:rPr>
        <w:t>Presidente</w:t>
      </w:r>
      <w:proofErr w:type="gramEnd"/>
      <w:r>
        <w:rPr>
          <w:rFonts w:ascii="Arial" w:eastAsia="Arial" w:hAnsi="Arial" w:cs="Arial"/>
          <w:color w:val="000000"/>
          <w:sz w:val="24"/>
          <w:szCs w:val="24"/>
        </w:rPr>
        <w:t xml:space="preserve"> de la República.</w:t>
      </w:r>
    </w:p>
    <w:p w14:paraId="0334B698" w14:textId="77777777" w:rsidR="008C67A0" w:rsidRDefault="007C1D0A">
      <w:pPr>
        <w:numPr>
          <w:ilvl w:val="0"/>
          <w:numId w:val="4"/>
        </w:numPr>
        <w:pBdr>
          <w:top w:val="nil"/>
          <w:left w:val="nil"/>
          <w:bottom w:val="nil"/>
          <w:right w:val="nil"/>
          <w:between w:val="nil"/>
        </w:pBdr>
        <w:tabs>
          <w:tab w:val="left" w:pos="567"/>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 xml:space="preserve">Estiman que la representación denunciada, no identifica plenamente rasgos fisionómicos ni una media afiliación </w:t>
      </w:r>
      <w:r>
        <w:rPr>
          <w:rFonts w:ascii="Arial" w:eastAsia="Arial" w:hAnsi="Arial" w:cs="Arial"/>
          <w:sz w:val="24"/>
          <w:szCs w:val="24"/>
        </w:rPr>
        <w:t>específica</w:t>
      </w:r>
      <w:r>
        <w:rPr>
          <w:rFonts w:ascii="Arial" w:eastAsia="Arial" w:hAnsi="Arial" w:cs="Arial"/>
          <w:color w:val="000000"/>
          <w:sz w:val="24"/>
          <w:szCs w:val="24"/>
        </w:rPr>
        <w:t xml:space="preserve"> y, por tanto, no es posible adjudicarla, de manera objetiva, a alguna persona en particular. </w:t>
      </w:r>
    </w:p>
    <w:p w14:paraId="184D8FEE" w14:textId="77777777" w:rsidR="008C67A0" w:rsidRDefault="007C1D0A">
      <w:pPr>
        <w:numPr>
          <w:ilvl w:val="0"/>
          <w:numId w:val="4"/>
        </w:numPr>
        <w:pBdr>
          <w:top w:val="nil"/>
          <w:left w:val="nil"/>
          <w:bottom w:val="nil"/>
          <w:right w:val="nil"/>
          <w:between w:val="nil"/>
        </w:pBdr>
        <w:tabs>
          <w:tab w:val="left" w:pos="567"/>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lastRenderedPageBreak/>
        <w:t>Afirman que no existe un elemento expreso e inequívoco que relacione a la figura en cuestión con Andrés Manuel López Obrador, de ahí que se trata de una apreciación subjetiva del denunciante.</w:t>
      </w:r>
    </w:p>
    <w:p w14:paraId="72976577" w14:textId="77777777" w:rsidR="008C67A0" w:rsidRDefault="007C1D0A">
      <w:pPr>
        <w:tabs>
          <w:tab w:val="left" w:pos="567"/>
        </w:tabs>
        <w:spacing w:line="360" w:lineRule="auto"/>
        <w:jc w:val="both"/>
        <w:rPr>
          <w:rFonts w:ascii="Arial" w:eastAsia="Arial" w:hAnsi="Arial" w:cs="Arial"/>
          <w:b/>
          <w:sz w:val="24"/>
          <w:szCs w:val="24"/>
        </w:rPr>
      </w:pPr>
      <w:r>
        <w:rPr>
          <w:rFonts w:ascii="Arial" w:eastAsia="Arial" w:hAnsi="Arial" w:cs="Arial"/>
          <w:b/>
          <w:color w:val="000000"/>
          <w:sz w:val="24"/>
          <w:szCs w:val="24"/>
        </w:rPr>
        <w:t xml:space="preserve">3. Descripción de los medios de prueba. </w:t>
      </w:r>
      <w:r>
        <w:rPr>
          <w:rFonts w:ascii="Arial" w:eastAsia="Arial" w:hAnsi="Arial" w:cs="Arial"/>
          <w:color w:val="000000"/>
          <w:sz w:val="24"/>
          <w:szCs w:val="24"/>
        </w:rPr>
        <w:t>Como se advierte, de la audiencia de pruebas y alegatos, a las partes les fueron admitidas y desahogadas las siguientes probanzas:</w:t>
      </w:r>
      <w:r>
        <w:rPr>
          <w:rFonts w:ascii="Arial" w:eastAsia="Arial" w:hAnsi="Arial" w:cs="Arial"/>
          <w:b/>
          <w:sz w:val="24"/>
          <w:szCs w:val="24"/>
        </w:rPr>
        <w:t xml:space="preserve"> </w:t>
      </w:r>
    </w:p>
    <w:p w14:paraId="351C8C6E" w14:textId="77777777" w:rsidR="008C67A0" w:rsidRDefault="008C67A0">
      <w:pPr>
        <w:pBdr>
          <w:top w:val="nil"/>
          <w:left w:val="nil"/>
          <w:bottom w:val="nil"/>
          <w:right w:val="nil"/>
          <w:between w:val="nil"/>
        </w:pBdr>
        <w:rPr>
          <w:color w:val="000000"/>
        </w:rPr>
      </w:pPr>
    </w:p>
    <w:p w14:paraId="234417BA" w14:textId="77777777" w:rsidR="008C67A0" w:rsidRDefault="007C1D0A">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3.1. Pruebas aportadas por el instituto político denunciante: </w:t>
      </w:r>
    </w:p>
    <w:p w14:paraId="064F0427" w14:textId="77777777" w:rsidR="008C67A0" w:rsidRDefault="008C67A0">
      <w:pPr>
        <w:pBdr>
          <w:top w:val="nil"/>
          <w:left w:val="nil"/>
          <w:bottom w:val="nil"/>
          <w:right w:val="nil"/>
          <w:between w:val="nil"/>
        </w:pBdr>
        <w:rPr>
          <w:color w:val="000000"/>
        </w:rPr>
      </w:pPr>
    </w:p>
    <w:tbl>
      <w:tblPr>
        <w:tblStyle w:val="aff8"/>
        <w:tblW w:w="976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495"/>
        <w:gridCol w:w="2760"/>
        <w:gridCol w:w="6510"/>
      </w:tblGrid>
      <w:tr w:rsidR="008C67A0" w14:paraId="1363A86D" w14:textId="77777777" w:rsidTr="008C6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14:paraId="205F0DE2" w14:textId="77777777" w:rsidR="008C67A0" w:rsidRDefault="007C1D0A">
            <w:pPr>
              <w:jc w:val="center"/>
              <w:rPr>
                <w:rFonts w:ascii="Arial" w:eastAsia="Arial" w:hAnsi="Arial" w:cs="Arial"/>
                <w:color w:val="000000"/>
                <w:sz w:val="18"/>
                <w:szCs w:val="18"/>
              </w:rPr>
            </w:pPr>
            <w:r>
              <w:rPr>
                <w:rFonts w:ascii="Arial" w:eastAsia="Arial" w:hAnsi="Arial" w:cs="Arial"/>
                <w:color w:val="000000"/>
                <w:sz w:val="18"/>
                <w:szCs w:val="18"/>
              </w:rPr>
              <w:t>#</w:t>
            </w:r>
          </w:p>
        </w:tc>
        <w:tc>
          <w:tcPr>
            <w:tcW w:w="2760" w:type="dxa"/>
          </w:tcPr>
          <w:p w14:paraId="79A4560A" w14:textId="77777777" w:rsidR="008C67A0" w:rsidRDefault="007C1D0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Prueba</w:t>
            </w:r>
          </w:p>
        </w:tc>
        <w:tc>
          <w:tcPr>
            <w:tcW w:w="6510" w:type="dxa"/>
          </w:tcPr>
          <w:p w14:paraId="3085ADA7" w14:textId="77777777" w:rsidR="008C67A0" w:rsidRDefault="007C1D0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Consistente en</w:t>
            </w:r>
          </w:p>
        </w:tc>
      </w:tr>
      <w:tr w:rsidR="008C67A0" w14:paraId="4E651F92" w14:textId="77777777" w:rsidTr="008C67A0">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5" w:type="dxa"/>
          </w:tcPr>
          <w:p w14:paraId="71411F62" w14:textId="77777777" w:rsidR="008C67A0" w:rsidRDefault="007C1D0A">
            <w:pPr>
              <w:jc w:val="center"/>
              <w:rPr>
                <w:rFonts w:ascii="Arial" w:eastAsia="Arial" w:hAnsi="Arial" w:cs="Arial"/>
                <w:sz w:val="18"/>
                <w:szCs w:val="18"/>
              </w:rPr>
            </w:pPr>
            <w:r>
              <w:rPr>
                <w:rFonts w:ascii="Arial" w:eastAsia="Arial" w:hAnsi="Arial" w:cs="Arial"/>
                <w:sz w:val="18"/>
                <w:szCs w:val="18"/>
              </w:rPr>
              <w:t>1</w:t>
            </w:r>
          </w:p>
        </w:tc>
        <w:tc>
          <w:tcPr>
            <w:tcW w:w="2760" w:type="dxa"/>
          </w:tcPr>
          <w:p w14:paraId="6A5DDEDF" w14:textId="77777777" w:rsidR="008C67A0" w:rsidRDefault="007C1D0A">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proofErr w:type="gramStart"/>
            <w:r>
              <w:rPr>
                <w:rFonts w:ascii="Arial" w:eastAsia="Arial" w:hAnsi="Arial" w:cs="Arial"/>
                <w:b/>
                <w:sz w:val="18"/>
                <w:szCs w:val="18"/>
              </w:rPr>
              <w:t>Documental pública</w:t>
            </w:r>
            <w:proofErr w:type="gramEnd"/>
          </w:p>
        </w:tc>
        <w:tc>
          <w:tcPr>
            <w:tcW w:w="6510" w:type="dxa"/>
          </w:tcPr>
          <w:p w14:paraId="2E3BFCFC" w14:textId="77777777" w:rsidR="008C67A0" w:rsidRDefault="007C1D0A">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Oficialía Electoral IEE/OE/119/2022.</w:t>
            </w:r>
          </w:p>
        </w:tc>
      </w:tr>
      <w:tr w:rsidR="008C67A0" w14:paraId="1623B843" w14:textId="77777777" w:rsidTr="008C67A0">
        <w:trPr>
          <w:trHeight w:val="344"/>
        </w:trPr>
        <w:tc>
          <w:tcPr>
            <w:cnfStyle w:val="001000000000" w:firstRow="0" w:lastRow="0" w:firstColumn="1" w:lastColumn="0" w:oddVBand="0" w:evenVBand="0" w:oddHBand="0" w:evenHBand="0" w:firstRowFirstColumn="0" w:firstRowLastColumn="0" w:lastRowFirstColumn="0" w:lastRowLastColumn="0"/>
            <w:tcW w:w="495" w:type="dxa"/>
          </w:tcPr>
          <w:p w14:paraId="1878FD95" w14:textId="77777777" w:rsidR="008C67A0" w:rsidRDefault="007C1D0A">
            <w:pPr>
              <w:jc w:val="center"/>
              <w:rPr>
                <w:rFonts w:ascii="Arial" w:eastAsia="Arial" w:hAnsi="Arial" w:cs="Arial"/>
                <w:sz w:val="18"/>
                <w:szCs w:val="18"/>
              </w:rPr>
            </w:pPr>
            <w:r>
              <w:rPr>
                <w:rFonts w:ascii="Arial" w:eastAsia="Arial" w:hAnsi="Arial" w:cs="Arial"/>
                <w:sz w:val="18"/>
                <w:szCs w:val="18"/>
              </w:rPr>
              <w:t>2</w:t>
            </w:r>
          </w:p>
        </w:tc>
        <w:tc>
          <w:tcPr>
            <w:tcW w:w="2760" w:type="dxa"/>
          </w:tcPr>
          <w:p w14:paraId="74A4F2ED" w14:textId="77777777" w:rsidR="008C67A0" w:rsidRDefault="007C1D0A">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Prueba técnica</w:t>
            </w:r>
          </w:p>
        </w:tc>
        <w:tc>
          <w:tcPr>
            <w:tcW w:w="6510" w:type="dxa"/>
          </w:tcPr>
          <w:p w14:paraId="770857F8" w14:textId="77777777" w:rsidR="008C67A0" w:rsidRDefault="007C1D0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8 fotografías obtenidas de las publicaciones donde se aprecia la utilización de la figura representativa denunciada. </w:t>
            </w:r>
          </w:p>
        </w:tc>
      </w:tr>
      <w:tr w:rsidR="008C67A0" w14:paraId="0963E3BF" w14:textId="77777777" w:rsidTr="008C67A0">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5" w:type="dxa"/>
          </w:tcPr>
          <w:p w14:paraId="73609CDB" w14:textId="77777777" w:rsidR="008C67A0" w:rsidRDefault="007C1D0A">
            <w:pPr>
              <w:jc w:val="center"/>
              <w:rPr>
                <w:rFonts w:ascii="Arial" w:eastAsia="Arial" w:hAnsi="Arial" w:cs="Arial"/>
                <w:sz w:val="18"/>
                <w:szCs w:val="18"/>
              </w:rPr>
            </w:pPr>
            <w:r>
              <w:rPr>
                <w:rFonts w:ascii="Arial" w:eastAsia="Arial" w:hAnsi="Arial" w:cs="Arial"/>
                <w:sz w:val="18"/>
                <w:szCs w:val="18"/>
              </w:rPr>
              <w:t>3</w:t>
            </w:r>
          </w:p>
        </w:tc>
        <w:tc>
          <w:tcPr>
            <w:tcW w:w="2760" w:type="dxa"/>
          </w:tcPr>
          <w:p w14:paraId="5C6E7871" w14:textId="77777777" w:rsidR="008C67A0" w:rsidRDefault="007C1D0A">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Presuncional legal y humana</w:t>
            </w:r>
          </w:p>
        </w:tc>
        <w:tc>
          <w:tcPr>
            <w:tcW w:w="6510" w:type="dxa"/>
          </w:tcPr>
          <w:p w14:paraId="150F5CB2" w14:textId="77777777" w:rsidR="008C67A0" w:rsidRDefault="007C1D0A">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r w:rsidR="008C67A0" w14:paraId="10597553" w14:textId="77777777" w:rsidTr="008C67A0">
        <w:trPr>
          <w:trHeight w:val="384"/>
        </w:trPr>
        <w:tc>
          <w:tcPr>
            <w:cnfStyle w:val="001000000000" w:firstRow="0" w:lastRow="0" w:firstColumn="1" w:lastColumn="0" w:oddVBand="0" w:evenVBand="0" w:oddHBand="0" w:evenHBand="0" w:firstRowFirstColumn="0" w:firstRowLastColumn="0" w:lastRowFirstColumn="0" w:lastRowLastColumn="0"/>
            <w:tcW w:w="495" w:type="dxa"/>
          </w:tcPr>
          <w:p w14:paraId="5824CA03" w14:textId="77777777" w:rsidR="008C67A0" w:rsidRDefault="007C1D0A">
            <w:pPr>
              <w:jc w:val="center"/>
              <w:rPr>
                <w:rFonts w:ascii="Arial" w:eastAsia="Arial" w:hAnsi="Arial" w:cs="Arial"/>
                <w:sz w:val="18"/>
                <w:szCs w:val="18"/>
              </w:rPr>
            </w:pPr>
            <w:r>
              <w:rPr>
                <w:rFonts w:ascii="Arial" w:eastAsia="Arial" w:hAnsi="Arial" w:cs="Arial"/>
                <w:sz w:val="18"/>
                <w:szCs w:val="18"/>
              </w:rPr>
              <w:t>4</w:t>
            </w:r>
          </w:p>
        </w:tc>
        <w:tc>
          <w:tcPr>
            <w:tcW w:w="2760" w:type="dxa"/>
          </w:tcPr>
          <w:p w14:paraId="1666B4B4" w14:textId="77777777" w:rsidR="008C67A0" w:rsidRDefault="007C1D0A">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 xml:space="preserve">Instrumental de actuaciones  </w:t>
            </w:r>
          </w:p>
        </w:tc>
        <w:tc>
          <w:tcPr>
            <w:tcW w:w="6510" w:type="dxa"/>
          </w:tcPr>
          <w:p w14:paraId="7D2F082C" w14:textId="77777777" w:rsidR="008C67A0" w:rsidRDefault="007C1D0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bl>
    <w:p w14:paraId="52F6B603" w14:textId="77777777" w:rsidR="008C67A0" w:rsidRDefault="008C67A0">
      <w:pPr>
        <w:pBdr>
          <w:top w:val="nil"/>
          <w:left w:val="nil"/>
          <w:bottom w:val="nil"/>
          <w:right w:val="nil"/>
          <w:between w:val="nil"/>
        </w:pBdr>
        <w:rPr>
          <w:color w:val="000000"/>
          <w:sz w:val="36"/>
          <w:szCs w:val="36"/>
        </w:rPr>
      </w:pPr>
    </w:p>
    <w:p w14:paraId="5DB16828" w14:textId="77777777" w:rsidR="008C67A0" w:rsidRDefault="007C1D0A">
      <w:pPr>
        <w:tabs>
          <w:tab w:val="left" w:pos="567"/>
        </w:tabs>
        <w:spacing w:line="360" w:lineRule="auto"/>
        <w:jc w:val="both"/>
        <w:rPr>
          <w:rFonts w:ascii="Arial" w:eastAsia="Arial" w:hAnsi="Arial" w:cs="Arial"/>
          <w:b/>
          <w:sz w:val="24"/>
          <w:szCs w:val="24"/>
        </w:rPr>
      </w:pPr>
      <w:r>
        <w:rPr>
          <w:rFonts w:ascii="Arial" w:eastAsia="Arial" w:hAnsi="Arial" w:cs="Arial"/>
          <w:b/>
          <w:sz w:val="24"/>
          <w:szCs w:val="24"/>
        </w:rPr>
        <w:t>3.2. Pruebas aportadas por la candidata y el partido político denunciados:</w:t>
      </w:r>
    </w:p>
    <w:p w14:paraId="79F5A2EA" w14:textId="77777777" w:rsidR="008C67A0" w:rsidRDefault="008C67A0">
      <w:pPr>
        <w:pBdr>
          <w:top w:val="nil"/>
          <w:left w:val="nil"/>
          <w:bottom w:val="nil"/>
          <w:right w:val="nil"/>
          <w:between w:val="nil"/>
        </w:pBdr>
        <w:rPr>
          <w:color w:val="000000"/>
        </w:rPr>
      </w:pPr>
    </w:p>
    <w:tbl>
      <w:tblPr>
        <w:tblStyle w:val="aff9"/>
        <w:tblW w:w="976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495"/>
        <w:gridCol w:w="2760"/>
        <w:gridCol w:w="6510"/>
      </w:tblGrid>
      <w:tr w:rsidR="008C67A0" w14:paraId="0A1F0FCE" w14:textId="77777777" w:rsidTr="008C6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14:paraId="5F77E9C9" w14:textId="77777777" w:rsidR="008C67A0" w:rsidRDefault="007C1D0A">
            <w:pPr>
              <w:jc w:val="center"/>
              <w:rPr>
                <w:rFonts w:ascii="Arial" w:eastAsia="Arial" w:hAnsi="Arial" w:cs="Arial"/>
                <w:color w:val="000000"/>
                <w:sz w:val="18"/>
                <w:szCs w:val="18"/>
              </w:rPr>
            </w:pPr>
            <w:r>
              <w:rPr>
                <w:rFonts w:ascii="Arial" w:eastAsia="Arial" w:hAnsi="Arial" w:cs="Arial"/>
                <w:color w:val="000000"/>
                <w:sz w:val="18"/>
                <w:szCs w:val="18"/>
              </w:rPr>
              <w:t>#</w:t>
            </w:r>
          </w:p>
        </w:tc>
        <w:tc>
          <w:tcPr>
            <w:tcW w:w="2760" w:type="dxa"/>
          </w:tcPr>
          <w:p w14:paraId="1650AAC0" w14:textId="77777777" w:rsidR="008C67A0" w:rsidRDefault="007C1D0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Prueba</w:t>
            </w:r>
          </w:p>
        </w:tc>
        <w:tc>
          <w:tcPr>
            <w:tcW w:w="6510" w:type="dxa"/>
          </w:tcPr>
          <w:p w14:paraId="2FB33C5A" w14:textId="77777777" w:rsidR="008C67A0" w:rsidRDefault="007C1D0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Consistente en</w:t>
            </w:r>
          </w:p>
        </w:tc>
      </w:tr>
      <w:tr w:rsidR="008C67A0" w14:paraId="5F324D4C" w14:textId="77777777" w:rsidTr="008C67A0">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5" w:type="dxa"/>
          </w:tcPr>
          <w:p w14:paraId="64AE13C5" w14:textId="77777777" w:rsidR="008C67A0" w:rsidRDefault="007C1D0A">
            <w:pPr>
              <w:jc w:val="center"/>
              <w:rPr>
                <w:rFonts w:ascii="Arial" w:eastAsia="Arial" w:hAnsi="Arial" w:cs="Arial"/>
                <w:sz w:val="18"/>
                <w:szCs w:val="18"/>
              </w:rPr>
            </w:pPr>
            <w:r>
              <w:rPr>
                <w:rFonts w:ascii="Arial" w:eastAsia="Arial" w:hAnsi="Arial" w:cs="Arial"/>
                <w:sz w:val="18"/>
                <w:szCs w:val="18"/>
              </w:rPr>
              <w:t>1</w:t>
            </w:r>
          </w:p>
        </w:tc>
        <w:tc>
          <w:tcPr>
            <w:tcW w:w="2760" w:type="dxa"/>
          </w:tcPr>
          <w:p w14:paraId="053966C7" w14:textId="77777777" w:rsidR="008C67A0" w:rsidRDefault="007C1D0A">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 xml:space="preserve">Instrumental de actuaciones  </w:t>
            </w:r>
          </w:p>
        </w:tc>
        <w:tc>
          <w:tcPr>
            <w:tcW w:w="6510" w:type="dxa"/>
          </w:tcPr>
          <w:p w14:paraId="06289D97" w14:textId="77777777" w:rsidR="008C67A0" w:rsidRDefault="007C1D0A">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r w:rsidR="008C67A0" w14:paraId="5EABAB20" w14:textId="77777777" w:rsidTr="008C67A0">
        <w:trPr>
          <w:trHeight w:val="418"/>
        </w:trPr>
        <w:tc>
          <w:tcPr>
            <w:cnfStyle w:val="001000000000" w:firstRow="0" w:lastRow="0" w:firstColumn="1" w:lastColumn="0" w:oddVBand="0" w:evenVBand="0" w:oddHBand="0" w:evenHBand="0" w:firstRowFirstColumn="0" w:firstRowLastColumn="0" w:lastRowFirstColumn="0" w:lastRowLastColumn="0"/>
            <w:tcW w:w="495" w:type="dxa"/>
          </w:tcPr>
          <w:p w14:paraId="27CC333A" w14:textId="77777777" w:rsidR="008C67A0" w:rsidRDefault="007C1D0A">
            <w:pPr>
              <w:jc w:val="center"/>
              <w:rPr>
                <w:rFonts w:ascii="Arial" w:eastAsia="Arial" w:hAnsi="Arial" w:cs="Arial"/>
                <w:sz w:val="18"/>
                <w:szCs w:val="18"/>
              </w:rPr>
            </w:pPr>
            <w:r>
              <w:rPr>
                <w:rFonts w:ascii="Arial" w:eastAsia="Arial" w:hAnsi="Arial" w:cs="Arial"/>
                <w:sz w:val="18"/>
                <w:szCs w:val="18"/>
              </w:rPr>
              <w:t>2</w:t>
            </w:r>
          </w:p>
        </w:tc>
        <w:tc>
          <w:tcPr>
            <w:tcW w:w="2760" w:type="dxa"/>
          </w:tcPr>
          <w:p w14:paraId="5FD61102" w14:textId="77777777" w:rsidR="008C67A0" w:rsidRDefault="007C1D0A">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Presuncional legal y humana</w:t>
            </w:r>
          </w:p>
        </w:tc>
        <w:tc>
          <w:tcPr>
            <w:tcW w:w="6510" w:type="dxa"/>
          </w:tcPr>
          <w:p w14:paraId="32576ADF" w14:textId="77777777" w:rsidR="008C67A0" w:rsidRDefault="007C1D0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bl>
    <w:p w14:paraId="7AD0DAB7" w14:textId="77777777" w:rsidR="008C67A0" w:rsidRDefault="008C67A0">
      <w:pPr>
        <w:tabs>
          <w:tab w:val="left" w:pos="567"/>
        </w:tabs>
        <w:spacing w:line="360" w:lineRule="auto"/>
        <w:jc w:val="both"/>
        <w:rPr>
          <w:rFonts w:ascii="Arial" w:eastAsia="Arial" w:hAnsi="Arial" w:cs="Arial"/>
          <w:b/>
        </w:rPr>
      </w:pPr>
    </w:p>
    <w:p w14:paraId="3963947E" w14:textId="77777777" w:rsidR="008C67A0" w:rsidRDefault="007C1D0A">
      <w:pPr>
        <w:pBdr>
          <w:top w:val="nil"/>
          <w:left w:val="nil"/>
          <w:bottom w:val="nil"/>
          <w:right w:val="nil"/>
          <w:between w:val="nil"/>
        </w:pBdr>
        <w:tabs>
          <w:tab w:val="left" w:pos="567"/>
        </w:tabs>
        <w:spacing w:line="360" w:lineRule="auto"/>
        <w:jc w:val="both"/>
        <w:rPr>
          <w:color w:val="000000"/>
        </w:rPr>
      </w:pPr>
      <w:r>
        <w:rPr>
          <w:rFonts w:ascii="Arial" w:eastAsia="Arial" w:hAnsi="Arial" w:cs="Arial"/>
          <w:b/>
          <w:color w:val="000000"/>
          <w:sz w:val="24"/>
          <w:szCs w:val="24"/>
        </w:rPr>
        <w:t xml:space="preserve">3.3. Valoración de pruebas. </w:t>
      </w:r>
      <w:r>
        <w:rPr>
          <w:rFonts w:ascii="Arial" w:eastAsia="Arial" w:hAnsi="Arial" w:cs="Arial"/>
          <w:color w:val="000000"/>
          <w:sz w:val="24"/>
          <w:szCs w:val="24"/>
        </w:rPr>
        <w:t xml:space="preserve">Las pruebas antes descritas, se valoran </w:t>
      </w:r>
      <w:r>
        <w:rPr>
          <w:rFonts w:ascii="Arial" w:eastAsia="Arial" w:hAnsi="Arial" w:cs="Arial"/>
          <w:sz w:val="24"/>
          <w:szCs w:val="24"/>
        </w:rPr>
        <w:t>conforme al</w:t>
      </w:r>
      <w:r>
        <w:rPr>
          <w:rFonts w:ascii="Arial" w:eastAsia="Arial" w:hAnsi="Arial" w:cs="Arial"/>
          <w:color w:val="000000"/>
          <w:sz w:val="24"/>
          <w:szCs w:val="24"/>
        </w:rPr>
        <w:t xml:space="preserve"> Código Electoral.</w:t>
      </w:r>
      <w:r>
        <w:rPr>
          <w:rFonts w:ascii="Arial" w:eastAsia="Arial" w:hAnsi="Arial" w:cs="Arial"/>
          <w:color w:val="000000"/>
          <w:sz w:val="24"/>
          <w:szCs w:val="24"/>
          <w:vertAlign w:val="superscript"/>
        </w:rPr>
        <w:t xml:space="preserve"> </w:t>
      </w:r>
      <w:r>
        <w:rPr>
          <w:rFonts w:ascii="Arial" w:eastAsia="Arial" w:hAnsi="Arial" w:cs="Arial"/>
          <w:color w:val="000000"/>
          <w:sz w:val="24"/>
          <w:szCs w:val="24"/>
          <w:vertAlign w:val="superscript"/>
        </w:rPr>
        <w:footnoteReference w:id="6"/>
      </w:r>
    </w:p>
    <w:p w14:paraId="3C4482E9" w14:textId="77777777" w:rsidR="008C67A0" w:rsidRDefault="008C67A0">
      <w:pPr>
        <w:pBdr>
          <w:top w:val="nil"/>
          <w:left w:val="nil"/>
          <w:bottom w:val="nil"/>
          <w:right w:val="nil"/>
          <w:between w:val="nil"/>
        </w:pBdr>
        <w:rPr>
          <w:color w:val="000000"/>
        </w:rPr>
      </w:pPr>
    </w:p>
    <w:p w14:paraId="2B5EF605" w14:textId="77777777" w:rsidR="008C67A0" w:rsidRDefault="007C1D0A">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4. Hechos acreditados. </w:t>
      </w:r>
      <w:r>
        <w:rPr>
          <w:rFonts w:ascii="Arial" w:eastAsia="Arial" w:hAnsi="Arial" w:cs="Arial"/>
          <w:color w:val="000000"/>
          <w:sz w:val="24"/>
          <w:szCs w:val="24"/>
        </w:rPr>
        <w:t>Los hechos relacionados con la controversia que han quedado acreditados, conforme a la relación de las pruebas, son los siguientes:</w:t>
      </w:r>
    </w:p>
    <w:p w14:paraId="7510DB54" w14:textId="77777777" w:rsidR="008C67A0" w:rsidRDefault="008C67A0">
      <w:pPr>
        <w:pBdr>
          <w:top w:val="nil"/>
          <w:left w:val="nil"/>
          <w:bottom w:val="nil"/>
          <w:right w:val="nil"/>
          <w:between w:val="nil"/>
        </w:pBdr>
        <w:tabs>
          <w:tab w:val="left" w:pos="426"/>
        </w:tabs>
        <w:spacing w:line="360" w:lineRule="auto"/>
        <w:ind w:right="36"/>
        <w:jc w:val="both"/>
        <w:rPr>
          <w:rFonts w:ascii="Arial" w:eastAsia="Arial" w:hAnsi="Arial" w:cs="Arial"/>
          <w:color w:val="000000"/>
          <w:sz w:val="6"/>
          <w:szCs w:val="6"/>
        </w:rPr>
      </w:pPr>
    </w:p>
    <w:p w14:paraId="22BB2A97" w14:textId="77777777" w:rsidR="008C67A0" w:rsidRDefault="007C1D0A">
      <w:pPr>
        <w:numPr>
          <w:ilvl w:val="0"/>
          <w:numId w:val="3"/>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color w:val="000000"/>
          <w:sz w:val="24"/>
          <w:szCs w:val="24"/>
        </w:rPr>
        <w:t xml:space="preserve">La existencia y </w:t>
      </w:r>
      <w:r>
        <w:rPr>
          <w:rFonts w:ascii="Arial" w:eastAsia="Arial" w:hAnsi="Arial" w:cs="Arial"/>
          <w:sz w:val="24"/>
          <w:szCs w:val="24"/>
        </w:rPr>
        <w:t xml:space="preserve">contenido </w:t>
      </w:r>
      <w:r>
        <w:rPr>
          <w:rFonts w:ascii="Arial" w:eastAsia="Arial" w:hAnsi="Arial" w:cs="Arial"/>
          <w:color w:val="000000"/>
          <w:sz w:val="24"/>
          <w:szCs w:val="24"/>
        </w:rPr>
        <w:t xml:space="preserve">de </w:t>
      </w:r>
      <w:r>
        <w:rPr>
          <w:rFonts w:ascii="Arial" w:eastAsia="Arial" w:hAnsi="Arial" w:cs="Arial"/>
          <w:sz w:val="24"/>
          <w:szCs w:val="24"/>
        </w:rPr>
        <w:t>ocho publicaciones en el perfil de Facebook de la entonces candidata denunciada, en las cuales se aprecia la utilización de una figura tipo “</w:t>
      </w:r>
      <w:r>
        <w:rPr>
          <w:rFonts w:ascii="Arial" w:eastAsia="Arial" w:hAnsi="Arial" w:cs="Arial"/>
          <w:i/>
          <w:sz w:val="24"/>
          <w:szCs w:val="24"/>
        </w:rPr>
        <w:t xml:space="preserve">peluche”, </w:t>
      </w:r>
      <w:r>
        <w:rPr>
          <w:rFonts w:ascii="Arial" w:eastAsia="Arial" w:hAnsi="Arial" w:cs="Arial"/>
          <w:sz w:val="24"/>
          <w:szCs w:val="24"/>
        </w:rPr>
        <w:t>por parte de Nora Ruvalcaba Gámez y personas afines a Morena.</w:t>
      </w:r>
    </w:p>
    <w:p w14:paraId="015DAD1D" w14:textId="77777777" w:rsidR="008C67A0" w:rsidRDefault="008C67A0">
      <w:pPr>
        <w:pBdr>
          <w:top w:val="nil"/>
          <w:left w:val="nil"/>
          <w:bottom w:val="nil"/>
          <w:right w:val="nil"/>
          <w:between w:val="nil"/>
        </w:pBdr>
        <w:tabs>
          <w:tab w:val="left" w:pos="284"/>
        </w:tabs>
        <w:ind w:right="36"/>
        <w:jc w:val="both"/>
        <w:rPr>
          <w:color w:val="000000"/>
          <w:sz w:val="24"/>
          <w:szCs w:val="24"/>
        </w:rPr>
      </w:pPr>
    </w:p>
    <w:p w14:paraId="01C6E53D" w14:textId="77777777" w:rsidR="008C67A0" w:rsidRDefault="007C1D0A">
      <w:pPr>
        <w:rPr>
          <w:rFonts w:ascii="Arial" w:eastAsia="Arial" w:hAnsi="Arial" w:cs="Arial"/>
          <w:b/>
          <w:sz w:val="24"/>
          <w:szCs w:val="24"/>
        </w:rPr>
      </w:pPr>
      <w:r>
        <w:rPr>
          <w:rFonts w:ascii="Arial" w:eastAsia="Arial" w:hAnsi="Arial" w:cs="Arial"/>
          <w:b/>
          <w:sz w:val="24"/>
          <w:szCs w:val="24"/>
        </w:rPr>
        <w:t>VI. Análisis de fondo</w:t>
      </w:r>
    </w:p>
    <w:p w14:paraId="46551560" w14:textId="77777777" w:rsidR="008C67A0" w:rsidRDefault="008C67A0">
      <w:pPr>
        <w:pBdr>
          <w:top w:val="nil"/>
          <w:left w:val="nil"/>
          <w:bottom w:val="nil"/>
          <w:right w:val="nil"/>
          <w:between w:val="nil"/>
        </w:pBdr>
        <w:rPr>
          <w:color w:val="000000"/>
          <w:sz w:val="14"/>
          <w:szCs w:val="14"/>
        </w:rPr>
      </w:pPr>
    </w:p>
    <w:p w14:paraId="4921DC66" w14:textId="77777777" w:rsidR="008C67A0" w:rsidRDefault="007C1D0A">
      <w:pPr>
        <w:numPr>
          <w:ilvl w:val="0"/>
          <w:numId w:val="1"/>
        </w:numPr>
        <w:pBdr>
          <w:top w:val="nil"/>
          <w:left w:val="nil"/>
          <w:bottom w:val="nil"/>
          <w:right w:val="nil"/>
          <w:between w:val="nil"/>
        </w:pBdr>
        <w:tabs>
          <w:tab w:val="left" w:pos="426"/>
        </w:tabs>
        <w:spacing w:line="276"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 Tribunal Electoral considera que la controversia a definir consiste en determinar lo siguiente:</w:t>
      </w:r>
      <w:r>
        <w:rPr>
          <w:rFonts w:ascii="Arial" w:eastAsia="Arial" w:hAnsi="Arial" w:cs="Arial"/>
          <w:b/>
          <w:color w:val="000000"/>
          <w:sz w:val="24"/>
          <w:szCs w:val="24"/>
        </w:rPr>
        <w:t xml:space="preserve"> </w:t>
      </w:r>
    </w:p>
    <w:p w14:paraId="33112273" w14:textId="77777777" w:rsidR="008C67A0" w:rsidRDefault="008C67A0">
      <w:pPr>
        <w:pBdr>
          <w:top w:val="nil"/>
          <w:left w:val="nil"/>
          <w:bottom w:val="nil"/>
          <w:right w:val="nil"/>
          <w:between w:val="nil"/>
        </w:pBdr>
        <w:rPr>
          <w:color w:val="000000"/>
          <w:sz w:val="14"/>
          <w:szCs w:val="14"/>
        </w:rPr>
      </w:pPr>
    </w:p>
    <w:p w14:paraId="3363771C" w14:textId="56A12A76" w:rsidR="008C67A0" w:rsidRDefault="007C1D0A">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i/>
          <w:sz w:val="24"/>
          <w:szCs w:val="24"/>
        </w:rPr>
        <w:lastRenderedPageBreak/>
        <w:t>i)</w:t>
      </w:r>
      <w:r>
        <w:rPr>
          <w:rFonts w:ascii="Arial" w:eastAsia="Arial" w:hAnsi="Arial" w:cs="Arial"/>
          <w:sz w:val="24"/>
          <w:szCs w:val="24"/>
        </w:rPr>
        <w:t xml:space="preserve"> ¿Si la candidata Nora Ruvalcaba Gámez inobservó la prohibición de utilizar la imagen del titular del Poder Ejecutivo Federal, derivado del uso de un símbolo supuestamente alusivo al </w:t>
      </w:r>
      <w:proofErr w:type="gramStart"/>
      <w:r>
        <w:rPr>
          <w:rFonts w:ascii="Arial" w:eastAsia="Arial" w:hAnsi="Arial" w:cs="Arial"/>
          <w:sz w:val="24"/>
          <w:szCs w:val="24"/>
        </w:rPr>
        <w:t>Presidente</w:t>
      </w:r>
      <w:proofErr w:type="gramEnd"/>
      <w:r>
        <w:rPr>
          <w:rFonts w:ascii="Arial" w:eastAsia="Arial" w:hAnsi="Arial" w:cs="Arial"/>
          <w:sz w:val="24"/>
          <w:szCs w:val="24"/>
        </w:rPr>
        <w:t xml:space="preserve"> de la República, Andrés Manuel López Obrador?</w:t>
      </w:r>
    </w:p>
    <w:p w14:paraId="7FE6C515" w14:textId="77777777" w:rsidR="00D530E3" w:rsidRDefault="00D530E3">
      <w:pPr>
        <w:pBdr>
          <w:top w:val="nil"/>
          <w:left w:val="nil"/>
          <w:bottom w:val="nil"/>
          <w:right w:val="nil"/>
          <w:between w:val="nil"/>
        </w:pBdr>
        <w:tabs>
          <w:tab w:val="left" w:pos="426"/>
        </w:tabs>
        <w:spacing w:line="360" w:lineRule="auto"/>
        <w:ind w:right="36"/>
        <w:jc w:val="both"/>
        <w:rPr>
          <w:color w:val="000000"/>
          <w:sz w:val="14"/>
          <w:szCs w:val="14"/>
        </w:rPr>
      </w:pPr>
    </w:p>
    <w:p w14:paraId="09DD4524" w14:textId="77777777" w:rsidR="008C67A0" w:rsidRDefault="007C1D0A">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u w:val="single"/>
        </w:rPr>
        <w:t>Aparatado I.</w:t>
      </w:r>
      <w:r>
        <w:rPr>
          <w:rFonts w:ascii="Arial" w:eastAsia="Arial" w:hAnsi="Arial" w:cs="Arial"/>
          <w:b/>
          <w:sz w:val="24"/>
          <w:szCs w:val="24"/>
        </w:rPr>
        <w:t xml:space="preserve"> Decisión. </w:t>
      </w:r>
    </w:p>
    <w:p w14:paraId="08B23300" w14:textId="77777777" w:rsidR="008C67A0" w:rsidRDefault="008C67A0">
      <w:pPr>
        <w:pBdr>
          <w:top w:val="nil"/>
          <w:left w:val="nil"/>
          <w:bottom w:val="nil"/>
          <w:right w:val="nil"/>
          <w:between w:val="nil"/>
        </w:pBdr>
        <w:rPr>
          <w:color w:val="000000"/>
        </w:rPr>
      </w:pPr>
    </w:p>
    <w:p w14:paraId="375B2DF7" w14:textId="77777777" w:rsidR="008C67A0" w:rsidRDefault="007C1D0A">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Este Tribunal Electoral</w:t>
      </w:r>
      <w:r>
        <w:rPr>
          <w:rFonts w:ascii="Arial" w:eastAsia="Arial" w:hAnsi="Arial" w:cs="Arial"/>
          <w:b/>
          <w:sz w:val="24"/>
          <w:szCs w:val="24"/>
        </w:rPr>
        <w:t xml:space="preserve"> </w:t>
      </w:r>
      <w:r>
        <w:rPr>
          <w:rFonts w:ascii="Arial" w:eastAsia="Arial" w:hAnsi="Arial" w:cs="Arial"/>
          <w:sz w:val="24"/>
          <w:szCs w:val="24"/>
        </w:rPr>
        <w:t xml:space="preserve">estima que debe declararse: </w:t>
      </w:r>
      <w:r>
        <w:rPr>
          <w:rFonts w:ascii="Arial" w:eastAsia="Arial" w:hAnsi="Arial" w:cs="Arial"/>
          <w:b/>
          <w:i/>
          <w:sz w:val="24"/>
          <w:szCs w:val="24"/>
        </w:rPr>
        <w:t xml:space="preserve">a) </w:t>
      </w:r>
      <w:r>
        <w:rPr>
          <w:rFonts w:ascii="Arial" w:eastAsia="Arial" w:hAnsi="Arial" w:cs="Arial"/>
          <w:sz w:val="24"/>
          <w:szCs w:val="24"/>
        </w:rPr>
        <w:t xml:space="preserve">la </w:t>
      </w:r>
      <w:r>
        <w:rPr>
          <w:rFonts w:ascii="Arial" w:eastAsia="Arial" w:hAnsi="Arial" w:cs="Arial"/>
          <w:b/>
          <w:sz w:val="24"/>
          <w:szCs w:val="24"/>
        </w:rPr>
        <w:t xml:space="preserve">inexistencia </w:t>
      </w:r>
      <w:r>
        <w:rPr>
          <w:rFonts w:ascii="Arial" w:eastAsia="Arial" w:hAnsi="Arial" w:cs="Arial"/>
          <w:sz w:val="24"/>
          <w:szCs w:val="24"/>
        </w:rPr>
        <w:t xml:space="preserve">de la infracción atribuida a la entonces candidata Nora Ruvalcaba Gámez, consistente en utilizar la imagen personal de quien ostenta la titularidad del Poder Ejecutivo Federal, prevista en el artículo 26 del Código Electoral y, </w:t>
      </w:r>
      <w:r>
        <w:rPr>
          <w:rFonts w:ascii="Arial" w:eastAsia="Arial" w:hAnsi="Arial" w:cs="Arial"/>
          <w:b/>
          <w:i/>
          <w:sz w:val="24"/>
          <w:szCs w:val="24"/>
        </w:rPr>
        <w:t>b)</w:t>
      </w:r>
      <w:r>
        <w:rPr>
          <w:rFonts w:ascii="Arial" w:eastAsia="Arial" w:hAnsi="Arial" w:cs="Arial"/>
          <w:sz w:val="24"/>
          <w:szCs w:val="24"/>
        </w:rPr>
        <w:t xml:space="preserve"> la </w:t>
      </w:r>
      <w:r>
        <w:rPr>
          <w:rFonts w:ascii="Arial" w:eastAsia="Arial" w:hAnsi="Arial" w:cs="Arial"/>
          <w:b/>
          <w:sz w:val="24"/>
          <w:szCs w:val="24"/>
        </w:rPr>
        <w:t xml:space="preserve">inexistencia </w:t>
      </w:r>
      <w:r>
        <w:rPr>
          <w:rFonts w:ascii="Arial" w:eastAsia="Arial" w:hAnsi="Arial" w:cs="Arial"/>
          <w:sz w:val="24"/>
          <w:szCs w:val="24"/>
        </w:rPr>
        <w:t xml:space="preserve">de la infracción de </w:t>
      </w:r>
      <w:r>
        <w:rPr>
          <w:rFonts w:ascii="Arial" w:eastAsia="Arial" w:hAnsi="Arial" w:cs="Arial"/>
          <w:i/>
          <w:sz w:val="24"/>
          <w:szCs w:val="24"/>
        </w:rPr>
        <w:t xml:space="preserve">culpa in vigilando </w:t>
      </w:r>
      <w:r>
        <w:rPr>
          <w:rFonts w:ascii="Arial" w:eastAsia="Arial" w:hAnsi="Arial" w:cs="Arial"/>
          <w:sz w:val="24"/>
          <w:szCs w:val="24"/>
        </w:rPr>
        <w:t>atribuida a Morena.</w:t>
      </w:r>
    </w:p>
    <w:p w14:paraId="3FFF2197" w14:textId="77777777" w:rsidR="008C67A0" w:rsidRDefault="008C67A0">
      <w:pPr>
        <w:jc w:val="both"/>
        <w:rPr>
          <w:rFonts w:ascii="Arial" w:eastAsia="Arial" w:hAnsi="Arial" w:cs="Arial"/>
          <w:sz w:val="24"/>
          <w:szCs w:val="24"/>
        </w:rPr>
      </w:pPr>
    </w:p>
    <w:p w14:paraId="39B874EC" w14:textId="77777777" w:rsidR="008C67A0" w:rsidRDefault="007C1D0A">
      <w:pPr>
        <w:spacing w:line="360" w:lineRule="auto"/>
        <w:jc w:val="both"/>
        <w:rPr>
          <w:rFonts w:ascii="Arial" w:eastAsia="Arial" w:hAnsi="Arial" w:cs="Arial"/>
          <w:sz w:val="24"/>
          <w:szCs w:val="24"/>
        </w:rPr>
      </w:pPr>
      <w:r>
        <w:rPr>
          <w:rFonts w:ascii="Arial" w:eastAsia="Arial" w:hAnsi="Arial" w:cs="Arial"/>
          <w:sz w:val="24"/>
          <w:szCs w:val="24"/>
        </w:rPr>
        <w:t xml:space="preserve">Ello, porque </w:t>
      </w:r>
      <w:r>
        <w:rPr>
          <w:rFonts w:ascii="Arial" w:eastAsia="Arial" w:hAnsi="Arial" w:cs="Arial"/>
          <w:b/>
          <w:sz w:val="24"/>
          <w:szCs w:val="24"/>
        </w:rPr>
        <w:t>este órgano jurisdiccional considera</w:t>
      </w:r>
      <w:r>
        <w:rPr>
          <w:rFonts w:ascii="Arial" w:eastAsia="Arial" w:hAnsi="Arial" w:cs="Arial"/>
          <w:sz w:val="24"/>
          <w:szCs w:val="24"/>
        </w:rPr>
        <w:t xml:space="preserve"> que, del análisis de los hechos denunciados y del material probatorio que obra en el expediente, se advierte que, contrario a lo afirmado por la parte quejosa, el objeto tipo </w:t>
      </w:r>
      <w:r>
        <w:rPr>
          <w:rFonts w:ascii="Arial" w:eastAsia="Arial" w:hAnsi="Arial" w:cs="Arial"/>
          <w:i/>
          <w:sz w:val="24"/>
          <w:szCs w:val="24"/>
        </w:rPr>
        <w:t xml:space="preserve">peluche </w:t>
      </w:r>
      <w:r>
        <w:rPr>
          <w:rFonts w:ascii="Arial" w:eastAsia="Arial" w:hAnsi="Arial" w:cs="Arial"/>
          <w:sz w:val="24"/>
          <w:szCs w:val="24"/>
        </w:rPr>
        <w:t xml:space="preserve">utilizado por la candidatura cuestionada durante las actividades propias de la etapa de campaña, </w:t>
      </w:r>
      <w:r>
        <w:rPr>
          <w:rFonts w:ascii="Arial" w:eastAsia="Arial" w:hAnsi="Arial" w:cs="Arial"/>
          <w:b/>
          <w:sz w:val="24"/>
          <w:szCs w:val="24"/>
        </w:rPr>
        <w:t xml:space="preserve">no contiene características o elementos </w:t>
      </w:r>
      <w:r>
        <w:rPr>
          <w:rFonts w:ascii="Arial" w:eastAsia="Arial" w:hAnsi="Arial" w:cs="Arial"/>
          <w:sz w:val="24"/>
          <w:szCs w:val="24"/>
        </w:rPr>
        <w:t xml:space="preserve">que, valorados en lo individual o en su conjunto, </w:t>
      </w:r>
      <w:r>
        <w:rPr>
          <w:rFonts w:ascii="Arial" w:eastAsia="Arial" w:hAnsi="Arial" w:cs="Arial"/>
          <w:b/>
          <w:sz w:val="24"/>
          <w:szCs w:val="24"/>
        </w:rPr>
        <w:t xml:space="preserve">demuestren de forma objetiva, unívoca e inequívoca que se trata del Presidente de la República, </w:t>
      </w:r>
      <w:r>
        <w:rPr>
          <w:rFonts w:ascii="Arial" w:eastAsia="Arial" w:hAnsi="Arial" w:cs="Arial"/>
          <w:sz w:val="24"/>
          <w:szCs w:val="24"/>
        </w:rPr>
        <w:t>Andrés Manuel López Obrador.</w:t>
      </w:r>
    </w:p>
    <w:p w14:paraId="746A5E1E" w14:textId="77777777" w:rsidR="008C67A0" w:rsidRDefault="008C67A0">
      <w:pPr>
        <w:jc w:val="both"/>
        <w:rPr>
          <w:rFonts w:ascii="Arial" w:eastAsia="Arial" w:hAnsi="Arial" w:cs="Arial"/>
          <w:sz w:val="24"/>
          <w:szCs w:val="24"/>
        </w:rPr>
      </w:pPr>
    </w:p>
    <w:p w14:paraId="2FA9A3AE" w14:textId="77777777" w:rsidR="008C67A0" w:rsidRDefault="007C1D0A">
      <w:pPr>
        <w:spacing w:line="360" w:lineRule="auto"/>
        <w:jc w:val="both"/>
        <w:rPr>
          <w:rFonts w:ascii="Arial" w:eastAsia="Arial" w:hAnsi="Arial" w:cs="Arial"/>
          <w:b/>
          <w:sz w:val="24"/>
          <w:szCs w:val="24"/>
        </w:rPr>
      </w:pPr>
      <w:r>
        <w:rPr>
          <w:rFonts w:ascii="Arial" w:eastAsia="Arial" w:hAnsi="Arial" w:cs="Arial"/>
          <w:b/>
          <w:sz w:val="24"/>
          <w:szCs w:val="24"/>
          <w:u w:val="single"/>
        </w:rPr>
        <w:t>Aparatado II.</w:t>
      </w:r>
      <w:r>
        <w:rPr>
          <w:rFonts w:ascii="Arial" w:eastAsia="Arial" w:hAnsi="Arial" w:cs="Arial"/>
          <w:b/>
          <w:sz w:val="24"/>
          <w:szCs w:val="24"/>
        </w:rPr>
        <w:t xml:space="preserve"> Desarrollo y justificación de la decisión </w:t>
      </w:r>
    </w:p>
    <w:p w14:paraId="19F90A94" w14:textId="77777777" w:rsidR="008C67A0" w:rsidRDefault="008C67A0">
      <w:pPr>
        <w:pBdr>
          <w:top w:val="nil"/>
          <w:left w:val="nil"/>
          <w:bottom w:val="nil"/>
          <w:right w:val="nil"/>
          <w:between w:val="nil"/>
        </w:pBdr>
        <w:rPr>
          <w:color w:val="000000"/>
        </w:rPr>
      </w:pPr>
    </w:p>
    <w:p w14:paraId="0217845F" w14:textId="77777777" w:rsidR="008C67A0" w:rsidRDefault="007C1D0A">
      <w:pPr>
        <w:spacing w:line="360" w:lineRule="auto"/>
        <w:jc w:val="both"/>
        <w:rPr>
          <w:rFonts w:ascii="Arial" w:eastAsia="Arial" w:hAnsi="Arial" w:cs="Arial"/>
          <w:b/>
          <w:sz w:val="24"/>
          <w:szCs w:val="24"/>
        </w:rPr>
      </w:pPr>
      <w:r>
        <w:rPr>
          <w:rFonts w:ascii="Arial" w:eastAsia="Arial" w:hAnsi="Arial" w:cs="Arial"/>
          <w:b/>
          <w:sz w:val="24"/>
          <w:szCs w:val="24"/>
        </w:rPr>
        <w:t xml:space="preserve">1. Marco normativo </w:t>
      </w:r>
    </w:p>
    <w:p w14:paraId="5B3DD141" w14:textId="77777777" w:rsidR="008C67A0" w:rsidRDefault="007C1D0A">
      <w:pPr>
        <w:spacing w:before="240" w:after="240" w:line="360" w:lineRule="auto"/>
        <w:jc w:val="both"/>
        <w:rPr>
          <w:rFonts w:ascii="Arial" w:eastAsia="Arial" w:hAnsi="Arial" w:cs="Arial"/>
          <w:sz w:val="24"/>
          <w:szCs w:val="24"/>
        </w:rPr>
      </w:pPr>
      <w:r>
        <w:rPr>
          <w:rFonts w:ascii="Arial" w:eastAsia="Arial" w:hAnsi="Arial" w:cs="Arial"/>
          <w:sz w:val="24"/>
          <w:szCs w:val="24"/>
        </w:rPr>
        <w:t>El artículo 157, fracción II, del Código Electoral</w:t>
      </w:r>
      <w:r>
        <w:rPr>
          <w:rFonts w:ascii="Arial" w:eastAsia="Arial" w:hAnsi="Arial" w:cs="Arial"/>
          <w:sz w:val="24"/>
          <w:szCs w:val="24"/>
          <w:vertAlign w:val="superscript"/>
        </w:rPr>
        <w:footnoteReference w:id="7"/>
      </w:r>
      <w:r>
        <w:rPr>
          <w:rFonts w:ascii="Arial" w:eastAsia="Arial" w:hAnsi="Arial" w:cs="Arial"/>
          <w:sz w:val="24"/>
          <w:szCs w:val="24"/>
        </w:rPr>
        <w:t>, establece que la propaganda electoral consiste en el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p>
    <w:p w14:paraId="04BE05DC" w14:textId="6A16DA42" w:rsidR="008C67A0" w:rsidRPr="00D64E7A" w:rsidRDefault="007C1D0A">
      <w:pPr>
        <w:spacing w:before="240" w:after="240" w:line="360" w:lineRule="auto"/>
        <w:jc w:val="both"/>
        <w:rPr>
          <w:rFonts w:ascii="Arial" w:eastAsia="Arial" w:hAnsi="Arial" w:cs="Arial"/>
          <w:sz w:val="24"/>
          <w:szCs w:val="24"/>
          <w:vertAlign w:val="superscript"/>
        </w:rPr>
      </w:pPr>
      <w:r>
        <w:rPr>
          <w:rFonts w:ascii="Arial" w:eastAsia="Arial" w:hAnsi="Arial" w:cs="Arial"/>
          <w:sz w:val="24"/>
          <w:szCs w:val="24"/>
        </w:rPr>
        <w:t>Como prohibición, el referido ordenamiento normativo establece que, -entre otros sujetos-, las candidaturas -en el periodo de campañas políticas-, no podrán utilizar o publicitar la imagen personal de quienes son titulares de los poderes ejecutivo federal y estatal.</w:t>
      </w:r>
      <w:r>
        <w:rPr>
          <w:rFonts w:ascii="Arial" w:eastAsia="Arial" w:hAnsi="Arial" w:cs="Arial"/>
          <w:sz w:val="24"/>
          <w:szCs w:val="24"/>
          <w:vertAlign w:val="superscript"/>
        </w:rPr>
        <w:footnoteReference w:id="8"/>
      </w:r>
    </w:p>
    <w:p w14:paraId="08F37D4D" w14:textId="77777777" w:rsidR="008C67A0" w:rsidRDefault="007C1D0A">
      <w:pPr>
        <w:spacing w:before="240"/>
        <w:rPr>
          <w:rFonts w:ascii="Arial" w:eastAsia="Arial" w:hAnsi="Arial" w:cs="Arial"/>
          <w:b/>
          <w:color w:val="000000"/>
          <w:sz w:val="24"/>
          <w:szCs w:val="24"/>
        </w:rPr>
      </w:pPr>
      <w:r>
        <w:rPr>
          <w:rFonts w:ascii="Arial" w:eastAsia="Arial" w:hAnsi="Arial" w:cs="Arial"/>
          <w:b/>
          <w:color w:val="000000"/>
          <w:sz w:val="24"/>
          <w:szCs w:val="24"/>
        </w:rPr>
        <w:lastRenderedPageBreak/>
        <w:t>2. Caso Concreto</w:t>
      </w:r>
    </w:p>
    <w:p w14:paraId="001AA52E" w14:textId="77777777" w:rsidR="008C67A0" w:rsidRDefault="008C67A0">
      <w:pPr>
        <w:pBdr>
          <w:top w:val="nil"/>
          <w:left w:val="nil"/>
          <w:bottom w:val="nil"/>
          <w:right w:val="nil"/>
          <w:between w:val="nil"/>
        </w:pBdr>
        <w:rPr>
          <w:color w:val="000000"/>
        </w:rPr>
      </w:pPr>
    </w:p>
    <w:p w14:paraId="193F7DA7" w14:textId="77777777" w:rsidR="008C67A0" w:rsidRDefault="007C1D0A">
      <w:pPr>
        <w:spacing w:line="360" w:lineRule="auto"/>
        <w:jc w:val="both"/>
        <w:rPr>
          <w:rFonts w:ascii="Arial" w:eastAsia="Arial" w:hAnsi="Arial" w:cs="Arial"/>
          <w:sz w:val="24"/>
          <w:szCs w:val="24"/>
        </w:rPr>
      </w:pPr>
      <w:r>
        <w:rPr>
          <w:rFonts w:ascii="Arial" w:eastAsia="Arial" w:hAnsi="Arial" w:cs="Arial"/>
          <w:sz w:val="24"/>
          <w:szCs w:val="24"/>
        </w:rPr>
        <w:t xml:space="preserve">El PAN, en el contexto del proceso electoral 2021-2022 en el que se renovó la gubernatura de Aguascalientes, presentó una queja ante el Instituto Local en contra de Nora Ruvalcaba Gámez, en su calidad de entonces candidata postulada por Morena a dicho cargo, y del propio instituto político, al considerar que la referida candidata vulneró las reglas en materia de propaganda electoral, derivado de la utilización de una figura que, a su dicho, representa al Presidente de la República, Andrés Manuel López Obrador, conducta que se encuentra prohibida por la normatividad electoral local. </w:t>
      </w:r>
    </w:p>
    <w:p w14:paraId="33C41C07" w14:textId="77777777" w:rsidR="008C67A0" w:rsidRDefault="008C67A0">
      <w:pPr>
        <w:pBdr>
          <w:top w:val="nil"/>
          <w:left w:val="nil"/>
          <w:bottom w:val="nil"/>
          <w:right w:val="nil"/>
          <w:between w:val="nil"/>
        </w:pBdr>
        <w:tabs>
          <w:tab w:val="left" w:pos="426"/>
        </w:tabs>
        <w:ind w:right="36"/>
        <w:jc w:val="both"/>
        <w:rPr>
          <w:rFonts w:ascii="Arial" w:eastAsia="Arial" w:hAnsi="Arial" w:cs="Arial"/>
          <w:b/>
          <w:sz w:val="24"/>
          <w:szCs w:val="24"/>
        </w:rPr>
      </w:pPr>
    </w:p>
    <w:p w14:paraId="05740EC5" w14:textId="77777777" w:rsidR="008C67A0" w:rsidRDefault="007C1D0A">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3. Valoración </w:t>
      </w:r>
    </w:p>
    <w:p w14:paraId="50675988" w14:textId="77777777" w:rsidR="008C67A0" w:rsidRDefault="008C67A0">
      <w:pPr>
        <w:pBdr>
          <w:top w:val="nil"/>
          <w:left w:val="nil"/>
          <w:bottom w:val="nil"/>
          <w:right w:val="nil"/>
          <w:between w:val="nil"/>
        </w:pBdr>
        <w:rPr>
          <w:color w:val="000000"/>
        </w:rPr>
      </w:pPr>
    </w:p>
    <w:p w14:paraId="27E29890" w14:textId="77777777" w:rsidR="008C67A0" w:rsidRDefault="007C1D0A">
      <w:pPr>
        <w:spacing w:after="240" w:line="360" w:lineRule="auto"/>
        <w:jc w:val="both"/>
        <w:rPr>
          <w:rFonts w:ascii="Arial" w:eastAsia="Arial" w:hAnsi="Arial" w:cs="Arial"/>
          <w:sz w:val="24"/>
          <w:szCs w:val="24"/>
        </w:rPr>
      </w:pPr>
      <w:r>
        <w:rPr>
          <w:rFonts w:ascii="Arial" w:eastAsia="Arial" w:hAnsi="Arial" w:cs="Arial"/>
          <w:b/>
          <w:sz w:val="24"/>
          <w:szCs w:val="24"/>
        </w:rPr>
        <w:t>3.1.</w:t>
      </w:r>
      <w:r>
        <w:rPr>
          <w:rFonts w:ascii="Arial" w:eastAsia="Arial" w:hAnsi="Arial" w:cs="Arial"/>
          <w:sz w:val="24"/>
          <w:szCs w:val="24"/>
        </w:rPr>
        <w:t xml:space="preserve"> Este Tribunal Electoral considera que, a partir de un análisis contextual de los hechos denunciados y de las pruebas que existen en el expediente, es posible concluir que la infracción denunciada -publicitar la imagen personal del ciudadano Andrés Manuel López Obrador, quien funge como Presidente de la República- </w:t>
      </w:r>
      <w:r>
        <w:rPr>
          <w:rFonts w:ascii="Arial" w:eastAsia="Arial" w:hAnsi="Arial" w:cs="Arial"/>
          <w:b/>
          <w:sz w:val="24"/>
          <w:szCs w:val="24"/>
        </w:rPr>
        <w:t>es inexistente</w:t>
      </w:r>
      <w:r>
        <w:rPr>
          <w:rFonts w:ascii="Arial" w:eastAsia="Arial" w:hAnsi="Arial" w:cs="Arial"/>
          <w:sz w:val="24"/>
          <w:szCs w:val="24"/>
        </w:rPr>
        <w:t xml:space="preserve">, ya que el objeto cuestionado (figura tipo </w:t>
      </w:r>
      <w:r>
        <w:rPr>
          <w:rFonts w:ascii="Arial" w:eastAsia="Arial" w:hAnsi="Arial" w:cs="Arial"/>
          <w:i/>
          <w:sz w:val="24"/>
          <w:szCs w:val="24"/>
        </w:rPr>
        <w:t>peluche</w:t>
      </w:r>
      <w:r>
        <w:rPr>
          <w:rFonts w:ascii="Arial" w:eastAsia="Arial" w:hAnsi="Arial" w:cs="Arial"/>
          <w:sz w:val="24"/>
          <w:szCs w:val="24"/>
        </w:rPr>
        <w:t xml:space="preserve">), por sí solo, </w:t>
      </w:r>
      <w:r>
        <w:rPr>
          <w:rFonts w:ascii="Arial" w:eastAsia="Arial" w:hAnsi="Arial" w:cs="Arial"/>
          <w:b/>
          <w:sz w:val="24"/>
          <w:szCs w:val="24"/>
        </w:rPr>
        <w:t>no constituye un elemento suficiente para identificar de forma unívoca e inequívoca</w:t>
      </w:r>
      <w:r>
        <w:rPr>
          <w:rFonts w:ascii="Arial" w:eastAsia="Arial" w:hAnsi="Arial" w:cs="Arial"/>
          <w:sz w:val="24"/>
          <w:szCs w:val="24"/>
        </w:rPr>
        <w:t xml:space="preserve"> </w:t>
      </w:r>
      <w:r>
        <w:rPr>
          <w:rFonts w:ascii="Arial" w:eastAsia="Arial" w:hAnsi="Arial" w:cs="Arial"/>
          <w:b/>
          <w:sz w:val="24"/>
          <w:szCs w:val="24"/>
        </w:rPr>
        <w:t>al</w:t>
      </w:r>
      <w:r>
        <w:rPr>
          <w:rFonts w:ascii="Arial" w:eastAsia="Arial" w:hAnsi="Arial" w:cs="Arial"/>
          <w:sz w:val="24"/>
          <w:szCs w:val="24"/>
        </w:rPr>
        <w:t xml:space="preserve"> </w:t>
      </w:r>
      <w:r>
        <w:rPr>
          <w:rFonts w:ascii="Arial" w:eastAsia="Arial" w:hAnsi="Arial" w:cs="Arial"/>
          <w:b/>
          <w:sz w:val="24"/>
          <w:szCs w:val="24"/>
        </w:rPr>
        <w:t>referido servidor público</w:t>
      </w:r>
      <w:r>
        <w:rPr>
          <w:rFonts w:ascii="Arial" w:eastAsia="Arial" w:hAnsi="Arial" w:cs="Arial"/>
          <w:sz w:val="24"/>
          <w:szCs w:val="24"/>
        </w:rPr>
        <w:t>, pues no existen mayores elementos o representaciones que demuestren que tal símbolo se trata del sujeto cuestionado.</w:t>
      </w:r>
    </w:p>
    <w:p w14:paraId="3B03A434" w14:textId="77777777" w:rsidR="008C67A0" w:rsidRDefault="007C1D0A">
      <w:pPr>
        <w:spacing w:before="240" w:after="240" w:line="360" w:lineRule="auto"/>
        <w:ind w:right="40"/>
        <w:jc w:val="both"/>
        <w:rPr>
          <w:rFonts w:ascii="Arial" w:eastAsia="Arial" w:hAnsi="Arial" w:cs="Arial"/>
          <w:b/>
          <w:sz w:val="24"/>
          <w:szCs w:val="24"/>
        </w:rPr>
      </w:pPr>
      <w:r>
        <w:rPr>
          <w:rFonts w:ascii="Arial" w:eastAsia="Arial" w:hAnsi="Arial" w:cs="Arial"/>
          <w:sz w:val="24"/>
          <w:szCs w:val="24"/>
        </w:rPr>
        <w:t xml:space="preserve">La postura asumida se debe a que: </w:t>
      </w:r>
      <w:r>
        <w:rPr>
          <w:rFonts w:ascii="Arial" w:eastAsia="Arial" w:hAnsi="Arial" w:cs="Arial"/>
          <w:b/>
          <w:i/>
          <w:sz w:val="24"/>
          <w:szCs w:val="24"/>
        </w:rPr>
        <w:t>i)</w:t>
      </w:r>
      <w:r>
        <w:rPr>
          <w:rFonts w:ascii="Arial" w:eastAsia="Arial" w:hAnsi="Arial" w:cs="Arial"/>
          <w:sz w:val="24"/>
          <w:szCs w:val="24"/>
        </w:rPr>
        <w:t xml:space="preserve"> por una parte, el denunciante ofreció como medios de prueba, una serie de imágenes en las que aparece la entonces candidata Nora Ruvalcaba Gámez y su equipo de campaña, quienes se encuentran realizando actos propios de la campaña electoral, consistente en visitas a las distintas áreas del estado de Aguascalientes, con la aparente intención de conocer las necesidades de la población y, en tales actos, promover su candidatura. Asimismo, el denunciante en su escrito especificó que cuestionaba la aparición de un </w:t>
      </w:r>
      <w:r>
        <w:rPr>
          <w:rFonts w:ascii="Arial" w:eastAsia="Arial" w:hAnsi="Arial" w:cs="Arial"/>
          <w:b/>
          <w:sz w:val="24"/>
          <w:szCs w:val="24"/>
        </w:rPr>
        <w:t>muñeco de una persona con traje negro, camisa blanca, canoso y que porta la bandera presidencial de México</w:t>
      </w:r>
      <w:r>
        <w:rPr>
          <w:rFonts w:ascii="Arial" w:eastAsia="Arial" w:hAnsi="Arial" w:cs="Arial"/>
          <w:sz w:val="24"/>
          <w:szCs w:val="24"/>
        </w:rPr>
        <w:t xml:space="preserve">, situación que, a su criterio, se trata de una clara e indudable alusión al ciudadano </w:t>
      </w:r>
      <w:r>
        <w:rPr>
          <w:rFonts w:ascii="Arial" w:eastAsia="Arial" w:hAnsi="Arial" w:cs="Arial"/>
          <w:b/>
          <w:sz w:val="24"/>
          <w:szCs w:val="24"/>
        </w:rPr>
        <w:t>Andrés Manuel López Obrador.</w:t>
      </w:r>
    </w:p>
    <w:p w14:paraId="15BF3B35" w14:textId="77777777" w:rsidR="008C67A0" w:rsidRDefault="007C1D0A">
      <w:pPr>
        <w:spacing w:before="240" w:after="240" w:line="360" w:lineRule="auto"/>
        <w:ind w:right="40"/>
        <w:jc w:val="both"/>
        <w:rPr>
          <w:rFonts w:ascii="Arial" w:eastAsia="Arial" w:hAnsi="Arial" w:cs="Arial"/>
          <w:sz w:val="24"/>
          <w:szCs w:val="24"/>
        </w:rPr>
      </w:pP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i/>
          <w:sz w:val="24"/>
          <w:szCs w:val="24"/>
        </w:rPr>
        <w:t xml:space="preserve"> </w:t>
      </w:r>
      <w:r>
        <w:rPr>
          <w:rFonts w:ascii="Arial" w:eastAsia="Arial" w:hAnsi="Arial" w:cs="Arial"/>
          <w:sz w:val="24"/>
          <w:szCs w:val="24"/>
        </w:rPr>
        <w:t xml:space="preserve">Por otra parte, la denunciada en su escrito de contestación, negó de forma lisa y llana que tal elemento se tratara del referido servidor público y, a su vez, alegó que </w:t>
      </w:r>
      <w:r>
        <w:rPr>
          <w:rFonts w:ascii="Arial" w:eastAsia="Arial" w:hAnsi="Arial" w:cs="Arial"/>
          <w:b/>
          <w:sz w:val="24"/>
          <w:szCs w:val="24"/>
        </w:rPr>
        <w:t xml:space="preserve">tal </w:t>
      </w:r>
      <w:r>
        <w:rPr>
          <w:rFonts w:ascii="Arial" w:eastAsia="Arial" w:hAnsi="Arial" w:cs="Arial"/>
          <w:b/>
          <w:i/>
          <w:sz w:val="24"/>
          <w:szCs w:val="24"/>
        </w:rPr>
        <w:t xml:space="preserve">peluche </w:t>
      </w:r>
      <w:r>
        <w:rPr>
          <w:rFonts w:ascii="Arial" w:eastAsia="Arial" w:hAnsi="Arial" w:cs="Arial"/>
          <w:b/>
          <w:sz w:val="24"/>
          <w:szCs w:val="24"/>
        </w:rPr>
        <w:t>no constituye un elemento suficiente que demuestre de forma certera, que se trata del sujeto en cuestión</w:t>
      </w:r>
      <w:r>
        <w:rPr>
          <w:rFonts w:ascii="Arial" w:eastAsia="Arial" w:hAnsi="Arial" w:cs="Arial"/>
          <w:sz w:val="24"/>
          <w:szCs w:val="24"/>
        </w:rPr>
        <w:t xml:space="preserve">. </w:t>
      </w:r>
      <w:proofErr w:type="spellStart"/>
      <w:r>
        <w:rPr>
          <w:rFonts w:ascii="Arial" w:eastAsia="Arial" w:hAnsi="Arial" w:cs="Arial"/>
          <w:b/>
          <w:i/>
          <w:sz w:val="24"/>
          <w:szCs w:val="24"/>
        </w:rPr>
        <w:t>iii</w:t>
      </w:r>
      <w:proofErr w:type="spellEnd"/>
      <w:r>
        <w:rPr>
          <w:rFonts w:ascii="Arial" w:eastAsia="Arial" w:hAnsi="Arial" w:cs="Arial"/>
          <w:b/>
          <w:i/>
          <w:sz w:val="24"/>
          <w:szCs w:val="24"/>
        </w:rPr>
        <w:t xml:space="preserve">) </w:t>
      </w:r>
      <w:r>
        <w:rPr>
          <w:rFonts w:ascii="Arial" w:eastAsia="Arial" w:hAnsi="Arial" w:cs="Arial"/>
          <w:sz w:val="24"/>
          <w:szCs w:val="24"/>
        </w:rPr>
        <w:t xml:space="preserve">En cuanto al acta de la oficialía electoral elaborada por el </w:t>
      </w:r>
      <w:r>
        <w:rPr>
          <w:rFonts w:ascii="Arial" w:eastAsia="Arial" w:hAnsi="Arial" w:cs="Arial"/>
          <w:sz w:val="24"/>
          <w:szCs w:val="24"/>
        </w:rPr>
        <w:lastRenderedPageBreak/>
        <w:t xml:space="preserve">Instituto Local, en esta se constató que el símbolo que se denuncia se trata de un </w:t>
      </w:r>
      <w:r>
        <w:rPr>
          <w:rFonts w:ascii="Arial" w:eastAsia="Arial" w:hAnsi="Arial" w:cs="Arial"/>
          <w:b/>
          <w:sz w:val="24"/>
          <w:szCs w:val="24"/>
        </w:rPr>
        <w:t>objeto de la caricatura del rostro de una persona</w:t>
      </w:r>
      <w:r>
        <w:rPr>
          <w:rFonts w:ascii="Arial" w:eastAsia="Arial" w:hAnsi="Arial" w:cs="Arial"/>
          <w:sz w:val="24"/>
          <w:szCs w:val="24"/>
        </w:rPr>
        <w:t>, sin especificar mayores elementos o características de la figura en comento.</w:t>
      </w:r>
    </w:p>
    <w:p w14:paraId="644F0B56" w14:textId="77777777" w:rsidR="008C67A0" w:rsidRDefault="007C1D0A">
      <w:pPr>
        <w:spacing w:before="240" w:after="240" w:line="360" w:lineRule="auto"/>
        <w:ind w:right="40"/>
        <w:jc w:val="both"/>
        <w:rPr>
          <w:rFonts w:ascii="Arial" w:eastAsia="Arial" w:hAnsi="Arial" w:cs="Arial"/>
          <w:b/>
          <w:sz w:val="24"/>
          <w:szCs w:val="24"/>
        </w:rPr>
      </w:pPr>
      <w:r>
        <w:rPr>
          <w:rFonts w:ascii="Arial" w:eastAsia="Arial" w:hAnsi="Arial" w:cs="Arial"/>
          <w:sz w:val="24"/>
          <w:szCs w:val="24"/>
        </w:rPr>
        <w:t xml:space="preserve">Ello, permite concluir a este órgano jurisdiccional que, contrario a lo que afirma la parte denunciante, </w:t>
      </w:r>
      <w:r>
        <w:rPr>
          <w:rFonts w:ascii="Arial" w:eastAsia="Arial" w:hAnsi="Arial" w:cs="Arial"/>
          <w:b/>
          <w:sz w:val="24"/>
          <w:szCs w:val="24"/>
        </w:rPr>
        <w:t>el símbolo del peluche no contiene características o elementos que, valorados en los individual o en su conjunto, demuestren de forma</w:t>
      </w:r>
      <w:r>
        <w:rPr>
          <w:rFonts w:ascii="Arial" w:eastAsia="Arial" w:hAnsi="Arial" w:cs="Arial"/>
          <w:i/>
          <w:sz w:val="24"/>
          <w:szCs w:val="24"/>
        </w:rPr>
        <w:t xml:space="preserve"> </w:t>
      </w:r>
      <w:r>
        <w:rPr>
          <w:rFonts w:ascii="Arial" w:eastAsia="Arial" w:hAnsi="Arial" w:cs="Arial"/>
          <w:b/>
          <w:sz w:val="24"/>
          <w:szCs w:val="24"/>
          <w:u w:val="single"/>
        </w:rPr>
        <w:t xml:space="preserve">objetiva, unívoca e inequívoca </w:t>
      </w:r>
      <w:r>
        <w:rPr>
          <w:rFonts w:ascii="Arial" w:eastAsia="Arial" w:hAnsi="Arial" w:cs="Arial"/>
          <w:b/>
          <w:sz w:val="24"/>
          <w:szCs w:val="24"/>
        </w:rPr>
        <w:t xml:space="preserve">que se trata del </w:t>
      </w:r>
      <w:proofErr w:type="gramStart"/>
      <w:r>
        <w:rPr>
          <w:rFonts w:ascii="Arial" w:eastAsia="Arial" w:hAnsi="Arial" w:cs="Arial"/>
          <w:b/>
          <w:sz w:val="24"/>
          <w:szCs w:val="24"/>
        </w:rPr>
        <w:t>Presidente</w:t>
      </w:r>
      <w:proofErr w:type="gramEnd"/>
      <w:r>
        <w:rPr>
          <w:rFonts w:ascii="Arial" w:eastAsia="Arial" w:hAnsi="Arial" w:cs="Arial"/>
          <w:b/>
          <w:sz w:val="24"/>
          <w:szCs w:val="24"/>
        </w:rPr>
        <w:t xml:space="preserve"> de la República.</w:t>
      </w:r>
    </w:p>
    <w:p w14:paraId="4772CD17" w14:textId="77777777" w:rsidR="008C67A0" w:rsidRDefault="007C1D0A">
      <w:pPr>
        <w:spacing w:before="240" w:after="240" w:line="360" w:lineRule="auto"/>
        <w:ind w:right="40"/>
        <w:jc w:val="both"/>
        <w:rPr>
          <w:rFonts w:ascii="Arial" w:eastAsia="Arial" w:hAnsi="Arial" w:cs="Arial"/>
          <w:b/>
          <w:sz w:val="24"/>
          <w:szCs w:val="24"/>
        </w:rPr>
      </w:pPr>
      <w:r>
        <w:rPr>
          <w:rFonts w:ascii="Arial" w:eastAsia="Arial" w:hAnsi="Arial" w:cs="Arial"/>
          <w:sz w:val="24"/>
          <w:szCs w:val="24"/>
        </w:rPr>
        <w:t xml:space="preserve">Esta postura obedece a que no es posible afirmar de forma objetiva, y sin lugar a duda, que el peluche corresponda a tal servidor público, en atención a que, como se explicó, el material probatorio existente no aporta mayores elementos para que esta autoridad jurisdiccional estime que, en conjunto con las características del </w:t>
      </w:r>
      <w:r>
        <w:rPr>
          <w:rFonts w:ascii="Arial" w:eastAsia="Arial" w:hAnsi="Arial" w:cs="Arial"/>
          <w:i/>
          <w:sz w:val="24"/>
          <w:szCs w:val="24"/>
        </w:rPr>
        <w:t xml:space="preserve">peluche, </w:t>
      </w:r>
      <w:r>
        <w:rPr>
          <w:rFonts w:ascii="Arial" w:eastAsia="Arial" w:hAnsi="Arial" w:cs="Arial"/>
          <w:sz w:val="24"/>
          <w:szCs w:val="24"/>
        </w:rPr>
        <w:t xml:space="preserve">se hace identificable al titular del Poder Ejecutivo Federal, además, tomando en cuenta que tal figura, por sí sola, no contiene elementos objetivos que representen a tal figura </w:t>
      </w:r>
      <w:r>
        <w:rPr>
          <w:rFonts w:ascii="Arial" w:eastAsia="Arial" w:hAnsi="Arial" w:cs="Arial"/>
          <w:b/>
          <w:sz w:val="24"/>
          <w:szCs w:val="24"/>
        </w:rPr>
        <w:t xml:space="preserve">de forma clara y puntual. </w:t>
      </w:r>
    </w:p>
    <w:p w14:paraId="1A32C5F2" w14:textId="77777777" w:rsidR="008C67A0" w:rsidRDefault="007C1D0A">
      <w:pPr>
        <w:spacing w:after="240" w:line="360" w:lineRule="auto"/>
        <w:jc w:val="both"/>
        <w:rPr>
          <w:rFonts w:ascii="Arial" w:eastAsia="Arial" w:hAnsi="Arial" w:cs="Arial"/>
          <w:sz w:val="24"/>
          <w:szCs w:val="24"/>
        </w:rPr>
      </w:pPr>
      <w:r>
        <w:rPr>
          <w:rFonts w:ascii="Arial" w:eastAsia="Arial" w:hAnsi="Arial" w:cs="Arial"/>
          <w:sz w:val="24"/>
          <w:szCs w:val="24"/>
        </w:rPr>
        <w:t>Incluso, para analizar la presente infracción, es conveniente retomar el criterio jurisprudencial asumido por la Sala Superior, en el que, a efecto de identificar la posible aparición de un servidor público mediante el elemento personal, este puede colmarse, básicamente, a través de la emisión de voces, imágenes o símbolos que hagan plenamente identificable al servidor público.</w:t>
      </w:r>
      <w:r>
        <w:rPr>
          <w:rFonts w:ascii="Arial" w:eastAsia="Arial" w:hAnsi="Arial" w:cs="Arial"/>
          <w:sz w:val="24"/>
          <w:szCs w:val="24"/>
          <w:vertAlign w:val="superscript"/>
        </w:rPr>
        <w:footnoteReference w:id="9"/>
      </w:r>
    </w:p>
    <w:p w14:paraId="28E09F8B" w14:textId="77777777" w:rsidR="008C67A0" w:rsidRDefault="007C1D0A">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Este criterio demuestra que, a fin de hacer identificable la imagen de un servidor público, es necesaria la existencia de voces, imágenes o símbolos, o cualquier otro elemento </w:t>
      </w:r>
      <w:r>
        <w:rPr>
          <w:rFonts w:ascii="Arial" w:eastAsia="Arial" w:hAnsi="Arial" w:cs="Arial"/>
          <w:b/>
          <w:sz w:val="24"/>
          <w:szCs w:val="24"/>
        </w:rPr>
        <w:t>que haga plenamente identificable al servidor público que se cuestione</w:t>
      </w:r>
      <w:r>
        <w:rPr>
          <w:rFonts w:ascii="Arial" w:eastAsia="Arial" w:hAnsi="Arial" w:cs="Arial"/>
          <w:sz w:val="24"/>
          <w:szCs w:val="24"/>
        </w:rPr>
        <w:t xml:space="preserve">. Así que, en el presente </w:t>
      </w:r>
      <w:r>
        <w:rPr>
          <w:rFonts w:ascii="Arial" w:eastAsia="Arial" w:hAnsi="Arial" w:cs="Arial"/>
          <w:sz w:val="24"/>
          <w:szCs w:val="24"/>
        </w:rPr>
        <w:lastRenderedPageBreak/>
        <w:t xml:space="preserve">asunto, tal y como se comentó, el símbolo del </w:t>
      </w:r>
      <w:r>
        <w:rPr>
          <w:rFonts w:ascii="Arial" w:eastAsia="Arial" w:hAnsi="Arial" w:cs="Arial"/>
          <w:i/>
          <w:sz w:val="24"/>
          <w:szCs w:val="24"/>
        </w:rPr>
        <w:t>peluche</w:t>
      </w:r>
      <w:r>
        <w:rPr>
          <w:rFonts w:ascii="Arial" w:eastAsia="Arial" w:hAnsi="Arial" w:cs="Arial"/>
          <w:sz w:val="24"/>
          <w:szCs w:val="24"/>
        </w:rPr>
        <w:t xml:space="preserve"> no hace plenamente identificable al ciudadano Andrés Manuel López Obrador, en virtud de la ausencia de rasgos fisionómicos de este, dada su caricaturización.  </w:t>
      </w:r>
    </w:p>
    <w:p w14:paraId="4C556E0A" w14:textId="77777777" w:rsidR="008C67A0" w:rsidRDefault="007C1D0A">
      <w:pPr>
        <w:spacing w:before="240" w:after="240" w:line="360" w:lineRule="auto"/>
        <w:jc w:val="both"/>
        <w:rPr>
          <w:rFonts w:ascii="Arial" w:eastAsia="Arial" w:hAnsi="Arial" w:cs="Arial"/>
          <w:sz w:val="24"/>
          <w:szCs w:val="24"/>
        </w:rPr>
      </w:pPr>
      <w:r>
        <w:rPr>
          <w:rFonts w:ascii="Arial" w:eastAsia="Arial" w:hAnsi="Arial" w:cs="Arial"/>
          <w:sz w:val="24"/>
          <w:szCs w:val="24"/>
        </w:rPr>
        <w:t>Por otra parte, este Tribunal Electoral estima que la postura asumida en el presente asunto no resulta contraria a lo resuelto en la sentencia (TEEA-PES-044/2022), en la cual, básicamente, se declaró la existencia de la misma infracción, atribuida igualmente a la candidata Nora Ruvalcaba Gámez.</w:t>
      </w:r>
    </w:p>
    <w:p w14:paraId="046B479C" w14:textId="77777777" w:rsidR="008C67A0" w:rsidRDefault="007C1D0A">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Ello porque en tal asunto, se realizó un análisis contextual que demostró la </w:t>
      </w:r>
      <w:r>
        <w:rPr>
          <w:rFonts w:ascii="Arial" w:eastAsia="Arial" w:hAnsi="Arial" w:cs="Arial"/>
          <w:b/>
          <w:sz w:val="24"/>
          <w:szCs w:val="24"/>
        </w:rPr>
        <w:t>concurrencia de una serie de elementos</w:t>
      </w:r>
      <w:r>
        <w:rPr>
          <w:rFonts w:ascii="Arial" w:eastAsia="Arial" w:hAnsi="Arial" w:cs="Arial"/>
          <w:sz w:val="24"/>
          <w:szCs w:val="24"/>
        </w:rPr>
        <w:t xml:space="preserve"> tales como: </w:t>
      </w:r>
      <w:r>
        <w:rPr>
          <w:rFonts w:ascii="Arial" w:eastAsia="Arial" w:hAnsi="Arial" w:cs="Arial"/>
          <w:b/>
          <w:i/>
          <w:sz w:val="24"/>
          <w:szCs w:val="24"/>
        </w:rPr>
        <w:t>i)</w:t>
      </w:r>
      <w:r>
        <w:rPr>
          <w:rFonts w:ascii="Arial" w:eastAsia="Arial" w:hAnsi="Arial" w:cs="Arial"/>
          <w:sz w:val="24"/>
          <w:szCs w:val="24"/>
        </w:rPr>
        <w:t xml:space="preserve"> una silueta del rostro del servidor público cuestionado ubicada en el segundo plano de los espectaculares que proyecta la candidatura de la denunciada, </w:t>
      </w:r>
      <w:proofErr w:type="spellStart"/>
      <w:r>
        <w:rPr>
          <w:rFonts w:ascii="Arial" w:eastAsia="Arial" w:hAnsi="Arial" w:cs="Arial"/>
          <w:b/>
          <w:i/>
          <w:sz w:val="24"/>
          <w:szCs w:val="24"/>
        </w:rPr>
        <w:t>ii</w:t>
      </w:r>
      <w:proofErr w:type="spellEnd"/>
      <w:r>
        <w:rPr>
          <w:rFonts w:ascii="Arial" w:eastAsia="Arial" w:hAnsi="Arial" w:cs="Arial"/>
          <w:b/>
          <w:i/>
          <w:sz w:val="24"/>
          <w:szCs w:val="24"/>
        </w:rPr>
        <w:t xml:space="preserve">) </w:t>
      </w:r>
      <w:r>
        <w:rPr>
          <w:rFonts w:ascii="Arial" w:eastAsia="Arial" w:hAnsi="Arial" w:cs="Arial"/>
          <w:sz w:val="24"/>
          <w:szCs w:val="24"/>
        </w:rPr>
        <w:t>una silueta idéntica en el volante propagandístico, ubicada en el segundo plano de la imagen de la candidata cuestionada,</w:t>
      </w:r>
      <w:r>
        <w:rPr>
          <w:rFonts w:ascii="Arial" w:eastAsia="Arial" w:hAnsi="Arial" w:cs="Arial"/>
          <w:b/>
          <w:i/>
          <w:sz w:val="24"/>
          <w:szCs w:val="24"/>
        </w:rPr>
        <w:t xml:space="preserve"> </w:t>
      </w:r>
      <w:proofErr w:type="spellStart"/>
      <w:r>
        <w:rPr>
          <w:rFonts w:ascii="Arial" w:eastAsia="Arial" w:hAnsi="Arial" w:cs="Arial"/>
          <w:b/>
          <w:i/>
          <w:sz w:val="24"/>
          <w:szCs w:val="24"/>
        </w:rPr>
        <w:t>iii</w:t>
      </w:r>
      <w:proofErr w:type="spellEnd"/>
      <w:r>
        <w:rPr>
          <w:rFonts w:ascii="Arial" w:eastAsia="Arial" w:hAnsi="Arial" w:cs="Arial"/>
          <w:b/>
          <w:i/>
          <w:sz w:val="24"/>
          <w:szCs w:val="24"/>
        </w:rPr>
        <w:t xml:space="preserve">) </w:t>
      </w:r>
      <w:r>
        <w:rPr>
          <w:rFonts w:ascii="Arial" w:eastAsia="Arial" w:hAnsi="Arial" w:cs="Arial"/>
          <w:sz w:val="24"/>
          <w:szCs w:val="24"/>
        </w:rPr>
        <w:t xml:space="preserve">la inclusión de dos frases </w:t>
      </w:r>
      <w:r w:rsidRPr="00D64E7A">
        <w:rPr>
          <w:rFonts w:ascii="Arial" w:eastAsia="Arial" w:hAnsi="Arial" w:cs="Arial"/>
          <w:sz w:val="24"/>
          <w:szCs w:val="24"/>
        </w:rPr>
        <w:t>-</w:t>
      </w:r>
      <w:r w:rsidRPr="00D64E7A">
        <w:rPr>
          <w:rFonts w:ascii="Arial" w:eastAsia="Arial" w:hAnsi="Arial" w:cs="Arial"/>
        </w:rPr>
        <w:t>SERÉ GOBERNADORA Y VOY A TRABAJAR CON “YA SABES QUIÉN” POR LA TRANSFORMACIÓN DE NUESTRO ESTADO” y “A AGUASCALIENTES LE CONVIENE QUE LA PRÓXIMA GOBERNADORA SEA ALIADA DEL GOBIERNO DE MÉXICO SOLO NORA TRABAJARÁ DE LA MANO DE “YA SABES QUIÉN”</w:t>
      </w:r>
      <w:r w:rsidRPr="00D64E7A">
        <w:rPr>
          <w:rFonts w:ascii="Arial" w:eastAsia="Arial" w:hAnsi="Arial" w:cs="Arial"/>
          <w:sz w:val="24"/>
          <w:szCs w:val="24"/>
        </w:rPr>
        <w:t>-</w:t>
      </w:r>
      <w:r>
        <w:rPr>
          <w:rFonts w:ascii="Arial" w:eastAsia="Arial" w:hAnsi="Arial" w:cs="Arial"/>
          <w:sz w:val="24"/>
          <w:szCs w:val="24"/>
        </w:rPr>
        <w:t xml:space="preserve"> y, </w:t>
      </w:r>
      <w:r>
        <w:rPr>
          <w:rFonts w:ascii="Arial" w:eastAsia="Arial" w:hAnsi="Arial" w:cs="Arial"/>
          <w:b/>
          <w:i/>
          <w:sz w:val="24"/>
          <w:szCs w:val="24"/>
        </w:rPr>
        <w:t>iv)</w:t>
      </w:r>
      <w:r>
        <w:rPr>
          <w:rFonts w:ascii="Arial" w:eastAsia="Arial" w:hAnsi="Arial" w:cs="Arial"/>
          <w:sz w:val="24"/>
          <w:szCs w:val="24"/>
        </w:rPr>
        <w:t xml:space="preserve"> </w:t>
      </w:r>
      <w:r>
        <w:rPr>
          <w:rFonts w:ascii="Arial" w:eastAsia="Arial" w:hAnsi="Arial" w:cs="Arial"/>
          <w:b/>
          <w:sz w:val="24"/>
          <w:szCs w:val="24"/>
        </w:rPr>
        <w:t xml:space="preserve">una afirmación implícita </w:t>
      </w:r>
      <w:r>
        <w:rPr>
          <w:rFonts w:ascii="Arial" w:eastAsia="Arial" w:hAnsi="Arial" w:cs="Arial"/>
          <w:sz w:val="24"/>
          <w:szCs w:val="24"/>
        </w:rPr>
        <w:t>por parte de la candidata denunciada en la cual hace referencia que la silueta del rostro en cuestión –de Andrés Manuel López Obrador- es parte de su estrategia electoral.</w:t>
      </w:r>
    </w:p>
    <w:p w14:paraId="22A6D436" w14:textId="77777777" w:rsidR="008C67A0" w:rsidRDefault="007C1D0A">
      <w:pPr>
        <w:spacing w:before="240" w:after="240" w:line="360" w:lineRule="auto"/>
        <w:jc w:val="both"/>
        <w:rPr>
          <w:rFonts w:ascii="Arial" w:eastAsia="Arial" w:hAnsi="Arial" w:cs="Arial"/>
          <w:sz w:val="24"/>
          <w:szCs w:val="24"/>
        </w:rPr>
      </w:pPr>
      <w:r>
        <w:rPr>
          <w:rFonts w:ascii="Arial" w:eastAsia="Arial" w:hAnsi="Arial" w:cs="Arial"/>
          <w:sz w:val="24"/>
          <w:szCs w:val="24"/>
        </w:rPr>
        <w:t>Por lo cual, se asumió que la valoración conjunta de tales elementos era suficiente para comprobar que la candidata denunciada tomó como parte de su estrategia de propaganda electoral el uso de símbolos que tuvieron como finalidad proyectar su candidatura, así como la inclusión de elementos propios -silueta del rostro del referido servidor público y la frase “ya sabes quién”- que, en su conjunto, hacían identificable al referido servidor público en cuestión, situación que incluso fue aceptada por la propia candidata en el curso de una entrevista llevada a cabo por un periodista.</w:t>
      </w:r>
    </w:p>
    <w:p w14:paraId="7527D95B" w14:textId="77777777" w:rsidR="008C67A0" w:rsidRDefault="007C1D0A">
      <w:pPr>
        <w:spacing w:before="240" w:after="240" w:line="360" w:lineRule="auto"/>
        <w:ind w:right="40"/>
        <w:jc w:val="both"/>
        <w:rPr>
          <w:rFonts w:ascii="Arial" w:eastAsia="Arial" w:hAnsi="Arial" w:cs="Arial"/>
          <w:sz w:val="24"/>
          <w:szCs w:val="24"/>
        </w:rPr>
      </w:pPr>
      <w:r>
        <w:rPr>
          <w:rFonts w:ascii="Arial" w:eastAsia="Arial" w:hAnsi="Arial" w:cs="Arial"/>
          <w:sz w:val="24"/>
          <w:szCs w:val="24"/>
        </w:rPr>
        <w:t xml:space="preserve">Al respecto, el resultado de las diferentes posturas se debe a que en tal asunto se comprobó la existencia de diversos elementos que, adminiculados entre sí, permitieron demostrar que la candidata cuestionada incluyó la imagen de Andrés Manuel López Obrador, </w:t>
      </w:r>
      <w:proofErr w:type="gramStart"/>
      <w:r>
        <w:rPr>
          <w:rFonts w:ascii="Arial" w:eastAsia="Arial" w:hAnsi="Arial" w:cs="Arial"/>
          <w:sz w:val="24"/>
          <w:szCs w:val="24"/>
        </w:rPr>
        <w:t>Presidente</w:t>
      </w:r>
      <w:proofErr w:type="gramEnd"/>
      <w:r>
        <w:rPr>
          <w:rFonts w:ascii="Arial" w:eastAsia="Arial" w:hAnsi="Arial" w:cs="Arial"/>
          <w:sz w:val="24"/>
          <w:szCs w:val="24"/>
        </w:rPr>
        <w:t xml:space="preserve"> de la República, en diversos espectaculares que proyectaban su candidatura y, por tanto, que vulneró las reglas en materia de propaganda electoral.</w:t>
      </w:r>
    </w:p>
    <w:p w14:paraId="14CA6BAD" w14:textId="77777777" w:rsidR="008C67A0" w:rsidRDefault="007C1D0A">
      <w:pPr>
        <w:spacing w:before="240" w:after="240" w:line="360" w:lineRule="auto"/>
        <w:ind w:right="40"/>
        <w:jc w:val="both"/>
        <w:rPr>
          <w:rFonts w:ascii="Arial" w:eastAsia="Arial" w:hAnsi="Arial" w:cs="Arial"/>
          <w:b/>
          <w:sz w:val="24"/>
          <w:szCs w:val="24"/>
        </w:rPr>
      </w:pPr>
      <w:r>
        <w:rPr>
          <w:rFonts w:ascii="Arial" w:eastAsia="Arial" w:hAnsi="Arial" w:cs="Arial"/>
          <w:sz w:val="24"/>
          <w:szCs w:val="24"/>
        </w:rPr>
        <w:t xml:space="preserve">Contrario a tal controversia, en el presente caso, </w:t>
      </w:r>
      <w:r>
        <w:rPr>
          <w:rFonts w:ascii="Arial" w:eastAsia="Arial" w:hAnsi="Arial" w:cs="Arial"/>
          <w:b/>
          <w:sz w:val="24"/>
          <w:szCs w:val="24"/>
        </w:rPr>
        <w:t xml:space="preserve">únicamente se logró demostrar la aparición de un elemento consistente en un muñeco </w:t>
      </w:r>
      <w:r>
        <w:rPr>
          <w:rFonts w:ascii="Arial" w:eastAsia="Arial" w:hAnsi="Arial" w:cs="Arial"/>
          <w:sz w:val="24"/>
          <w:szCs w:val="24"/>
        </w:rPr>
        <w:t xml:space="preserve">con traje negro, camisa blanca, canoso y que porta la bandera de México, sin que de la descripción de la oficialía electoral o de las manifestaciones de la parte denunciada, se aportaran mayores elementos descriptivos que permitieran esclarecer tal figura, además, de tomar en cuenta que la parte </w:t>
      </w:r>
      <w:r>
        <w:rPr>
          <w:rFonts w:ascii="Arial" w:eastAsia="Arial" w:hAnsi="Arial" w:cs="Arial"/>
          <w:sz w:val="24"/>
          <w:szCs w:val="24"/>
        </w:rPr>
        <w:lastRenderedPageBreak/>
        <w:t xml:space="preserve">denunciada negó de forma lisa y llana que tal figura se tratara del referido servidor público. También, debe tomarse en cuenta que, a criterio de esta autoridad jurisdiccional, dadas las características comentadas y a partir de un análisis objetivo y crítico, </w:t>
      </w:r>
      <w:r>
        <w:rPr>
          <w:rFonts w:ascii="Arial" w:eastAsia="Arial" w:hAnsi="Arial" w:cs="Arial"/>
          <w:b/>
          <w:sz w:val="24"/>
          <w:szCs w:val="24"/>
        </w:rPr>
        <w:t xml:space="preserve">no es posible asumir que la figura en cuestión se trate del multicitado servidor público. </w:t>
      </w:r>
    </w:p>
    <w:p w14:paraId="349189D0" w14:textId="77777777" w:rsidR="008C67A0" w:rsidRDefault="007C1D0A">
      <w:pPr>
        <w:spacing w:before="240" w:after="240" w:line="360" w:lineRule="auto"/>
        <w:jc w:val="both"/>
        <w:rPr>
          <w:rFonts w:ascii="Arial" w:eastAsia="Arial" w:hAnsi="Arial" w:cs="Arial"/>
          <w:b/>
          <w:sz w:val="24"/>
          <w:szCs w:val="24"/>
        </w:rPr>
      </w:pPr>
      <w:r>
        <w:rPr>
          <w:rFonts w:ascii="Arial" w:eastAsia="Arial" w:hAnsi="Arial" w:cs="Arial"/>
          <w:sz w:val="24"/>
          <w:szCs w:val="24"/>
        </w:rPr>
        <w:t xml:space="preserve">Ante ello, resulta evidente que los elementos existentes en ambos asuntos, </w:t>
      </w:r>
      <w:r>
        <w:rPr>
          <w:rFonts w:ascii="Arial" w:eastAsia="Arial" w:hAnsi="Arial" w:cs="Arial"/>
          <w:b/>
          <w:sz w:val="24"/>
          <w:szCs w:val="24"/>
        </w:rPr>
        <w:t>de ninguna manera demuestran identidad</w:t>
      </w:r>
      <w:r>
        <w:rPr>
          <w:rFonts w:ascii="Arial" w:eastAsia="Arial" w:hAnsi="Arial" w:cs="Arial"/>
          <w:sz w:val="24"/>
          <w:szCs w:val="24"/>
        </w:rPr>
        <w:t xml:space="preserve"> </w:t>
      </w:r>
      <w:r>
        <w:rPr>
          <w:rFonts w:ascii="Arial" w:eastAsia="Arial" w:hAnsi="Arial" w:cs="Arial"/>
          <w:b/>
          <w:sz w:val="24"/>
          <w:szCs w:val="24"/>
        </w:rPr>
        <w:t xml:space="preserve">para arribar a la misma conclusión </w:t>
      </w:r>
      <w:r>
        <w:rPr>
          <w:rFonts w:ascii="Arial" w:eastAsia="Arial" w:hAnsi="Arial" w:cs="Arial"/>
          <w:sz w:val="24"/>
          <w:szCs w:val="24"/>
        </w:rPr>
        <w:t xml:space="preserve">referente a que la candidata cuestionada mantiene una estrategia sistemática y permanente en el uso de la imagen del </w:t>
      </w:r>
      <w:proofErr w:type="gramStart"/>
      <w:r>
        <w:rPr>
          <w:rFonts w:ascii="Arial" w:eastAsia="Arial" w:hAnsi="Arial" w:cs="Arial"/>
          <w:sz w:val="24"/>
          <w:szCs w:val="24"/>
        </w:rPr>
        <w:t>Presidente</w:t>
      </w:r>
      <w:proofErr w:type="gramEnd"/>
      <w:r>
        <w:rPr>
          <w:rFonts w:ascii="Arial" w:eastAsia="Arial" w:hAnsi="Arial" w:cs="Arial"/>
          <w:sz w:val="24"/>
          <w:szCs w:val="24"/>
        </w:rPr>
        <w:t xml:space="preserve"> de la República, y por tanto, acreditar la infracción denunciada. Para esto resulta conveniente abordar lo sostenido por la Sala Superior al emitir la resolución (</w:t>
      </w:r>
      <w:r>
        <w:rPr>
          <w:rFonts w:ascii="Arial" w:eastAsia="Arial" w:hAnsi="Arial" w:cs="Arial"/>
          <w:sz w:val="24"/>
          <w:szCs w:val="24"/>
          <w:highlight w:val="white"/>
        </w:rPr>
        <w:t>SUP-JE-90/2022 Y SUP-JE-91/2022 ACUMULADOS)</w:t>
      </w:r>
      <w:r>
        <w:rPr>
          <w:rFonts w:ascii="Arial" w:eastAsia="Arial" w:hAnsi="Arial" w:cs="Arial"/>
          <w:sz w:val="24"/>
          <w:szCs w:val="24"/>
        </w:rPr>
        <w:t xml:space="preserve"> en la cual argumentó que, con independencia de la similitud de las controversias, no resulta jurídicamente posible equiparar los sentidos de un fallo ante la existencia de características distintas que no generan identidad, pues </w:t>
      </w:r>
      <w:r>
        <w:rPr>
          <w:rFonts w:ascii="Arial" w:eastAsia="Arial" w:hAnsi="Arial" w:cs="Arial"/>
          <w:b/>
          <w:sz w:val="24"/>
          <w:szCs w:val="24"/>
        </w:rPr>
        <w:t>cada problemática debe atenderse en lo particular.</w:t>
      </w:r>
    </w:p>
    <w:p w14:paraId="4E60D2B8" w14:textId="77777777" w:rsidR="008C67A0" w:rsidRDefault="007C1D0A">
      <w:pPr>
        <w:spacing w:before="240" w:after="240" w:line="360" w:lineRule="auto"/>
        <w:jc w:val="both"/>
        <w:rPr>
          <w:rFonts w:ascii="Arial" w:eastAsia="Arial" w:hAnsi="Arial" w:cs="Arial"/>
          <w:sz w:val="24"/>
          <w:szCs w:val="24"/>
        </w:rPr>
      </w:pPr>
      <w:r>
        <w:rPr>
          <w:rFonts w:ascii="Arial" w:eastAsia="Arial" w:hAnsi="Arial" w:cs="Arial"/>
          <w:sz w:val="24"/>
          <w:szCs w:val="24"/>
        </w:rPr>
        <w:t>De ahí que, como se explicó, en el presente asunto no existe la concurrencia de circunstancias que impliquen la necesidad de aplicar de forma análoga las consideraciones adoptadas en la sentencia (TEEA-PES-044/2022), como lo refiere la parte denunciante.</w:t>
      </w:r>
    </w:p>
    <w:p w14:paraId="7380B4BB" w14:textId="77777777" w:rsidR="008C67A0" w:rsidRDefault="007C1D0A">
      <w:pPr>
        <w:spacing w:before="240" w:after="240" w:line="360" w:lineRule="auto"/>
        <w:jc w:val="both"/>
        <w:rPr>
          <w:rFonts w:ascii="Arial" w:eastAsia="Arial" w:hAnsi="Arial" w:cs="Arial"/>
          <w:b/>
          <w:sz w:val="24"/>
          <w:szCs w:val="24"/>
        </w:rPr>
      </w:pPr>
      <w:r>
        <w:rPr>
          <w:rFonts w:ascii="Arial" w:eastAsia="Arial" w:hAnsi="Arial" w:cs="Arial"/>
          <w:sz w:val="24"/>
          <w:szCs w:val="24"/>
        </w:rPr>
        <w:t xml:space="preserve">Por lo expuesto, este Tribunal Electoral determina que </w:t>
      </w:r>
      <w:r>
        <w:rPr>
          <w:rFonts w:ascii="Arial" w:eastAsia="Arial" w:hAnsi="Arial" w:cs="Arial"/>
          <w:b/>
          <w:sz w:val="24"/>
          <w:szCs w:val="24"/>
        </w:rPr>
        <w:t>la infracción atribuida a</w:t>
      </w:r>
      <w:r>
        <w:rPr>
          <w:rFonts w:ascii="Arial" w:eastAsia="Arial" w:hAnsi="Arial" w:cs="Arial"/>
          <w:sz w:val="24"/>
          <w:szCs w:val="24"/>
        </w:rPr>
        <w:t xml:space="preserve"> la entonces candidata </w:t>
      </w:r>
      <w:r>
        <w:rPr>
          <w:rFonts w:ascii="Arial" w:eastAsia="Arial" w:hAnsi="Arial" w:cs="Arial"/>
          <w:b/>
          <w:sz w:val="24"/>
          <w:szCs w:val="24"/>
        </w:rPr>
        <w:t>Nora Ruvalcaba Gámez,</w:t>
      </w:r>
      <w:r>
        <w:rPr>
          <w:rFonts w:ascii="Arial" w:eastAsia="Arial" w:hAnsi="Arial" w:cs="Arial"/>
          <w:sz w:val="24"/>
          <w:szCs w:val="24"/>
        </w:rPr>
        <w:t xml:space="preserve"> consistente en la indebida utilización de la imagen del titular del Ejecutivo Federal, </w:t>
      </w:r>
      <w:r>
        <w:rPr>
          <w:rFonts w:ascii="Arial" w:eastAsia="Arial" w:hAnsi="Arial" w:cs="Arial"/>
          <w:b/>
          <w:sz w:val="24"/>
          <w:szCs w:val="24"/>
        </w:rPr>
        <w:t>es inexistente.</w:t>
      </w:r>
    </w:p>
    <w:p w14:paraId="112D6E1F" w14:textId="72A2C9BD" w:rsidR="008C67A0" w:rsidRPr="00D64E7A" w:rsidRDefault="007C1D0A" w:rsidP="00D64E7A">
      <w:pPr>
        <w:spacing w:before="240" w:after="240" w:line="360" w:lineRule="auto"/>
        <w:jc w:val="both"/>
        <w:rPr>
          <w:rFonts w:ascii="Arial" w:eastAsia="Arial" w:hAnsi="Arial" w:cs="Arial"/>
          <w:sz w:val="24"/>
          <w:szCs w:val="24"/>
        </w:rPr>
      </w:pPr>
      <w:r>
        <w:rPr>
          <w:rFonts w:ascii="Arial" w:eastAsia="Arial" w:hAnsi="Arial" w:cs="Arial"/>
          <w:b/>
          <w:sz w:val="24"/>
          <w:szCs w:val="24"/>
          <w:u w:val="single"/>
        </w:rPr>
        <w:t>3.2. Culpa in vigilando.</w:t>
      </w:r>
      <w:r>
        <w:rPr>
          <w:rFonts w:ascii="Arial" w:eastAsia="Arial" w:hAnsi="Arial" w:cs="Arial"/>
          <w:b/>
          <w:sz w:val="24"/>
          <w:szCs w:val="24"/>
        </w:rPr>
        <w:t xml:space="preserve"> </w:t>
      </w:r>
      <w:r>
        <w:rPr>
          <w:rFonts w:ascii="Arial" w:eastAsia="Arial" w:hAnsi="Arial" w:cs="Arial"/>
          <w:sz w:val="24"/>
          <w:szCs w:val="24"/>
        </w:rPr>
        <w:t>Este órgano jurisdiccional estima que, dado que no se acreditó la infracción denunciada en contra de la entonces candidata a la gubernatura del estado, Nora Ruvalcaba Gámez, debe desestimarse la r</w:t>
      </w:r>
      <w:r w:rsidR="00D64E7A">
        <w:rPr>
          <w:rFonts w:ascii="Arial" w:eastAsia="Arial" w:hAnsi="Arial" w:cs="Arial"/>
          <w:sz w:val="24"/>
          <w:szCs w:val="24"/>
        </w:rPr>
        <w:t>e</w:t>
      </w:r>
      <w:r>
        <w:rPr>
          <w:rFonts w:ascii="Arial" w:eastAsia="Arial" w:hAnsi="Arial" w:cs="Arial"/>
          <w:sz w:val="24"/>
          <w:szCs w:val="24"/>
        </w:rPr>
        <w:t>sponsabilidad imputada a Morena.</w:t>
      </w:r>
    </w:p>
    <w:p w14:paraId="16E65FC0" w14:textId="77777777" w:rsidR="008C67A0" w:rsidRDefault="007C1D0A">
      <w:pPr>
        <w:spacing w:line="360" w:lineRule="auto"/>
        <w:jc w:val="center"/>
        <w:rPr>
          <w:rFonts w:ascii="Arial" w:eastAsia="Arial" w:hAnsi="Arial" w:cs="Arial"/>
          <w:b/>
          <w:sz w:val="24"/>
          <w:szCs w:val="24"/>
        </w:rPr>
      </w:pPr>
      <w:r>
        <w:rPr>
          <w:rFonts w:ascii="Arial" w:eastAsia="Arial" w:hAnsi="Arial" w:cs="Arial"/>
          <w:b/>
          <w:sz w:val="24"/>
          <w:szCs w:val="24"/>
        </w:rPr>
        <w:t>VII. Resolutivos:</w:t>
      </w:r>
    </w:p>
    <w:p w14:paraId="1EF3FCFA" w14:textId="77777777" w:rsidR="008C67A0" w:rsidRDefault="008C67A0">
      <w:pPr>
        <w:pBdr>
          <w:top w:val="nil"/>
          <w:left w:val="nil"/>
          <w:bottom w:val="nil"/>
          <w:right w:val="nil"/>
          <w:between w:val="nil"/>
        </w:pBdr>
        <w:rPr>
          <w:color w:val="000000"/>
        </w:rPr>
      </w:pPr>
    </w:p>
    <w:p w14:paraId="113CCD74" w14:textId="77777777" w:rsidR="008C67A0" w:rsidRDefault="007C1D0A">
      <w:pPr>
        <w:spacing w:line="360" w:lineRule="auto"/>
        <w:jc w:val="both"/>
        <w:rPr>
          <w:rFonts w:ascii="Arial" w:eastAsia="Arial" w:hAnsi="Arial" w:cs="Arial"/>
          <w:sz w:val="24"/>
          <w:szCs w:val="24"/>
        </w:rPr>
      </w:pPr>
      <w:r>
        <w:rPr>
          <w:rFonts w:ascii="Arial" w:eastAsia="Arial" w:hAnsi="Arial" w:cs="Arial"/>
          <w:b/>
          <w:sz w:val="24"/>
          <w:szCs w:val="24"/>
        </w:rPr>
        <w:t xml:space="preserve">Primero. </w:t>
      </w:r>
      <w:r>
        <w:rPr>
          <w:rFonts w:ascii="Arial" w:eastAsia="Arial" w:hAnsi="Arial" w:cs="Arial"/>
          <w:sz w:val="24"/>
          <w:szCs w:val="24"/>
        </w:rPr>
        <w:t xml:space="preserve">Se declara la </w:t>
      </w:r>
      <w:r>
        <w:rPr>
          <w:rFonts w:ascii="Arial" w:eastAsia="Arial" w:hAnsi="Arial" w:cs="Arial"/>
          <w:b/>
          <w:sz w:val="24"/>
          <w:szCs w:val="24"/>
        </w:rPr>
        <w:t>inexistencia</w:t>
      </w:r>
      <w:r>
        <w:rPr>
          <w:rFonts w:ascii="Arial" w:eastAsia="Arial" w:hAnsi="Arial" w:cs="Arial"/>
          <w:sz w:val="24"/>
          <w:szCs w:val="24"/>
        </w:rPr>
        <w:t xml:space="preserve"> de</w:t>
      </w:r>
      <w:r>
        <w:rPr>
          <w:rFonts w:ascii="Arial" w:eastAsia="Arial" w:hAnsi="Arial" w:cs="Arial"/>
          <w:b/>
          <w:sz w:val="24"/>
          <w:szCs w:val="24"/>
        </w:rPr>
        <w:t xml:space="preserve"> </w:t>
      </w:r>
      <w:r>
        <w:rPr>
          <w:rFonts w:ascii="Arial" w:eastAsia="Arial" w:hAnsi="Arial" w:cs="Arial"/>
          <w:sz w:val="24"/>
          <w:szCs w:val="24"/>
        </w:rPr>
        <w:t>la infracción atribuida a Nora Ruvalcaba Gámez.</w:t>
      </w:r>
    </w:p>
    <w:p w14:paraId="64A28B51" w14:textId="77777777" w:rsidR="008C67A0" w:rsidRDefault="008C67A0">
      <w:pPr>
        <w:pBdr>
          <w:top w:val="nil"/>
          <w:left w:val="nil"/>
          <w:bottom w:val="nil"/>
          <w:right w:val="nil"/>
          <w:between w:val="nil"/>
        </w:pBdr>
        <w:rPr>
          <w:color w:val="000000"/>
        </w:rPr>
      </w:pPr>
    </w:p>
    <w:p w14:paraId="4AC79AC3" w14:textId="77777777" w:rsidR="008C67A0" w:rsidRDefault="007C1D0A">
      <w:pPr>
        <w:spacing w:line="360" w:lineRule="auto"/>
        <w:jc w:val="both"/>
        <w:rPr>
          <w:rFonts w:ascii="Arial" w:eastAsia="Arial" w:hAnsi="Arial" w:cs="Arial"/>
          <w:sz w:val="24"/>
          <w:szCs w:val="24"/>
        </w:rPr>
      </w:pPr>
      <w:r>
        <w:rPr>
          <w:rFonts w:ascii="Arial" w:eastAsia="Arial" w:hAnsi="Arial" w:cs="Arial"/>
          <w:b/>
          <w:sz w:val="24"/>
          <w:szCs w:val="24"/>
        </w:rPr>
        <w:t>Segundo.</w:t>
      </w:r>
      <w:r>
        <w:rPr>
          <w:rFonts w:ascii="Arial" w:eastAsia="Arial" w:hAnsi="Arial" w:cs="Arial"/>
          <w:sz w:val="24"/>
          <w:szCs w:val="24"/>
        </w:rPr>
        <w:t xml:space="preserve"> Se declara la </w:t>
      </w:r>
      <w:r>
        <w:rPr>
          <w:rFonts w:ascii="Arial" w:eastAsia="Arial" w:hAnsi="Arial" w:cs="Arial"/>
          <w:b/>
          <w:sz w:val="24"/>
          <w:szCs w:val="24"/>
        </w:rPr>
        <w:t xml:space="preserve">inexistencia </w:t>
      </w:r>
      <w:r>
        <w:rPr>
          <w:rFonts w:ascii="Arial" w:eastAsia="Arial" w:hAnsi="Arial" w:cs="Arial"/>
          <w:sz w:val="24"/>
          <w:szCs w:val="24"/>
        </w:rPr>
        <w:t xml:space="preserve">de la infracción consistente en </w:t>
      </w:r>
      <w:r>
        <w:rPr>
          <w:rFonts w:ascii="Arial" w:eastAsia="Arial" w:hAnsi="Arial" w:cs="Arial"/>
          <w:b/>
          <w:i/>
          <w:sz w:val="24"/>
          <w:szCs w:val="24"/>
        </w:rPr>
        <w:t>culpa in vigilando</w:t>
      </w:r>
      <w:r>
        <w:rPr>
          <w:rFonts w:ascii="Arial" w:eastAsia="Arial" w:hAnsi="Arial" w:cs="Arial"/>
          <w:sz w:val="24"/>
          <w:szCs w:val="24"/>
        </w:rPr>
        <w:t xml:space="preserve"> atribuida al partido político Morena.</w:t>
      </w:r>
    </w:p>
    <w:p w14:paraId="6688F9BD" w14:textId="77777777" w:rsidR="008C67A0" w:rsidRDefault="008C67A0">
      <w:pPr>
        <w:pBdr>
          <w:top w:val="nil"/>
          <w:left w:val="nil"/>
          <w:bottom w:val="nil"/>
          <w:right w:val="nil"/>
          <w:between w:val="nil"/>
        </w:pBdr>
        <w:rPr>
          <w:color w:val="000000"/>
        </w:rPr>
      </w:pPr>
    </w:p>
    <w:p w14:paraId="2FE1ABC4" w14:textId="77777777" w:rsidR="008C67A0" w:rsidRDefault="007C1D0A">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Notifíquese. </w:t>
      </w:r>
    </w:p>
    <w:p w14:paraId="7F874B73" w14:textId="77777777" w:rsidR="008C67A0" w:rsidRDefault="008C67A0">
      <w:pPr>
        <w:pBdr>
          <w:top w:val="nil"/>
          <w:left w:val="nil"/>
          <w:bottom w:val="nil"/>
          <w:right w:val="nil"/>
          <w:between w:val="nil"/>
        </w:pBdr>
        <w:rPr>
          <w:color w:val="000000"/>
        </w:rPr>
      </w:pPr>
    </w:p>
    <w:p w14:paraId="04668566" w14:textId="77777777" w:rsidR="008C67A0" w:rsidRDefault="007C1D0A">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lo resolvió el Tribunal Electoral del Estado de Aguascalientes, por unanimidad de votos de las </w:t>
      </w:r>
      <w:r>
        <w:rPr>
          <w:rFonts w:ascii="Arial" w:eastAsia="Arial" w:hAnsi="Arial" w:cs="Arial"/>
          <w:sz w:val="24"/>
          <w:szCs w:val="24"/>
        </w:rPr>
        <w:t xml:space="preserve">Magistradas y el </w:t>
      </w:r>
      <w:r>
        <w:rPr>
          <w:rFonts w:ascii="Arial" w:eastAsia="Arial" w:hAnsi="Arial" w:cs="Arial"/>
          <w:color w:val="000000"/>
          <w:sz w:val="24"/>
          <w:szCs w:val="24"/>
        </w:rPr>
        <w:t xml:space="preserve">Magistrado en funciones que lo integran, ante el </w:t>
      </w:r>
      <w:proofErr w:type="gramStart"/>
      <w:r>
        <w:rPr>
          <w:rFonts w:ascii="Arial" w:eastAsia="Arial" w:hAnsi="Arial" w:cs="Arial"/>
          <w:color w:val="000000"/>
          <w:sz w:val="24"/>
          <w:szCs w:val="24"/>
        </w:rPr>
        <w:t>Secretario General</w:t>
      </w:r>
      <w:proofErr w:type="gramEnd"/>
      <w:r>
        <w:rPr>
          <w:rFonts w:ascii="Arial" w:eastAsia="Arial" w:hAnsi="Arial" w:cs="Arial"/>
          <w:color w:val="000000"/>
          <w:sz w:val="24"/>
          <w:szCs w:val="24"/>
        </w:rPr>
        <w:t xml:space="preserve"> de Acuerdos, quien autoriza y da fe.</w:t>
      </w:r>
    </w:p>
    <w:p w14:paraId="7B9CA97D" w14:textId="77777777" w:rsidR="008C67A0" w:rsidRDefault="008C67A0">
      <w:pPr>
        <w:pBdr>
          <w:top w:val="nil"/>
          <w:left w:val="nil"/>
          <w:bottom w:val="nil"/>
          <w:right w:val="nil"/>
          <w:between w:val="nil"/>
        </w:pBdr>
        <w:rPr>
          <w:color w:val="000000"/>
        </w:rPr>
      </w:pPr>
    </w:p>
    <w:tbl>
      <w:tblPr>
        <w:tblStyle w:val="affa"/>
        <w:tblW w:w="9120" w:type="dxa"/>
        <w:jc w:val="center"/>
        <w:tblInd w:w="0" w:type="dxa"/>
        <w:tblLayout w:type="fixed"/>
        <w:tblLook w:val="0400" w:firstRow="0" w:lastRow="0" w:firstColumn="0" w:lastColumn="0" w:noHBand="0" w:noVBand="1"/>
      </w:tblPr>
      <w:tblGrid>
        <w:gridCol w:w="4559"/>
        <w:gridCol w:w="4561"/>
      </w:tblGrid>
      <w:tr w:rsidR="008C67A0" w14:paraId="4F0BDC4C" w14:textId="77777777">
        <w:trPr>
          <w:trHeight w:val="1211"/>
          <w:jc w:val="center"/>
        </w:trPr>
        <w:tc>
          <w:tcPr>
            <w:tcW w:w="9120" w:type="dxa"/>
            <w:gridSpan w:val="2"/>
            <w:shd w:val="clear" w:color="auto" w:fill="auto"/>
          </w:tcPr>
          <w:p w14:paraId="441F1A9E" w14:textId="6CE0DA8F" w:rsidR="008C67A0" w:rsidRDefault="007C1D0A">
            <w:pPr>
              <w:spacing w:line="360" w:lineRule="auto"/>
              <w:jc w:val="center"/>
              <w:rPr>
                <w:rFonts w:ascii="Arial" w:eastAsia="Arial" w:hAnsi="Arial" w:cs="Arial"/>
                <w:b/>
                <w:color w:val="000000"/>
                <w:sz w:val="24"/>
                <w:szCs w:val="24"/>
              </w:rPr>
            </w:pPr>
            <w:bookmarkStart w:id="4" w:name="_heading=h.3znysh7" w:colFirst="0" w:colLast="0"/>
            <w:bookmarkEnd w:id="4"/>
            <w:r>
              <w:rPr>
                <w:rFonts w:ascii="Arial" w:eastAsia="Arial" w:hAnsi="Arial" w:cs="Arial"/>
                <w:b/>
                <w:color w:val="000000"/>
                <w:sz w:val="24"/>
                <w:szCs w:val="24"/>
              </w:rPr>
              <w:lastRenderedPageBreak/>
              <w:t>MAGISTRADA PRESIDENTA</w:t>
            </w:r>
          </w:p>
          <w:p w14:paraId="784D0320" w14:textId="530294B0" w:rsidR="008C67A0" w:rsidRDefault="008C67A0">
            <w:pPr>
              <w:pBdr>
                <w:top w:val="nil"/>
                <w:left w:val="nil"/>
                <w:bottom w:val="nil"/>
                <w:right w:val="nil"/>
                <w:between w:val="nil"/>
              </w:pBdr>
              <w:rPr>
                <w:rFonts w:ascii="Times New Roman" w:eastAsia="Times New Roman" w:hAnsi="Times New Roman" w:cs="Times New Roman"/>
                <w:color w:val="000000"/>
                <w:sz w:val="24"/>
                <w:szCs w:val="24"/>
              </w:rPr>
            </w:pPr>
          </w:p>
          <w:p w14:paraId="2017E07D" w14:textId="07E68140" w:rsidR="008C67A0" w:rsidRDefault="007C1D0A" w:rsidP="00D64E7A">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tc>
      </w:tr>
      <w:tr w:rsidR="008C67A0" w14:paraId="4DAB4F3A" w14:textId="77777777">
        <w:trPr>
          <w:trHeight w:val="1549"/>
          <w:jc w:val="center"/>
        </w:trPr>
        <w:tc>
          <w:tcPr>
            <w:tcW w:w="4559" w:type="dxa"/>
            <w:shd w:val="clear" w:color="auto" w:fill="auto"/>
          </w:tcPr>
          <w:p w14:paraId="150F34FE" w14:textId="01E7DFB5" w:rsidR="008C67A0" w:rsidRDefault="007C1D0A">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03709E89" w14:textId="2A632479" w:rsidR="008C67A0" w:rsidRDefault="008C67A0">
            <w:pPr>
              <w:pBdr>
                <w:top w:val="nil"/>
                <w:left w:val="nil"/>
                <w:bottom w:val="nil"/>
                <w:right w:val="nil"/>
                <w:between w:val="nil"/>
              </w:pBdr>
              <w:rPr>
                <w:rFonts w:ascii="Times New Roman" w:eastAsia="Times New Roman" w:hAnsi="Times New Roman" w:cs="Times New Roman"/>
                <w:color w:val="000000"/>
                <w:sz w:val="24"/>
                <w:szCs w:val="24"/>
              </w:rPr>
            </w:pPr>
          </w:p>
          <w:p w14:paraId="127EB255" w14:textId="77777777" w:rsidR="008C67A0" w:rsidRDefault="007C1D0A">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218C2213" w14:textId="77777777" w:rsidR="008C67A0" w:rsidRDefault="007C1D0A">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shd w:val="clear" w:color="auto" w:fill="auto"/>
          </w:tcPr>
          <w:p w14:paraId="1803F96A" w14:textId="1F2E1F7E" w:rsidR="008C67A0" w:rsidRDefault="007C1D0A">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MAGISTRADO </w:t>
            </w:r>
          </w:p>
          <w:p w14:paraId="6B84080F" w14:textId="77777777" w:rsidR="008C67A0" w:rsidRDefault="008C67A0">
            <w:pPr>
              <w:rPr>
                <w:sz w:val="28"/>
                <w:szCs w:val="28"/>
              </w:rPr>
            </w:pPr>
          </w:p>
          <w:p w14:paraId="43361C43" w14:textId="77777777" w:rsidR="008C67A0" w:rsidRDefault="007C1D0A">
            <w:pPr>
              <w:jc w:val="center"/>
              <w:rPr>
                <w:rFonts w:ascii="Arial" w:eastAsia="Arial" w:hAnsi="Arial" w:cs="Arial"/>
                <w:b/>
                <w:color w:val="000000"/>
                <w:sz w:val="24"/>
                <w:szCs w:val="24"/>
              </w:rPr>
            </w:pPr>
            <w:r>
              <w:rPr>
                <w:rFonts w:ascii="Arial" w:eastAsia="Arial" w:hAnsi="Arial" w:cs="Arial"/>
                <w:b/>
                <w:color w:val="000000"/>
                <w:sz w:val="24"/>
                <w:szCs w:val="24"/>
              </w:rPr>
              <w:t xml:space="preserve">HÉCTOR SALVADOR </w:t>
            </w:r>
          </w:p>
          <w:p w14:paraId="0DE71713" w14:textId="77777777" w:rsidR="008C67A0" w:rsidRDefault="007C1D0A">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70D244EE" w14:textId="77777777" w:rsidR="008C67A0" w:rsidRDefault="008C67A0">
            <w:pPr>
              <w:rPr>
                <w:sz w:val="24"/>
                <w:szCs w:val="24"/>
              </w:rPr>
            </w:pPr>
          </w:p>
        </w:tc>
      </w:tr>
      <w:tr w:rsidR="008C67A0" w14:paraId="4471FFAD" w14:textId="77777777">
        <w:trPr>
          <w:jc w:val="center"/>
        </w:trPr>
        <w:tc>
          <w:tcPr>
            <w:tcW w:w="9120" w:type="dxa"/>
            <w:gridSpan w:val="2"/>
            <w:shd w:val="clear" w:color="auto" w:fill="auto"/>
          </w:tcPr>
          <w:p w14:paraId="400B4C25" w14:textId="1E022931" w:rsidR="008C67A0" w:rsidRDefault="007C1D0A">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SECRETARIO GENERAL DE ACUERDOS </w:t>
            </w:r>
          </w:p>
          <w:p w14:paraId="0C750CBF" w14:textId="3C991F85" w:rsidR="008C67A0" w:rsidRDefault="008C67A0">
            <w:pPr>
              <w:pBdr>
                <w:top w:val="nil"/>
                <w:left w:val="nil"/>
                <w:bottom w:val="nil"/>
                <w:right w:val="nil"/>
                <w:between w:val="nil"/>
              </w:pBdr>
              <w:rPr>
                <w:rFonts w:ascii="Times New Roman" w:eastAsia="Times New Roman" w:hAnsi="Times New Roman" w:cs="Times New Roman"/>
                <w:color w:val="000000"/>
                <w:sz w:val="24"/>
                <w:szCs w:val="24"/>
              </w:rPr>
            </w:pPr>
          </w:p>
          <w:p w14:paraId="0176C50C" w14:textId="77777777" w:rsidR="008C67A0" w:rsidRDefault="007C1D0A">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JESUS OCIEL BAENA SAUCEDO </w:t>
            </w:r>
          </w:p>
        </w:tc>
      </w:tr>
    </w:tbl>
    <w:p w14:paraId="646A7107" w14:textId="77777777" w:rsidR="008C67A0" w:rsidRDefault="008C67A0">
      <w:pPr>
        <w:spacing w:line="360" w:lineRule="auto"/>
        <w:rPr>
          <w:rFonts w:ascii="Arial" w:eastAsia="Arial" w:hAnsi="Arial" w:cs="Arial"/>
          <w:sz w:val="24"/>
          <w:szCs w:val="24"/>
        </w:rPr>
      </w:pPr>
    </w:p>
    <w:sectPr w:rsidR="008C67A0">
      <w:headerReference w:type="even" r:id="rId10"/>
      <w:headerReference w:type="default" r:id="rId11"/>
      <w:footerReference w:type="even" r:id="rId12"/>
      <w:footerReference w:type="default" r:id="rId13"/>
      <w:headerReference w:type="first" r:id="rId14"/>
      <w:footerReference w:type="first" r:id="rId15"/>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2AB77" w14:textId="77777777" w:rsidR="00D16381" w:rsidRDefault="00D16381">
      <w:r>
        <w:separator/>
      </w:r>
    </w:p>
  </w:endnote>
  <w:endnote w:type="continuationSeparator" w:id="0">
    <w:p w14:paraId="35D30871" w14:textId="77777777" w:rsidR="00D16381" w:rsidRDefault="00D16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1A4E9" w14:textId="77777777" w:rsidR="008C67A0" w:rsidRDefault="008C67A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341C0" w14:textId="77777777" w:rsidR="008C67A0" w:rsidRDefault="008C67A0">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B7AD7" w14:textId="77777777" w:rsidR="008C67A0" w:rsidRDefault="008C67A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95D3D" w14:textId="77777777" w:rsidR="00D16381" w:rsidRDefault="00D16381">
      <w:r>
        <w:separator/>
      </w:r>
    </w:p>
  </w:footnote>
  <w:footnote w:type="continuationSeparator" w:id="0">
    <w:p w14:paraId="100691B3" w14:textId="77777777" w:rsidR="00D16381" w:rsidRDefault="00D16381">
      <w:r>
        <w:continuationSeparator/>
      </w:r>
    </w:p>
  </w:footnote>
  <w:footnote w:id="1">
    <w:p w14:paraId="6282462F" w14:textId="77777777" w:rsidR="008C67A0" w:rsidRDefault="007C1D0A">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3ACB5C0E" w14:textId="77777777" w:rsidR="008C67A0" w:rsidRDefault="007C1D0A">
      <w:pPr>
        <w:jc w:val="both"/>
        <w:rPr>
          <w:rFonts w:ascii="Arial" w:eastAsia="Arial" w:hAnsi="Arial" w:cs="Arial"/>
        </w:rPr>
      </w:pPr>
      <w:r>
        <w:rPr>
          <w:vertAlign w:val="superscript"/>
        </w:rPr>
        <w:footnoteRef/>
      </w:r>
      <w:r>
        <w:rPr>
          <w:rFonts w:ascii="Arial" w:eastAsia="Arial" w:hAnsi="Arial" w:cs="Arial"/>
        </w:rPr>
        <w:t xml:space="preserve"> Todas las fechas corresponden al 2022, salvo precisión en contrario.</w:t>
      </w:r>
    </w:p>
  </w:footnote>
  <w:footnote w:id="3">
    <w:p w14:paraId="26975CE7" w14:textId="77777777" w:rsidR="008C67A0" w:rsidRDefault="007C1D0A">
      <w:pPr>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i/>
        </w:rPr>
        <w:t>Precampaña</w:t>
      </w:r>
      <w:r>
        <w:rPr>
          <w:rFonts w:ascii="Arial" w:eastAsia="Arial" w:hAnsi="Arial" w:cs="Arial"/>
        </w:rPr>
        <w:t xml:space="preserve">: Del 2 de enero al 10 de febrero; </w:t>
      </w:r>
      <w:proofErr w:type="spellStart"/>
      <w:r>
        <w:rPr>
          <w:rFonts w:ascii="Arial" w:eastAsia="Arial" w:hAnsi="Arial" w:cs="Arial"/>
        </w:rPr>
        <w:t>Intercampaña</w:t>
      </w:r>
      <w:proofErr w:type="spellEnd"/>
      <w:r>
        <w:rPr>
          <w:rFonts w:ascii="Arial" w:eastAsia="Arial" w:hAnsi="Arial" w:cs="Arial"/>
        </w:rPr>
        <w:t xml:space="preserve">: Del 11 de febrero al 2 de abril; </w:t>
      </w:r>
      <w:r>
        <w:rPr>
          <w:rFonts w:ascii="Arial" w:eastAsia="Arial" w:hAnsi="Arial" w:cs="Arial"/>
          <w:i/>
        </w:rPr>
        <w:t>Campaña</w:t>
      </w:r>
      <w:r>
        <w:rPr>
          <w:rFonts w:ascii="Arial" w:eastAsia="Arial" w:hAnsi="Arial" w:cs="Arial"/>
        </w:rPr>
        <w:t xml:space="preserve">: Del 3 de abril al 1 de junio; </w:t>
      </w:r>
      <w:r>
        <w:rPr>
          <w:rFonts w:ascii="Arial" w:eastAsia="Arial" w:hAnsi="Arial" w:cs="Arial"/>
          <w:i/>
        </w:rPr>
        <w:t>Veda Electoral</w:t>
      </w:r>
      <w:r>
        <w:rPr>
          <w:rFonts w:ascii="Arial" w:eastAsia="Arial" w:hAnsi="Arial" w:cs="Arial"/>
        </w:rPr>
        <w:t xml:space="preserve">: Tres días antes de la Jornada Electoral; </w:t>
      </w:r>
      <w:r>
        <w:rPr>
          <w:rFonts w:ascii="Arial" w:eastAsia="Arial" w:hAnsi="Arial" w:cs="Arial"/>
          <w:i/>
        </w:rPr>
        <w:t>Jornada Electoral</w:t>
      </w:r>
      <w:r>
        <w:rPr>
          <w:rFonts w:ascii="Arial" w:eastAsia="Arial" w:hAnsi="Arial" w:cs="Arial"/>
        </w:rPr>
        <w:t>: El 5 de junio.</w:t>
      </w:r>
    </w:p>
  </w:footnote>
  <w:footnote w:id="4">
    <w:p w14:paraId="17D3DF44" w14:textId="77777777" w:rsidR="008C67A0" w:rsidRDefault="007C1D0A">
      <w:pPr>
        <w:jc w:val="both"/>
        <w:rPr>
          <w:rFonts w:ascii="Arial" w:eastAsia="Arial" w:hAnsi="Arial" w:cs="Arial"/>
        </w:rPr>
      </w:pPr>
      <w:r>
        <w:rPr>
          <w:vertAlign w:val="superscript"/>
        </w:rPr>
        <w:footnoteRef/>
      </w:r>
      <w:r>
        <w:rPr>
          <w:rFonts w:ascii="Arial" w:eastAsia="Arial" w:hAnsi="Arial" w:cs="Arial"/>
        </w:rPr>
        <w:t xml:space="preserve"> Tal como se prevé en el artículo 274, fracción IV, del Código Electoral.</w:t>
      </w:r>
    </w:p>
  </w:footnote>
  <w:footnote w:id="5">
    <w:p w14:paraId="3628E2E9" w14:textId="77777777" w:rsidR="008C67A0" w:rsidRDefault="007C1D0A">
      <w:pPr>
        <w:jc w:val="both"/>
        <w:rPr>
          <w:rFonts w:ascii="Arial" w:eastAsia="Arial" w:hAnsi="Arial" w:cs="Arial"/>
        </w:rPr>
      </w:pPr>
      <w:r>
        <w:rPr>
          <w:vertAlign w:val="superscript"/>
        </w:rPr>
        <w:footnoteRef/>
      </w:r>
      <w:r>
        <w:rPr>
          <w:rFonts w:ascii="Arial" w:eastAsia="Arial" w:hAnsi="Arial" w:cs="Arial"/>
        </w:rPr>
        <w:t xml:space="preserve"> Artículo 270.- La denuncia deberá ser presentada ante la Secretaría Ejecutiva, para que ésta la examine junto con las pruebas aportadas. La denuncia será desechada de plano por la Secretaría Ejecutiva, sin prevención alguna, cuando: […]</w:t>
      </w:r>
    </w:p>
    <w:p w14:paraId="5995C8C1" w14:textId="77777777" w:rsidR="008C67A0" w:rsidRDefault="007C1D0A">
      <w:pPr>
        <w:jc w:val="both"/>
        <w:rPr>
          <w:rFonts w:ascii="Arial" w:eastAsia="Arial" w:hAnsi="Arial" w:cs="Arial"/>
        </w:rPr>
      </w:pPr>
      <w:r>
        <w:rPr>
          <w:rFonts w:ascii="Arial" w:eastAsia="Arial" w:hAnsi="Arial" w:cs="Arial"/>
        </w:rPr>
        <w:t>II. Los hechos denunciados no constituyan una violación en materia de propaganda político-electivo;</w:t>
      </w:r>
    </w:p>
    <w:p w14:paraId="62437239" w14:textId="77777777" w:rsidR="008C67A0" w:rsidRDefault="007C1D0A">
      <w:pPr>
        <w:jc w:val="both"/>
        <w:rPr>
          <w:rFonts w:ascii="Arial" w:eastAsia="Arial" w:hAnsi="Arial" w:cs="Arial"/>
        </w:rPr>
      </w:pPr>
      <w:r>
        <w:rPr>
          <w:rFonts w:ascii="Arial" w:eastAsia="Arial" w:hAnsi="Arial" w:cs="Arial"/>
        </w:rPr>
        <w:t>III. El denunciante no aporte ni ofrezca prueba alguna de sus dichos; […]</w:t>
      </w:r>
    </w:p>
    <w:p w14:paraId="5081D3F1" w14:textId="77777777" w:rsidR="008C67A0" w:rsidRDefault="007C1D0A">
      <w:pPr>
        <w:jc w:val="both"/>
        <w:rPr>
          <w:rFonts w:ascii="Arial" w:eastAsia="Arial" w:hAnsi="Arial" w:cs="Arial"/>
        </w:rPr>
      </w:pPr>
      <w:r>
        <w:rPr>
          <w:rFonts w:ascii="Arial" w:eastAsia="Arial" w:hAnsi="Arial" w:cs="Arial"/>
        </w:rPr>
        <w:t>V. La denuncia sea evidentemente frívola. […]</w:t>
      </w:r>
    </w:p>
    <w:p w14:paraId="1FAC9939" w14:textId="77777777" w:rsidR="008C67A0" w:rsidRDefault="008C67A0">
      <w:pPr>
        <w:rPr>
          <w:rFonts w:ascii="Arial" w:eastAsia="Arial" w:hAnsi="Arial" w:cs="Arial"/>
        </w:rPr>
      </w:pPr>
    </w:p>
  </w:footnote>
  <w:footnote w:id="6">
    <w:p w14:paraId="3B7EDCED" w14:textId="77777777" w:rsidR="008C67A0" w:rsidRDefault="007C1D0A">
      <w:pPr>
        <w:pBdr>
          <w:top w:val="nil"/>
          <w:left w:val="nil"/>
          <w:bottom w:val="nil"/>
          <w:right w:val="nil"/>
          <w:between w:val="nil"/>
        </w:pBdr>
        <w:jc w:val="both"/>
        <w:rPr>
          <w:rFonts w:ascii="Arial" w:eastAsia="Arial" w:hAnsi="Arial" w:cs="Arial"/>
          <w:i/>
          <w:color w:val="000000"/>
        </w:rPr>
      </w:pPr>
      <w:r>
        <w:rPr>
          <w:vertAlign w:val="superscript"/>
        </w:rPr>
        <w:footnoteRef/>
      </w:r>
      <w:r>
        <w:rPr>
          <w:rFonts w:ascii="Arial" w:eastAsia="Arial" w:hAnsi="Arial" w:cs="Arial"/>
          <w:color w:val="000000"/>
        </w:rPr>
        <w:t xml:space="preserve"> - </w:t>
      </w:r>
      <w:r>
        <w:rPr>
          <w:rFonts w:ascii="Arial" w:eastAsia="Arial" w:hAnsi="Arial" w:cs="Arial"/>
          <w:i/>
          <w:color w:val="000000"/>
        </w:rPr>
        <w:t xml:space="preserve">Prueba técnica: </w:t>
      </w:r>
      <w:r>
        <w:rPr>
          <w:rFonts w:ascii="Arial" w:eastAsia="Arial" w:hAnsi="Arial" w:cs="Arial"/>
          <w:color w:val="000000"/>
        </w:rPr>
        <w:t> De acuerdo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0CEE32F0" w14:textId="77777777" w:rsidR="008C67A0" w:rsidRDefault="007C1D0A">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Documental pública:</w:t>
      </w:r>
      <w:r>
        <w:rPr>
          <w:rFonts w:ascii="Arial" w:eastAsia="Arial" w:hAnsi="Arial" w:cs="Arial"/>
          <w:color w:val="000000"/>
        </w:rPr>
        <w:t xml:space="preserve"> De conformidad con el artículo 256, segundo párrafo del Código Electoral; Las documentales públicas tendrán valor probatorio pleno, salvo prueba en contrario respecto de su autenticidad o de la veracidad de los hechos a que se refieran. </w:t>
      </w:r>
    </w:p>
    <w:p w14:paraId="2924D590" w14:textId="77777777" w:rsidR="008C67A0" w:rsidRDefault="007C1D0A">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Presuncional e instrumental de actuaciones:</w:t>
      </w:r>
      <w:r>
        <w:rPr>
          <w:rFonts w:ascii="Arial" w:eastAsia="Arial" w:hAnsi="Arial" w:cs="Arial"/>
          <w:color w:val="000000"/>
        </w:rPr>
        <w:t xml:space="preserve"> En relación con las pruebas ofrecidas como </w:t>
      </w:r>
      <w:proofErr w:type="spellStart"/>
      <w:r>
        <w:rPr>
          <w:rFonts w:ascii="Arial" w:eastAsia="Arial" w:hAnsi="Arial" w:cs="Arial"/>
          <w:color w:val="000000"/>
        </w:rPr>
        <w:t>presuncional</w:t>
      </w:r>
      <w:proofErr w:type="spellEnd"/>
      <w:r>
        <w:rPr>
          <w:rFonts w:ascii="Arial" w:eastAsia="Arial" w:hAnsi="Arial" w:cs="Arial"/>
          <w:color w:val="000000"/>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0521CDE2" w14:textId="77777777" w:rsidR="008C67A0" w:rsidRDefault="008C67A0">
      <w:pPr>
        <w:pBdr>
          <w:top w:val="nil"/>
          <w:left w:val="nil"/>
          <w:bottom w:val="nil"/>
          <w:right w:val="nil"/>
          <w:between w:val="nil"/>
        </w:pBdr>
        <w:rPr>
          <w:rFonts w:ascii="Arial" w:eastAsia="Arial" w:hAnsi="Arial" w:cs="Arial"/>
          <w:color w:val="000000"/>
        </w:rPr>
      </w:pPr>
    </w:p>
  </w:footnote>
  <w:footnote w:id="7">
    <w:p w14:paraId="7CE3FF09" w14:textId="77777777" w:rsidR="008C67A0" w:rsidRDefault="007C1D0A">
      <w:pPr>
        <w:jc w:val="both"/>
        <w:rPr>
          <w:rFonts w:ascii="Arial" w:eastAsia="Arial" w:hAnsi="Arial" w:cs="Arial"/>
        </w:rPr>
      </w:pPr>
      <w:r>
        <w:rPr>
          <w:vertAlign w:val="superscript"/>
        </w:rPr>
        <w:footnoteRef/>
      </w:r>
      <w:r>
        <w:rPr>
          <w:rFonts w:ascii="Arial" w:eastAsia="Arial" w:hAnsi="Arial" w:cs="Arial"/>
        </w:rPr>
        <w:t xml:space="preserve"> Artículo 157.- La campaña electoral, para los efectos de este Código, es el conjunto de actividades llevadas a cabo por los partidos políticos, las coaliciones, candidaturas comunes y los candidatos registrados para la obtención del voto. [...]</w:t>
      </w:r>
      <w:r>
        <w:rPr>
          <w:rFonts w:ascii="Arial" w:eastAsia="Arial" w:hAnsi="Arial" w:cs="Arial"/>
        </w:rPr>
        <w:br/>
        <w:t>II. Propaganda electoral: El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 y [...]</w:t>
      </w:r>
    </w:p>
  </w:footnote>
  <w:footnote w:id="8">
    <w:p w14:paraId="51BBF55A" w14:textId="77777777" w:rsidR="008C67A0" w:rsidRDefault="007C1D0A">
      <w:pPr>
        <w:jc w:val="both"/>
        <w:rPr>
          <w:rFonts w:ascii="Arial" w:eastAsia="Arial" w:hAnsi="Arial" w:cs="Arial"/>
        </w:rPr>
      </w:pPr>
      <w:r>
        <w:rPr>
          <w:vertAlign w:val="superscript"/>
        </w:rPr>
        <w:footnoteRef/>
      </w:r>
      <w:r>
        <w:rPr>
          <w:rFonts w:ascii="Arial" w:eastAsia="Arial" w:hAnsi="Arial" w:cs="Arial"/>
        </w:rPr>
        <w:t xml:space="preserve"> Artículo 26.- Los partidos políticos, precandidatos y candidatos, dentro del periodo de las precampañas y campañas políticas y hasta inclusive la jornada electoral, no podrán utilizar o publicitar la obra pública de gobierno, la imagen personal de quienes son titulares de los poderes ejecutivos Federal y Estatal y presidentes municipales, recursos, servicios e influencias de servidores públicos que sean emanados de las filas del partido político o que se demuestre que tenga relación con el mismo; para tal efecto, el Consejo, previa comprobación de los hechos, ordenará el retiro o suspensión de las acciones que contravengan esta disposición y dará vista a la autoridad competente.</w:t>
      </w:r>
    </w:p>
  </w:footnote>
  <w:footnote w:id="9">
    <w:p w14:paraId="32C06BEA" w14:textId="77777777" w:rsidR="008C67A0" w:rsidRDefault="007C1D0A">
      <w:pPr>
        <w:jc w:val="both"/>
      </w:pPr>
      <w:r>
        <w:rPr>
          <w:vertAlign w:val="superscript"/>
        </w:rPr>
        <w:footnoteRef/>
      </w:r>
      <w:r>
        <w:t xml:space="preserve"> </w:t>
      </w:r>
      <w:r>
        <w:rPr>
          <w:rFonts w:ascii="Arial" w:eastAsia="Arial" w:hAnsi="Arial" w:cs="Arial"/>
        </w:rPr>
        <w:t xml:space="preserve">Jurisprudencia 12/2015, de rubro: </w:t>
      </w:r>
      <w:r>
        <w:rPr>
          <w:rFonts w:ascii="Arial" w:eastAsia="Arial" w:hAnsi="Arial" w:cs="Arial"/>
          <w:i/>
        </w:rPr>
        <w:t>“PROPAGANDA PERSONALIZADA DE LOS SERVIDORES PÚBLICOS. ELEMENTOS PARA IDENTIFICARLA”</w:t>
      </w:r>
      <w:r>
        <w:rPr>
          <w:rFonts w:ascii="Arial" w:eastAsia="Arial" w:hAnsi="Arial" w:cs="Arial"/>
        </w:rPr>
        <w:t>.-</w:t>
      </w:r>
      <w:r>
        <w:rPr>
          <w:rFonts w:ascii="Arial" w:eastAsia="Arial" w:hAnsi="Arial" w:cs="Arial"/>
          <w:b/>
        </w:rPr>
        <w:t xml:space="preserve"> </w:t>
      </w:r>
      <w:r>
        <w:rPr>
          <w:rFonts w:ascii="Arial" w:eastAsia="Arial" w:hAnsi="Arial" w:cs="Arial"/>
        </w:rPr>
        <w:t xml:space="preserve">En términos de lo dispuesto en los párrafos séptimo y octavo del artículo 134 de la Constitución Política de los Estados Unidos Mexicanos, la obligación de aplicar con imparcialidad los recursos públicos que les son asignados a los sujetos de derecho que se mencionan en ese precepto, tiene como finalidad sustancial establecer una prohibición concreta para la promoción personalizada de los servidores públicos, cualquiera que sea el medio para su difusión, a fin de evitar que se influya en la equidad de la contienda electoral. En ese sentido, a efecto de identificar si la propaganda es susceptible de vulnerar el mandato constitucional, debe atenderse a los elementos siguientes: </w:t>
      </w:r>
      <w:r>
        <w:rPr>
          <w:rFonts w:ascii="Arial" w:eastAsia="Arial" w:hAnsi="Arial" w:cs="Arial"/>
          <w:b/>
        </w:rPr>
        <w:t>a) Personal. Que deriva esencialmente en la emisión de voces, imágenes o símbolos que hagan plenamente identificable al servidor público</w:t>
      </w:r>
      <w:r>
        <w:rPr>
          <w:rFonts w:ascii="Arial" w:eastAsia="Arial" w:hAnsi="Arial" w:cs="Arial"/>
        </w:rPr>
        <w:t xml:space="preserve">; b) Objetivo. Que impone el análisis del contenido del mensaje a través del medio de comunicación social de que se trate, para determinar si de manera efectiva revela un ejercicio de promoción personalizada susceptible de actualizar la infracción constitucional correspondiente, y c) Temporal. Pues resulta relevante establecer si la promoción se efectuó iniciado formalmente el proceso electoral o se llevó a cabo fuera del mismo, ya que si la promoción se verificó dentro del proceso, se genera la presunción de que la propaganda tuvo el propósito de incidir en la contienda, lo que se incrementa cuando se da en el período de campañas; sin que dicho período pueda considerarse el único o determinante para la actualización de la infracción, ya que puede suscitarse fuera del proceso, en el cual será necesario realizar un análisis de la proximidad del debate, para estar en posibilidad de determinar adecuadamente si la propaganda influye en el proceso electivo. </w:t>
      </w:r>
      <w:r>
        <w:rPr>
          <w:rFonts w:ascii="Arial" w:eastAsia="Arial" w:hAnsi="Arial" w:cs="Arial"/>
        </w:rPr>
        <w:br/>
        <w:t>Visible en la Gaceta de Jurisprudencia y Tesis en materia electoral del Tribunal Electoral del Poder Judicial de la Federación, año 8, número 16, 2015, páginas 28 y 29.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D21B6" w14:textId="37AE36B6" w:rsidR="008C67A0" w:rsidRDefault="00D16381">
    <w:pPr>
      <w:pBdr>
        <w:top w:val="nil"/>
        <w:left w:val="nil"/>
        <w:bottom w:val="nil"/>
        <w:right w:val="nil"/>
        <w:between w:val="nil"/>
      </w:pBdr>
      <w:tabs>
        <w:tab w:val="center" w:pos="4419"/>
        <w:tab w:val="right" w:pos="8838"/>
      </w:tabs>
      <w:rPr>
        <w:color w:val="000000"/>
      </w:rPr>
    </w:pPr>
    <w:r>
      <w:rPr>
        <w:noProof/>
      </w:rPr>
      <w:pict w14:anchorId="7975CF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53922" o:spid="_x0000_s1026" type="#_x0000_t136" style="position:absolute;margin-left:0;margin-top:0;width:591.85pt;height:91.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7C1D0A">
      <w:rPr>
        <w:noProof/>
        <w:color w:val="000000"/>
      </w:rPr>
      <mc:AlternateContent>
        <mc:Choice Requires="wps">
          <w:drawing>
            <wp:anchor distT="0" distB="0" distL="0" distR="0" simplePos="0" relativeHeight="251658240" behindDoc="1" locked="0" layoutInCell="1" hidden="0" allowOverlap="1" wp14:anchorId="05E2FCFF" wp14:editId="70107D9A">
              <wp:simplePos x="0" y="0"/>
              <wp:positionH relativeFrom="margin">
                <wp:align>center</wp:align>
              </wp:positionH>
              <wp:positionV relativeFrom="margin">
                <wp:align>center</wp:align>
              </wp:positionV>
              <wp:extent cx="63784586" cy="63784586"/>
              <wp:effectExtent l="0" t="0" r="0" b="0"/>
              <wp:wrapNone/>
              <wp:docPr id="75" name="Rectángulo 75"/>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a:noFill/>
                      <a:ln>
                        <a:noFill/>
                      </a:ln>
                    </wps:spPr>
                    <wps:txbx>
                      <w:txbxContent>
                        <w:p w14:paraId="5680EEB3" w14:textId="77777777" w:rsidR="008C67A0" w:rsidRDefault="007C1D0A">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05E2FCFF" id="Rectángulo 75" o:spid="_x0000_s1026" style="position:absolute;margin-left:0;margin-top:0;width:5022.4pt;height:5022.4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" filled="f" stroked="f">
              <v:textbox inset="2.53958mm,2.53958mm,2.53958mm,2.53958mm">
                <w:txbxContent>
                  <w:p w14:paraId="5680EEB3" w14:textId="77777777" w:rsidR="008C67A0" w:rsidRDefault="007C1D0A">
                    <w:pPr>
                      <w:jc w:val="center"/>
                      <w:textDirection w:val="btLr"/>
                    </w:pPr>
                    <w:r>
                      <w:rPr>
                        <w:rFonts w:ascii="Arial" w:eastAsia="Arial" w:hAnsi="Arial" w:cs="Arial"/>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39AC1" w14:textId="402F5850" w:rsidR="008C67A0" w:rsidRDefault="00D16381">
    <w:pPr>
      <w:pBdr>
        <w:top w:val="nil"/>
        <w:left w:val="nil"/>
        <w:bottom w:val="nil"/>
        <w:right w:val="nil"/>
        <w:between w:val="nil"/>
      </w:pBdr>
      <w:tabs>
        <w:tab w:val="center" w:pos="4419"/>
        <w:tab w:val="right" w:pos="8838"/>
      </w:tabs>
    </w:pPr>
    <w:r>
      <w:rPr>
        <w:noProof/>
      </w:rPr>
      <w:pict w14:anchorId="5A6A6E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53923" o:spid="_x0000_s1027" type="#_x0000_t136" style="position:absolute;margin-left:0;margin-top:0;width:591.85pt;height:91.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sdt>
    <w:sdtPr>
      <w:id w:val="-1390869186"/>
      <w:docPartObj>
        <w:docPartGallery w:val="Page Numbers (Margins)"/>
        <w:docPartUnique/>
      </w:docPartObj>
    </w:sdtPr>
    <w:sdtEndPr/>
    <w:sdtContent>
      <w:p w14:paraId="4241703B" w14:textId="77777777" w:rsidR="008C67A0" w:rsidRDefault="006209AD">
        <w:pPr>
          <w:pBdr>
            <w:top w:val="nil"/>
            <w:left w:val="nil"/>
            <w:bottom w:val="nil"/>
            <w:right w:val="nil"/>
            <w:between w:val="nil"/>
          </w:pBdr>
          <w:tabs>
            <w:tab w:val="center" w:pos="4419"/>
            <w:tab w:val="right" w:pos="8838"/>
          </w:tabs>
        </w:pPr>
        <w:r>
          <w:rPr>
            <w:noProof/>
          </w:rPr>
          <mc:AlternateContent>
            <mc:Choice Requires="wps">
              <w:drawing>
                <wp:anchor distT="0" distB="0" distL="114300" distR="114300" simplePos="0" relativeHeight="251660288" behindDoc="0" locked="0" layoutInCell="0" allowOverlap="1" wp14:anchorId="3CE890FA" wp14:editId="0C28F8B0">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10E98DE" w14:textId="77777777" w:rsidR="006209AD" w:rsidRDefault="006209AD">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E890FA" id="Rectángulo 1" o:spid="_x0000_s1027"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10E98DE" w14:textId="77777777" w:rsidR="006209AD" w:rsidRDefault="006209AD">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0594B961" w14:textId="77777777" w:rsidR="008C67A0" w:rsidRDefault="008C67A0">
    <w:pPr>
      <w:pBdr>
        <w:top w:val="nil"/>
        <w:left w:val="nil"/>
        <w:bottom w:val="nil"/>
        <w:right w:val="nil"/>
        <w:between w:val="nil"/>
      </w:pBdr>
      <w:tabs>
        <w:tab w:val="center" w:pos="4419"/>
        <w:tab w:val="right" w:pos="8838"/>
      </w:tabs>
    </w:pPr>
  </w:p>
  <w:p w14:paraId="35987ADB" w14:textId="77777777" w:rsidR="008C67A0" w:rsidRDefault="008C67A0">
    <w:pPr>
      <w:pBdr>
        <w:top w:val="nil"/>
        <w:left w:val="nil"/>
        <w:bottom w:val="nil"/>
        <w:right w:val="nil"/>
        <w:between w:val="nil"/>
      </w:pBdr>
      <w:tabs>
        <w:tab w:val="center" w:pos="4419"/>
        <w:tab w:val="right" w:pos="8838"/>
      </w:tabs>
    </w:pPr>
  </w:p>
  <w:p w14:paraId="35ADFB60" w14:textId="77777777" w:rsidR="008C67A0" w:rsidRDefault="007C1D0A">
    <w:pPr>
      <w:pBdr>
        <w:top w:val="nil"/>
        <w:left w:val="nil"/>
        <w:bottom w:val="nil"/>
        <w:right w:val="nil"/>
        <w:between w:val="nil"/>
      </w:pBdr>
      <w:tabs>
        <w:tab w:val="center" w:pos="4419"/>
        <w:tab w:val="right" w:pos="8838"/>
      </w:tabs>
      <w:rPr>
        <w:color w:val="000000"/>
      </w:rPr>
    </w:pPr>
    <w:r>
      <w:rPr>
        <w:noProof/>
        <w:color w:val="000000"/>
      </w:rPr>
      <w:drawing>
        <wp:inline distT="0" distB="0" distL="0" distR="0" wp14:anchorId="43AF7B46" wp14:editId="3E190FDC">
          <wp:extent cx="995527" cy="1154534"/>
          <wp:effectExtent l="0" t="0" r="0" b="0"/>
          <wp:docPr id="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A0371" w14:textId="443658B5" w:rsidR="008C67A0" w:rsidRDefault="00D16381">
    <w:pPr>
      <w:pBdr>
        <w:top w:val="nil"/>
        <w:left w:val="nil"/>
        <w:bottom w:val="nil"/>
        <w:right w:val="nil"/>
        <w:between w:val="nil"/>
      </w:pBdr>
      <w:tabs>
        <w:tab w:val="center" w:pos="4419"/>
        <w:tab w:val="right" w:pos="8838"/>
      </w:tabs>
      <w:rPr>
        <w:color w:val="000000"/>
      </w:rPr>
    </w:pPr>
    <w:r>
      <w:rPr>
        <w:noProof/>
      </w:rPr>
      <w:pict w14:anchorId="3BEE68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53921" o:spid="_x0000_s1025" type="#_x0000_t136" style="position:absolute;margin-left:0;margin-top:0;width:591.85pt;height:91.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34B87"/>
    <w:multiLevelType w:val="multilevel"/>
    <w:tmpl w:val="5F56057E"/>
    <w:lvl w:ilvl="0">
      <w:start w:val="1"/>
      <w:numFmt w:val="decimal"/>
      <w:lvlText w:val="%1."/>
      <w:lvlJc w:val="left"/>
      <w:pPr>
        <w:ind w:left="480" w:hanging="48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1" w15:restartNumberingAfterBreak="0">
    <w:nsid w:val="10873A06"/>
    <w:multiLevelType w:val="multilevel"/>
    <w:tmpl w:val="8EC8108E"/>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4F774BF"/>
    <w:multiLevelType w:val="multilevel"/>
    <w:tmpl w:val="1D7EE2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D0D2728"/>
    <w:multiLevelType w:val="multilevel"/>
    <w:tmpl w:val="CB3E88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00050974">
    <w:abstractNumId w:val="2"/>
  </w:num>
  <w:num w:numId="2" w16cid:durableId="1160198850">
    <w:abstractNumId w:val="0"/>
  </w:num>
  <w:num w:numId="3" w16cid:durableId="1130779345">
    <w:abstractNumId w:val="1"/>
  </w:num>
  <w:num w:numId="4" w16cid:durableId="822666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7A0"/>
    <w:rsid w:val="004A74E9"/>
    <w:rsid w:val="005A59A3"/>
    <w:rsid w:val="006209AD"/>
    <w:rsid w:val="00620B97"/>
    <w:rsid w:val="007C1D0A"/>
    <w:rsid w:val="00874D34"/>
    <w:rsid w:val="008C67A0"/>
    <w:rsid w:val="00BD3D4E"/>
    <w:rsid w:val="00D16381"/>
    <w:rsid w:val="00D530E3"/>
    <w:rsid w:val="00D64E7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40EA3"/>
  <w15:docId w15:val="{B7349D3A-9F53-414A-93FE-1BACB00E1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7"/>
    <w:tblPr>
      <w:tblStyleRowBandSize w:val="1"/>
      <w:tblStyleColBandSize w:val="1"/>
      <w:tblCellMar>
        <w:left w:w="115" w:type="dxa"/>
        <w:right w:w="115" w:type="dxa"/>
      </w:tblCellMar>
    </w:tblPr>
  </w:style>
  <w:style w:type="table" w:customStyle="1" w:styleId="a0">
    <w:basedOn w:val="TableNormal7"/>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7"/>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7"/>
    <w:tblPr>
      <w:tblStyleRowBandSize w:val="1"/>
      <w:tblStyleColBandSize w:val="1"/>
      <w:tblCellMar>
        <w:left w:w="115" w:type="dxa"/>
        <w:right w:w="115" w:type="dxa"/>
      </w:tblCellMar>
    </w:tblPr>
  </w:style>
  <w:style w:type="paragraph" w:styleId="Sinespaciado">
    <w:name w:val="No Spacing"/>
    <w:uiPriority w:val="1"/>
    <w:qFormat/>
    <w:rsid w:val="00CA1ACF"/>
  </w:style>
  <w:style w:type="table" w:styleId="Tabladelista4">
    <w:name w:val="List Table 4"/>
    <w:basedOn w:val="Tablanormal"/>
    <w:uiPriority w:val="49"/>
    <w:rsid w:val="00CA1A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4">
    <w:name w:val="Grid Table 4"/>
    <w:basedOn w:val="Tablanormal"/>
    <w:uiPriority w:val="49"/>
    <w:rsid w:val="00CA1A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89131C"/>
    <w:pPr>
      <w:ind w:left="720"/>
      <w:contextualSpacing/>
    </w:pPr>
  </w:style>
  <w:style w:type="table" w:customStyle="1" w:styleId="a3">
    <w:basedOn w:val="TableNormal7"/>
    <w:rPr>
      <w:color w:val="7B7B7B"/>
    </w:rPr>
    <w:tblPr>
      <w:tblStyleRowBandSize w:val="1"/>
      <w:tblStyleColBandSize w:val="1"/>
      <w:tblCellMar>
        <w:left w:w="115" w:type="dxa"/>
        <w:right w:w="115" w:type="dxa"/>
      </w:tblCellMar>
    </w:tblPr>
    <w:tcPr>
      <w:shd w:val="clear" w:color="auto" w:fill="DEEBF6"/>
    </w:tcPr>
  </w:style>
  <w:style w:type="table" w:customStyle="1" w:styleId="a4">
    <w:basedOn w:val="TableNormal7"/>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5">
    <w:basedOn w:val="TableNormal7"/>
    <w:rPr>
      <w:color w:val="7B7B7B"/>
    </w:rPr>
    <w:tblPr>
      <w:tblStyleRowBandSize w:val="1"/>
      <w:tblStyleColBandSize w:val="1"/>
      <w:tblCellMar>
        <w:left w:w="115" w:type="dxa"/>
        <w:right w:w="115" w:type="dxa"/>
      </w:tblCellMar>
    </w:tblPr>
    <w:tcPr>
      <w:shd w:val="clear" w:color="auto" w:fill="DEEBF6"/>
    </w:tcPr>
  </w:style>
  <w:style w:type="table" w:styleId="Tablaconcuadrcula">
    <w:name w:val="Table Grid"/>
    <w:basedOn w:val="Tablanormal"/>
    <w:uiPriority w:val="39"/>
    <w:rsid w:val="00E509F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E509F9"/>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E509F9"/>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E509F9"/>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E509F9"/>
    <w:rPr>
      <w:vertAlign w:val="superscript"/>
    </w:rPr>
  </w:style>
  <w:style w:type="table" w:customStyle="1" w:styleId="Tabladecuadrcula4-nfasis31">
    <w:name w:val="Tabla de cuadrícula 4 - Énfasis 31"/>
    <w:basedOn w:val="Tablanormal"/>
    <w:next w:val="Tablaconcuadrcula4-nfasis3"/>
    <w:uiPriority w:val="49"/>
    <w:rsid w:val="00E509F9"/>
    <w:rPr>
      <w:rFonts w:asciiTheme="minorHAnsi" w:eastAsiaTheme="minorHAnsi" w:hAnsiTheme="minorHAnsi" w:cstheme="minorBid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509F9"/>
    <w:pPr>
      <w:jc w:val="both"/>
    </w:pPr>
    <w:rPr>
      <w:vertAlign w:val="superscript"/>
    </w:rPr>
  </w:style>
  <w:style w:type="character" w:styleId="Hipervnculo">
    <w:name w:val="Hyperlink"/>
    <w:basedOn w:val="Fuentedeprrafopredeter"/>
    <w:uiPriority w:val="99"/>
    <w:unhideWhenUsed/>
    <w:rsid w:val="00E509F9"/>
    <w:rPr>
      <w:color w:val="0000FF" w:themeColor="hyperlink"/>
      <w:u w:val="single"/>
    </w:rPr>
  </w:style>
  <w:style w:type="table" w:styleId="Tablaconcuadrcula4-nfasis3">
    <w:name w:val="Grid Table 4 Accent 3"/>
    <w:basedOn w:val="Tablanormal"/>
    <w:uiPriority w:val="49"/>
    <w:rsid w:val="00E509F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a6">
    <w:basedOn w:val="TableNormal6"/>
    <w:rPr>
      <w:color w:val="7B7B7B"/>
    </w:rPr>
    <w:tblPr>
      <w:tblStyleRowBandSize w:val="1"/>
      <w:tblStyleColBandSize w:val="1"/>
      <w:tblCellMar>
        <w:left w:w="115" w:type="dxa"/>
        <w:right w:w="115" w:type="dxa"/>
      </w:tblCellMar>
    </w:tblPr>
    <w:tcPr>
      <w:shd w:val="clear" w:color="auto" w:fill="DEEBF6"/>
    </w:tcPr>
  </w:style>
  <w:style w:type="table" w:customStyle="1" w:styleId="a7">
    <w:basedOn w:val="TableNormal6"/>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8">
    <w:basedOn w:val="TableNormal6"/>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9">
    <w:basedOn w:val="TableNormal6"/>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a">
    <w:basedOn w:val="TableNormal6"/>
    <w:tblPr>
      <w:tblStyleRowBandSize w:val="1"/>
      <w:tblStyleColBandSize w:val="1"/>
      <w:tblCellMar>
        <w:left w:w="115" w:type="dxa"/>
        <w:right w:w="115" w:type="dxa"/>
      </w:tblCellMar>
    </w:tblPr>
  </w:style>
  <w:style w:type="table" w:customStyle="1" w:styleId="ab">
    <w:basedOn w:val="TableNormal6"/>
    <w:rPr>
      <w:color w:val="7B7B7B"/>
    </w:rPr>
    <w:tblPr>
      <w:tblStyleRowBandSize w:val="1"/>
      <w:tblStyleColBandSize w:val="1"/>
      <w:tblCellMar>
        <w:left w:w="115" w:type="dxa"/>
        <w:right w:w="115" w:type="dxa"/>
      </w:tblCellMar>
    </w:tblPr>
    <w:tcPr>
      <w:shd w:val="clear" w:color="auto" w:fill="DEEBF6"/>
    </w:tcPr>
  </w:style>
  <w:style w:type="paragraph" w:styleId="NormalWeb">
    <w:name w:val="Normal (Web)"/>
    <w:basedOn w:val="Normal"/>
    <w:uiPriority w:val="99"/>
    <w:unhideWhenUsed/>
    <w:rsid w:val="00E85853"/>
    <w:pPr>
      <w:spacing w:before="100" w:beforeAutospacing="1" w:after="100" w:afterAutospacing="1"/>
    </w:pPr>
    <w:rPr>
      <w:sz w:val="24"/>
      <w:szCs w:val="24"/>
    </w:rPr>
  </w:style>
  <w:style w:type="table" w:customStyle="1" w:styleId="ac">
    <w:basedOn w:val="TableNormal5"/>
    <w:rPr>
      <w:color w:val="7B7B7B"/>
    </w:rPr>
    <w:tblPr>
      <w:tblStyleRowBandSize w:val="1"/>
      <w:tblStyleColBandSize w:val="1"/>
      <w:tblCellMar>
        <w:left w:w="115" w:type="dxa"/>
        <w:right w:w="115" w:type="dxa"/>
      </w:tblCellMar>
    </w:tblPr>
    <w:tcPr>
      <w:shd w:val="clear" w:color="auto" w:fill="DEEBF6"/>
    </w:tcPr>
  </w:style>
  <w:style w:type="table" w:customStyle="1" w:styleId="ad">
    <w:basedOn w:val="TableNormal5"/>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e">
    <w:basedOn w:val="TableNormal5"/>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
    <w:basedOn w:val="TableNormal5"/>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0">
    <w:basedOn w:val="TableNormal5"/>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paragraph" w:styleId="Piedepgina">
    <w:name w:val="footer"/>
    <w:basedOn w:val="Normal"/>
    <w:link w:val="PiedepginaCar"/>
    <w:uiPriority w:val="99"/>
    <w:unhideWhenUsed/>
    <w:rsid w:val="00982A09"/>
    <w:pPr>
      <w:tabs>
        <w:tab w:val="center" w:pos="4419"/>
        <w:tab w:val="right" w:pos="8838"/>
      </w:tabs>
    </w:pPr>
  </w:style>
  <w:style w:type="character" w:customStyle="1" w:styleId="PiedepginaCar">
    <w:name w:val="Pie de página Car"/>
    <w:basedOn w:val="Fuentedeprrafopredeter"/>
    <w:link w:val="Piedepgina"/>
    <w:uiPriority w:val="99"/>
    <w:rsid w:val="00982A09"/>
  </w:style>
  <w:style w:type="paragraph" w:styleId="Encabezado">
    <w:name w:val="header"/>
    <w:basedOn w:val="Normal"/>
    <w:link w:val="EncabezadoCar"/>
    <w:uiPriority w:val="99"/>
    <w:unhideWhenUsed/>
    <w:rsid w:val="00982A09"/>
    <w:pPr>
      <w:tabs>
        <w:tab w:val="center" w:pos="4419"/>
        <w:tab w:val="right" w:pos="8838"/>
      </w:tabs>
    </w:pPr>
  </w:style>
  <w:style w:type="character" w:customStyle="1" w:styleId="EncabezadoCar">
    <w:name w:val="Encabezado Car"/>
    <w:basedOn w:val="Fuentedeprrafopredeter"/>
    <w:link w:val="Encabezado"/>
    <w:uiPriority w:val="99"/>
    <w:rsid w:val="00982A09"/>
  </w:style>
  <w:style w:type="character" w:styleId="Mencinsinresolver">
    <w:name w:val="Unresolved Mention"/>
    <w:basedOn w:val="Fuentedeprrafopredeter"/>
    <w:uiPriority w:val="99"/>
    <w:semiHidden/>
    <w:unhideWhenUsed/>
    <w:rsid w:val="000D4DFF"/>
    <w:rPr>
      <w:color w:val="605E5C"/>
      <w:shd w:val="clear" w:color="auto" w:fill="E1DFDD"/>
    </w:rPr>
  </w:style>
  <w:style w:type="table" w:customStyle="1" w:styleId="af1">
    <w:basedOn w:val="TableNormal4"/>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2">
    <w:basedOn w:val="TableNormal4"/>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3">
    <w:basedOn w:val="TableNormal4"/>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4">
    <w:basedOn w:val="TableNormal4"/>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5">
    <w:basedOn w:val="TableNormal4"/>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6">
    <w:basedOn w:val="TableNormal3"/>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7">
    <w:basedOn w:val="TableNormal3"/>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8">
    <w:basedOn w:val="TableNormal3"/>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9">
    <w:basedOn w:val="TableNormal3"/>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a">
    <w:basedOn w:val="TableNormal3"/>
    <w:tblPr>
      <w:tblStyleRowBandSize w:val="1"/>
      <w:tblStyleColBandSize w:val="1"/>
      <w:tblCellMar>
        <w:top w:w="100" w:type="dxa"/>
        <w:left w:w="100" w:type="dxa"/>
        <w:bottom w:w="100" w:type="dxa"/>
        <w:right w:w="100" w:type="dxa"/>
      </w:tblCellMar>
    </w:tblPr>
  </w:style>
  <w:style w:type="table" w:customStyle="1" w:styleId="afb">
    <w:basedOn w:val="TableNormal3"/>
    <w:tblPr>
      <w:tblStyleRowBandSize w:val="1"/>
      <w:tblStyleColBandSize w:val="1"/>
      <w:tblCellMar>
        <w:left w:w="115" w:type="dxa"/>
        <w:right w:w="115" w:type="dxa"/>
      </w:tblCellMar>
    </w:tblPr>
  </w:style>
  <w:style w:type="table" w:styleId="Tabladecuadrcula3">
    <w:name w:val="Grid Table 3"/>
    <w:basedOn w:val="Tablanormal"/>
    <w:uiPriority w:val="48"/>
    <w:rsid w:val="009149A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afc">
    <w:basedOn w:val="TableNormal2"/>
    <w:rPr>
      <w:rFonts w:ascii="Cambria" w:eastAsia="Cambria" w:hAnsi="Cambria" w:cs="Cambria"/>
      <w:color w:val="7B7B7B"/>
      <w:sz w:val="22"/>
      <w:szCs w:val="22"/>
    </w:rPr>
    <w:tblPr>
      <w:tblStyleRowBandSize w:val="1"/>
      <w:tblStyleColBandSize w:val="1"/>
      <w:tblCellMar>
        <w:top w:w="100" w:type="dxa"/>
        <w:left w:w="115" w:type="dxa"/>
        <w:bottom w:w="100" w:type="dxa"/>
        <w:right w:w="115" w:type="dxa"/>
      </w:tblCellMar>
    </w:tblPr>
    <w:tcPr>
      <w:shd w:val="clear" w:color="auto" w:fill="DEEBF6"/>
    </w:tcPr>
  </w:style>
  <w:style w:type="table" w:customStyle="1" w:styleId="afd">
    <w:basedOn w:val="TableNormal2"/>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e">
    <w:basedOn w:val="TableNormal2"/>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f">
    <w:basedOn w:val="TableNormal2"/>
    <w:rPr>
      <w:rFonts w:ascii="Cambria" w:eastAsia="Cambria" w:hAnsi="Cambria" w:cs="Cambria"/>
      <w:color w:val="7B7B7B"/>
      <w:sz w:val="22"/>
      <w:szCs w:val="22"/>
    </w:rPr>
    <w:tblPr>
      <w:tblStyleRowBandSize w:val="1"/>
      <w:tblStyleColBandSize w:val="1"/>
      <w:tblCellMar>
        <w:top w:w="100" w:type="dxa"/>
        <w:left w:w="115" w:type="dxa"/>
        <w:bottom w:w="100" w:type="dxa"/>
        <w:right w:w="115" w:type="dxa"/>
      </w:tblCellMar>
    </w:tblPr>
    <w:tcPr>
      <w:shd w:val="clear" w:color="auto" w:fill="DEEBF6"/>
    </w:tcPr>
  </w:style>
  <w:style w:type="table" w:customStyle="1" w:styleId="aff0">
    <w:basedOn w:val="TableNormal1"/>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f1">
    <w:basedOn w:val="TableNormal1"/>
    <w:tblPr>
      <w:tblStyleRowBandSize w:val="1"/>
      <w:tblStyleColBandSize w:val="1"/>
      <w:tblCellMar>
        <w:left w:w="115" w:type="dxa"/>
        <w:right w:w="115" w:type="dxa"/>
      </w:tblCellMar>
    </w:tblPr>
  </w:style>
  <w:style w:type="table" w:customStyle="1" w:styleId="aff2">
    <w:basedOn w:val="TableNormal1"/>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f3">
    <w:basedOn w:val="TableNormal1"/>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f4">
    <w:basedOn w:val="TableNormal1"/>
    <w:tblPr>
      <w:tblStyleRowBandSize w:val="1"/>
      <w:tblStyleColBandSize w:val="1"/>
      <w:tblCellMar>
        <w:left w:w="115" w:type="dxa"/>
        <w:right w:w="115" w:type="dxa"/>
      </w:tblCellMar>
    </w:tblPr>
  </w:style>
  <w:style w:type="table" w:customStyle="1" w:styleId="aff5">
    <w:basedOn w:val="TableNormal1"/>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character" w:styleId="Refdecomentario">
    <w:name w:val="annotation reference"/>
    <w:basedOn w:val="Fuentedeprrafopredeter"/>
    <w:uiPriority w:val="99"/>
    <w:semiHidden/>
    <w:unhideWhenUsed/>
    <w:rsid w:val="00515C42"/>
    <w:rPr>
      <w:sz w:val="16"/>
      <w:szCs w:val="16"/>
    </w:rPr>
  </w:style>
  <w:style w:type="paragraph" w:styleId="Textocomentario">
    <w:name w:val="annotation text"/>
    <w:basedOn w:val="Normal"/>
    <w:link w:val="TextocomentarioCar"/>
    <w:uiPriority w:val="99"/>
    <w:semiHidden/>
    <w:unhideWhenUsed/>
    <w:rsid w:val="00515C42"/>
  </w:style>
  <w:style w:type="character" w:customStyle="1" w:styleId="TextocomentarioCar">
    <w:name w:val="Texto comentario Car"/>
    <w:basedOn w:val="Fuentedeprrafopredeter"/>
    <w:link w:val="Textocomentario"/>
    <w:uiPriority w:val="99"/>
    <w:semiHidden/>
    <w:rsid w:val="00515C42"/>
  </w:style>
  <w:style w:type="paragraph" w:styleId="Asuntodelcomentario">
    <w:name w:val="annotation subject"/>
    <w:basedOn w:val="Textocomentario"/>
    <w:next w:val="Textocomentario"/>
    <w:link w:val="AsuntodelcomentarioCar"/>
    <w:uiPriority w:val="99"/>
    <w:semiHidden/>
    <w:unhideWhenUsed/>
    <w:rsid w:val="00515C42"/>
    <w:rPr>
      <w:b/>
      <w:bCs/>
    </w:rPr>
  </w:style>
  <w:style w:type="character" w:customStyle="1" w:styleId="AsuntodelcomentarioCar">
    <w:name w:val="Asunto del comentario Car"/>
    <w:basedOn w:val="TextocomentarioCar"/>
    <w:link w:val="Asuntodelcomentario"/>
    <w:uiPriority w:val="99"/>
    <w:semiHidden/>
    <w:rsid w:val="00515C42"/>
    <w:rPr>
      <w:b/>
      <w:bCs/>
    </w:rPr>
  </w:style>
  <w:style w:type="table" w:customStyle="1" w:styleId="aff6">
    <w:basedOn w:val="TableNormal0"/>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f7">
    <w:basedOn w:val="TableNormal0"/>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f8">
    <w:basedOn w:val="TableNormal0"/>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f9">
    <w:basedOn w:val="TableNormal0"/>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fa">
    <w:basedOn w:val="TableNormal0"/>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kTEqTu16xeRj89Sj/TJdqit5EA==">AMUW2mUQHr7CZd9upu3Hdewy/rAQptNb58bbGXaGlsXikwFVWZ3GSh4sc7S039Zlja+gF/T3rIibJfUrbdZER3M+jxr96CrwRcpBTPTUpDBlATW595TUiIyEhN85i5v+oYccbD/HQfZGlBh5IOryCVUWXZMB2HDHn06kSAdIxISAE2ESKx86myCSqqlKXYCrKQgfm2u0Ml0E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3332</Words>
  <Characters>18329</Characters>
  <Application>Microsoft Office Word</Application>
  <DocSecurity>0</DocSecurity>
  <Lines>152</Lines>
  <Paragraphs>43</Paragraphs>
  <ScaleCrop>false</ScaleCrop>
  <Company/>
  <LinksUpToDate>false</LinksUpToDate>
  <CharactersWithSpaces>21618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Juridico</dc:creator>
  <cp:lastModifiedBy>Secretario Gral</cp:lastModifiedBy>
  <cp:revision>2</cp:revision>
  <cp:lastPrinted>2022-06-30T17:32:00Z</cp:lastPrinted>
  <dcterms:created xsi:type="dcterms:W3CDTF">2022-06-30T20:29:00Z</dcterms:created>
  <dcterms:modified xsi:type="dcterms:W3CDTF">2022-06-30T20:29:00Z</dcterms:modified>
</cp:coreProperties>
</file>