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E9A94" w14:textId="77777777" w:rsidR="00704F58" w:rsidRDefault="0078723A">
      <w:pPr>
        <w:ind w:left="3828" w:right="36"/>
        <w:jc w:val="both"/>
        <w:rPr>
          <w:rFonts w:ascii="Arial" w:eastAsia="Arial" w:hAnsi="Arial" w:cs="Arial"/>
          <w:b/>
          <w:sz w:val="24"/>
          <w:szCs w:val="24"/>
        </w:rPr>
      </w:pPr>
      <w:bookmarkStart w:id="0" w:name="_heading=h.gjdgxs" w:colFirst="0" w:colLast="0"/>
      <w:bookmarkEnd w:id="0"/>
      <w:r>
        <w:rPr>
          <w:rFonts w:ascii="Arial" w:eastAsia="Arial" w:hAnsi="Arial" w:cs="Arial"/>
          <w:b/>
          <w:sz w:val="24"/>
          <w:szCs w:val="24"/>
        </w:rPr>
        <w:t>PROCEDIMIENTO ESPECIAL SANCIONADOR.</w:t>
      </w:r>
    </w:p>
    <w:p w14:paraId="3F8CE287" w14:textId="77777777" w:rsidR="00704F58" w:rsidRDefault="00704F58">
      <w:pPr>
        <w:pBdr>
          <w:top w:val="nil"/>
          <w:left w:val="nil"/>
          <w:bottom w:val="nil"/>
          <w:right w:val="nil"/>
          <w:between w:val="nil"/>
        </w:pBdr>
        <w:ind w:left="3828"/>
        <w:rPr>
          <w:rFonts w:ascii="Arial" w:eastAsia="Arial" w:hAnsi="Arial" w:cs="Arial"/>
          <w:color w:val="000000"/>
          <w:sz w:val="14"/>
          <w:szCs w:val="14"/>
        </w:rPr>
      </w:pPr>
    </w:p>
    <w:p w14:paraId="1ADB28D1" w14:textId="7EE6F551" w:rsidR="00704F58" w:rsidRDefault="0078723A">
      <w:pPr>
        <w:ind w:left="3828" w:right="36"/>
        <w:jc w:val="both"/>
        <w:rPr>
          <w:rFonts w:ascii="Arial" w:eastAsia="Arial" w:hAnsi="Arial" w:cs="Arial"/>
          <w:b/>
          <w:sz w:val="24"/>
          <w:szCs w:val="24"/>
        </w:rPr>
      </w:pPr>
      <w:r>
        <w:rPr>
          <w:rFonts w:ascii="Arial" w:eastAsia="Arial" w:hAnsi="Arial" w:cs="Arial"/>
          <w:b/>
          <w:sz w:val="24"/>
          <w:szCs w:val="24"/>
        </w:rPr>
        <w:t xml:space="preserve">EXPEDIENTE: </w:t>
      </w:r>
      <w:r>
        <w:rPr>
          <w:rFonts w:ascii="Arial" w:eastAsia="Arial" w:hAnsi="Arial" w:cs="Arial"/>
          <w:sz w:val="24"/>
          <w:szCs w:val="24"/>
        </w:rPr>
        <w:t>TEEA-PES-056/202</w:t>
      </w:r>
      <w:r w:rsidR="00A142A0">
        <w:rPr>
          <w:rFonts w:ascii="Arial" w:eastAsia="Arial" w:hAnsi="Arial" w:cs="Arial"/>
          <w:sz w:val="24"/>
          <w:szCs w:val="24"/>
        </w:rPr>
        <w:t>2</w:t>
      </w:r>
      <w:r>
        <w:rPr>
          <w:rFonts w:ascii="Arial" w:eastAsia="Arial" w:hAnsi="Arial" w:cs="Arial"/>
          <w:sz w:val="24"/>
          <w:szCs w:val="24"/>
        </w:rPr>
        <w:t>.</w:t>
      </w:r>
      <w:r>
        <w:rPr>
          <w:rFonts w:ascii="Arial" w:eastAsia="Arial" w:hAnsi="Arial" w:cs="Arial"/>
          <w:b/>
          <w:sz w:val="24"/>
          <w:szCs w:val="24"/>
        </w:rPr>
        <w:t xml:space="preserve"> </w:t>
      </w:r>
    </w:p>
    <w:p w14:paraId="64B99BB6" w14:textId="77777777" w:rsidR="00704F58" w:rsidRDefault="00704F58">
      <w:pPr>
        <w:ind w:left="3828" w:right="36"/>
        <w:jc w:val="both"/>
        <w:rPr>
          <w:rFonts w:ascii="Arial" w:eastAsia="Arial" w:hAnsi="Arial" w:cs="Arial"/>
          <w:b/>
          <w:sz w:val="14"/>
          <w:szCs w:val="14"/>
        </w:rPr>
      </w:pPr>
    </w:p>
    <w:p w14:paraId="3F978164" w14:textId="77777777" w:rsidR="00704F58" w:rsidRDefault="0078723A">
      <w:pPr>
        <w:ind w:left="3828" w:right="36"/>
        <w:jc w:val="both"/>
        <w:rPr>
          <w:rFonts w:ascii="Arial" w:eastAsia="Arial" w:hAnsi="Arial" w:cs="Arial"/>
          <w:sz w:val="24"/>
          <w:szCs w:val="24"/>
        </w:rPr>
      </w:pPr>
      <w:r>
        <w:rPr>
          <w:rFonts w:ascii="Arial" w:eastAsia="Arial" w:hAnsi="Arial" w:cs="Arial"/>
          <w:b/>
          <w:sz w:val="24"/>
          <w:szCs w:val="24"/>
        </w:rPr>
        <w:t>DENUNCIANTE:</w:t>
      </w:r>
      <w:r>
        <w:rPr>
          <w:rFonts w:ascii="Arial" w:eastAsia="Arial" w:hAnsi="Arial" w:cs="Arial"/>
          <w:sz w:val="24"/>
          <w:szCs w:val="24"/>
        </w:rPr>
        <w:t xml:space="preserve"> MORENA.</w:t>
      </w:r>
    </w:p>
    <w:p w14:paraId="324B9EDD" w14:textId="77777777" w:rsidR="00704F58" w:rsidRDefault="00704F58">
      <w:pPr>
        <w:ind w:left="3828" w:right="36"/>
        <w:jc w:val="both"/>
        <w:rPr>
          <w:rFonts w:ascii="Arial" w:eastAsia="Arial" w:hAnsi="Arial" w:cs="Arial"/>
          <w:sz w:val="14"/>
          <w:szCs w:val="14"/>
        </w:rPr>
      </w:pPr>
    </w:p>
    <w:p w14:paraId="1A1A4D58" w14:textId="77777777" w:rsidR="00704F58" w:rsidRDefault="0078723A">
      <w:pPr>
        <w:ind w:left="3828" w:right="36"/>
        <w:jc w:val="both"/>
        <w:rPr>
          <w:rFonts w:ascii="Arial" w:eastAsia="Arial" w:hAnsi="Arial" w:cs="Arial"/>
          <w:sz w:val="24"/>
          <w:szCs w:val="24"/>
        </w:rPr>
      </w:pPr>
      <w:r>
        <w:rPr>
          <w:rFonts w:ascii="Arial" w:eastAsia="Arial" w:hAnsi="Arial" w:cs="Arial"/>
          <w:b/>
          <w:sz w:val="24"/>
          <w:szCs w:val="24"/>
        </w:rPr>
        <w:t xml:space="preserve">DENUNCIADOS: </w:t>
      </w:r>
      <w:r>
        <w:rPr>
          <w:rFonts w:ascii="Arial" w:eastAsia="Arial" w:hAnsi="Arial" w:cs="Arial"/>
          <w:sz w:val="24"/>
          <w:szCs w:val="24"/>
        </w:rPr>
        <w:t>MARÍA TERESA JIMÉNEZ ESQUIVEL, ENTONCES CANDIDATA DE LA COALICIÓN “VA POR AGUASCALIENTES” A LA GUBERNATURA DE LA ENTIDAD, Y OTROS.</w:t>
      </w:r>
    </w:p>
    <w:p w14:paraId="7E15E043" w14:textId="77777777" w:rsidR="00704F58" w:rsidRDefault="00704F58">
      <w:pPr>
        <w:pBdr>
          <w:top w:val="nil"/>
          <w:left w:val="nil"/>
          <w:bottom w:val="nil"/>
          <w:right w:val="nil"/>
          <w:between w:val="nil"/>
        </w:pBdr>
        <w:ind w:left="3828"/>
        <w:rPr>
          <w:rFonts w:ascii="Arial" w:eastAsia="Arial" w:hAnsi="Arial" w:cs="Arial"/>
          <w:color w:val="000000"/>
          <w:sz w:val="14"/>
          <w:szCs w:val="14"/>
        </w:rPr>
      </w:pPr>
    </w:p>
    <w:p w14:paraId="28496C7E" w14:textId="77777777" w:rsidR="00704F58" w:rsidRDefault="0078723A">
      <w:pPr>
        <w:ind w:left="3828" w:right="36"/>
        <w:jc w:val="both"/>
        <w:rPr>
          <w:rFonts w:ascii="Arial" w:eastAsia="Arial" w:hAnsi="Arial" w:cs="Arial"/>
          <w:sz w:val="24"/>
          <w:szCs w:val="24"/>
        </w:rPr>
      </w:pPr>
      <w:r>
        <w:rPr>
          <w:rFonts w:ascii="Arial" w:eastAsia="Arial" w:hAnsi="Arial" w:cs="Arial"/>
          <w:b/>
          <w:sz w:val="24"/>
          <w:szCs w:val="24"/>
        </w:rPr>
        <w:t>MAGISTRADA PONENTE:</w:t>
      </w:r>
      <w:r>
        <w:rPr>
          <w:rFonts w:ascii="Arial" w:eastAsia="Arial" w:hAnsi="Arial" w:cs="Arial"/>
          <w:sz w:val="24"/>
          <w:szCs w:val="24"/>
        </w:rPr>
        <w:t xml:space="preserve"> LAURA HORTENSIA LLAMAS HERNÁNDEZ.</w:t>
      </w:r>
    </w:p>
    <w:p w14:paraId="23D3E4E2" w14:textId="77777777" w:rsidR="00704F58" w:rsidRDefault="00704F58">
      <w:pPr>
        <w:pBdr>
          <w:top w:val="nil"/>
          <w:left w:val="nil"/>
          <w:bottom w:val="nil"/>
          <w:right w:val="nil"/>
          <w:between w:val="nil"/>
        </w:pBdr>
        <w:ind w:left="3828"/>
        <w:rPr>
          <w:rFonts w:ascii="Arial" w:eastAsia="Arial" w:hAnsi="Arial" w:cs="Arial"/>
          <w:color w:val="000000"/>
          <w:sz w:val="14"/>
          <w:szCs w:val="14"/>
        </w:rPr>
      </w:pPr>
    </w:p>
    <w:p w14:paraId="1300740B" w14:textId="77777777" w:rsidR="00704F58" w:rsidRDefault="0078723A">
      <w:pPr>
        <w:ind w:left="3828" w:right="36"/>
        <w:jc w:val="both"/>
        <w:rPr>
          <w:rFonts w:ascii="Arial" w:eastAsia="Arial" w:hAnsi="Arial" w:cs="Arial"/>
          <w:sz w:val="24"/>
          <w:szCs w:val="24"/>
        </w:rPr>
      </w:pPr>
      <w:r>
        <w:rPr>
          <w:rFonts w:ascii="Arial" w:eastAsia="Arial" w:hAnsi="Arial" w:cs="Arial"/>
          <w:b/>
          <w:sz w:val="24"/>
          <w:szCs w:val="24"/>
        </w:rPr>
        <w:t>SECRETARIO DE ESTUDIO</w:t>
      </w:r>
      <w:r>
        <w:rPr>
          <w:rFonts w:ascii="Arial" w:eastAsia="Arial" w:hAnsi="Arial" w:cs="Arial"/>
          <w:b/>
          <w:sz w:val="24"/>
          <w:szCs w:val="24"/>
          <w:vertAlign w:val="superscript"/>
        </w:rPr>
        <w:footnoteReference w:id="1"/>
      </w:r>
      <w:r>
        <w:rPr>
          <w:rFonts w:ascii="Arial" w:eastAsia="Arial" w:hAnsi="Arial" w:cs="Arial"/>
          <w:b/>
          <w:sz w:val="24"/>
          <w:szCs w:val="24"/>
        </w:rPr>
        <w:t xml:space="preserve">: </w:t>
      </w:r>
      <w:r>
        <w:rPr>
          <w:rFonts w:ascii="Arial" w:eastAsia="Arial" w:hAnsi="Arial" w:cs="Arial"/>
          <w:sz w:val="24"/>
          <w:szCs w:val="24"/>
        </w:rPr>
        <w:t>EDGAR ALEJANDRO LÓPEZ DÁVILA.</w:t>
      </w:r>
    </w:p>
    <w:p w14:paraId="1370777B" w14:textId="77777777" w:rsidR="00704F58" w:rsidRDefault="00704F58">
      <w:pPr>
        <w:ind w:left="3828" w:right="36"/>
        <w:jc w:val="both"/>
        <w:rPr>
          <w:rFonts w:ascii="Arial" w:eastAsia="Arial" w:hAnsi="Arial" w:cs="Arial"/>
          <w:sz w:val="24"/>
          <w:szCs w:val="24"/>
        </w:rPr>
      </w:pPr>
    </w:p>
    <w:p w14:paraId="5CA466F9" w14:textId="77777777" w:rsidR="00704F58" w:rsidRDefault="0078723A">
      <w:pPr>
        <w:ind w:left="3828" w:right="36"/>
        <w:jc w:val="both"/>
        <w:rPr>
          <w:rFonts w:ascii="Arial" w:eastAsia="Arial" w:hAnsi="Arial" w:cs="Arial"/>
          <w:sz w:val="24"/>
          <w:szCs w:val="24"/>
        </w:rPr>
      </w:pPr>
      <w:r>
        <w:rPr>
          <w:rFonts w:ascii="Arial" w:eastAsia="Arial" w:hAnsi="Arial" w:cs="Arial"/>
          <w:b/>
          <w:sz w:val="24"/>
          <w:szCs w:val="24"/>
        </w:rPr>
        <w:t xml:space="preserve">COLABORÓ: </w:t>
      </w:r>
      <w:r>
        <w:rPr>
          <w:rFonts w:ascii="Arial" w:eastAsia="Arial" w:hAnsi="Arial" w:cs="Arial"/>
          <w:sz w:val="24"/>
          <w:szCs w:val="24"/>
        </w:rPr>
        <w:t>GUADALUPE JOCELYN MARTÍNEZ TAVAREZ E IVONNE AZUCENA ZAVALA SOTO.</w:t>
      </w:r>
    </w:p>
    <w:p w14:paraId="2A0F4EA0" w14:textId="77777777" w:rsidR="00704F58" w:rsidRDefault="00704F58">
      <w:pPr>
        <w:pBdr>
          <w:top w:val="nil"/>
          <w:left w:val="nil"/>
          <w:bottom w:val="nil"/>
          <w:right w:val="nil"/>
          <w:between w:val="nil"/>
        </w:pBdr>
        <w:rPr>
          <w:color w:val="000000"/>
        </w:rPr>
      </w:pPr>
    </w:p>
    <w:p w14:paraId="284826BE" w14:textId="0677B1A3" w:rsidR="00704F58" w:rsidRDefault="0078723A">
      <w:pPr>
        <w:pBdr>
          <w:top w:val="nil"/>
          <w:left w:val="nil"/>
          <w:bottom w:val="nil"/>
          <w:right w:val="nil"/>
          <w:between w:val="nil"/>
        </w:pBdr>
        <w:spacing w:line="360" w:lineRule="auto"/>
        <w:ind w:right="36"/>
        <w:jc w:val="right"/>
        <w:rPr>
          <w:rFonts w:ascii="Arial" w:eastAsia="Arial" w:hAnsi="Arial" w:cs="Arial"/>
          <w:sz w:val="24"/>
          <w:szCs w:val="24"/>
        </w:rPr>
      </w:pPr>
      <w:r>
        <w:rPr>
          <w:rFonts w:ascii="Arial" w:eastAsia="Arial" w:hAnsi="Arial" w:cs="Arial"/>
          <w:sz w:val="24"/>
          <w:szCs w:val="24"/>
        </w:rPr>
        <w:t xml:space="preserve">Aguascalientes, Aguascalientes, </w:t>
      </w:r>
      <w:r w:rsidRPr="00A142A0">
        <w:rPr>
          <w:rFonts w:ascii="Arial" w:eastAsia="Arial" w:hAnsi="Arial" w:cs="Arial"/>
          <w:color w:val="000000"/>
          <w:sz w:val="24"/>
          <w:szCs w:val="24"/>
        </w:rPr>
        <w:t xml:space="preserve">a </w:t>
      </w:r>
      <w:r w:rsidR="00ED577C" w:rsidRPr="00A142A0">
        <w:rPr>
          <w:rFonts w:ascii="Arial" w:eastAsia="Arial" w:hAnsi="Arial" w:cs="Arial"/>
          <w:color w:val="000000"/>
          <w:sz w:val="24"/>
          <w:szCs w:val="24"/>
        </w:rPr>
        <w:t>17</w:t>
      </w:r>
      <w:r w:rsidRPr="00A142A0">
        <w:rPr>
          <w:rFonts w:ascii="Arial" w:eastAsia="Arial" w:hAnsi="Arial" w:cs="Arial"/>
          <w:color w:val="000000"/>
          <w:sz w:val="24"/>
          <w:szCs w:val="24"/>
        </w:rPr>
        <w:t xml:space="preserve"> de junio</w:t>
      </w:r>
      <w:r>
        <w:rPr>
          <w:rFonts w:ascii="Arial" w:eastAsia="Arial" w:hAnsi="Arial" w:cs="Arial"/>
          <w:color w:val="000000"/>
          <w:sz w:val="24"/>
          <w:szCs w:val="24"/>
        </w:rPr>
        <w:t xml:space="preserve"> de 2022</w:t>
      </w:r>
      <w:r>
        <w:rPr>
          <w:rFonts w:ascii="Arial" w:eastAsia="Arial" w:hAnsi="Arial" w:cs="Arial"/>
          <w:sz w:val="24"/>
          <w:szCs w:val="24"/>
        </w:rPr>
        <w:t>.</w:t>
      </w:r>
    </w:p>
    <w:p w14:paraId="73031FF6" w14:textId="77777777" w:rsidR="00704F58" w:rsidRDefault="00704F58">
      <w:pPr>
        <w:pBdr>
          <w:top w:val="nil"/>
          <w:left w:val="nil"/>
          <w:bottom w:val="nil"/>
          <w:right w:val="nil"/>
          <w:between w:val="nil"/>
        </w:pBdr>
        <w:rPr>
          <w:color w:val="000000"/>
        </w:rPr>
      </w:pPr>
    </w:p>
    <w:p w14:paraId="59EE1182" w14:textId="3519759A" w:rsidR="00704F58" w:rsidRDefault="0078723A">
      <w:pPr>
        <w:spacing w:line="360" w:lineRule="auto"/>
        <w:jc w:val="both"/>
        <w:rPr>
          <w:rFonts w:ascii="Arial" w:eastAsia="Arial" w:hAnsi="Arial" w:cs="Arial"/>
          <w:sz w:val="24"/>
          <w:szCs w:val="24"/>
        </w:rPr>
      </w:pPr>
      <w:bookmarkStart w:id="1" w:name="_heading=h.30j0zll" w:colFirst="0" w:colLast="0"/>
      <w:bookmarkEnd w:id="1"/>
      <w:r>
        <w:rPr>
          <w:rFonts w:ascii="Arial" w:eastAsia="Arial" w:hAnsi="Arial" w:cs="Arial"/>
          <w:b/>
          <w:sz w:val="24"/>
          <w:szCs w:val="24"/>
        </w:rPr>
        <w:t xml:space="preserve">Sentencia del Tribunal Electoral </w:t>
      </w:r>
      <w:r>
        <w:rPr>
          <w:rFonts w:ascii="Arial" w:eastAsia="Arial" w:hAnsi="Arial" w:cs="Arial"/>
          <w:sz w:val="24"/>
          <w:szCs w:val="24"/>
        </w:rPr>
        <w:t>que declara la</w:t>
      </w:r>
      <w:r>
        <w:rPr>
          <w:rFonts w:ascii="Arial" w:eastAsia="Arial" w:hAnsi="Arial" w:cs="Arial"/>
          <w:b/>
          <w:sz w:val="24"/>
          <w:szCs w:val="24"/>
        </w:rPr>
        <w:t xml:space="preserve"> inexistencia de los hechos </w:t>
      </w:r>
      <w:bookmarkStart w:id="2" w:name="_Hlk106360711"/>
      <w:r>
        <w:rPr>
          <w:rFonts w:ascii="Arial" w:eastAsia="Arial" w:hAnsi="Arial" w:cs="Arial"/>
          <w:b/>
          <w:sz w:val="24"/>
          <w:szCs w:val="24"/>
        </w:rPr>
        <w:t xml:space="preserve">denunciados </w:t>
      </w:r>
      <w:r>
        <w:rPr>
          <w:rFonts w:ascii="Arial" w:eastAsia="Arial" w:hAnsi="Arial" w:cs="Arial"/>
          <w:sz w:val="24"/>
          <w:szCs w:val="24"/>
        </w:rPr>
        <w:t xml:space="preserve">atribuidos a la entonces candidata María Teresa Jiménez Esquivel y a los institutos políticos integrantes de la coalición “Va por Aguascalientes”, consistentes en la supuesta entrega de un contrarrecibo a la ciudadanía que permitía la recepción de un pago a cambio de la emisión del voto en favor de la candidata denunciada. </w:t>
      </w:r>
    </w:p>
    <w:bookmarkEnd w:id="2"/>
    <w:p w14:paraId="1D228CDC" w14:textId="77777777" w:rsidR="00704F58" w:rsidRDefault="0078723A">
      <w:pPr>
        <w:spacing w:before="240" w:after="240" w:line="360" w:lineRule="auto"/>
        <w:jc w:val="both"/>
        <w:rPr>
          <w:rFonts w:ascii="Arial" w:eastAsia="Arial" w:hAnsi="Arial" w:cs="Arial"/>
          <w:sz w:val="24"/>
          <w:szCs w:val="24"/>
        </w:rPr>
      </w:pPr>
      <w:r>
        <w:rPr>
          <w:rFonts w:ascii="Arial" w:eastAsia="Arial" w:hAnsi="Arial" w:cs="Arial"/>
          <w:sz w:val="24"/>
          <w:szCs w:val="24"/>
        </w:rPr>
        <w:t xml:space="preserve">Lo anterior, porque </w:t>
      </w:r>
      <w:r>
        <w:rPr>
          <w:rFonts w:ascii="Arial" w:eastAsia="Arial" w:hAnsi="Arial" w:cs="Arial"/>
          <w:b/>
          <w:sz w:val="24"/>
          <w:szCs w:val="24"/>
        </w:rPr>
        <w:t>este órgano jurisdiccional considera</w:t>
      </w:r>
      <w:r>
        <w:rPr>
          <w:rFonts w:ascii="Arial" w:eastAsia="Arial" w:hAnsi="Arial" w:cs="Arial"/>
          <w:sz w:val="24"/>
          <w:szCs w:val="24"/>
        </w:rPr>
        <w:t xml:space="preserve"> que la conducta cuestionada es inexistente, esto, ya que </w:t>
      </w:r>
      <w:bookmarkStart w:id="3" w:name="_Hlk106360879"/>
      <w:r>
        <w:rPr>
          <w:rFonts w:ascii="Arial" w:eastAsia="Arial" w:hAnsi="Arial" w:cs="Arial"/>
          <w:sz w:val="24"/>
          <w:szCs w:val="24"/>
        </w:rPr>
        <w:t xml:space="preserve">de un análisis conjunto de todos los medios probatorios que existen en el expediente -en cuanto a su contenido y alcance-, así como de las manifestaciones realizadas por las partes en el presente asunto, </w:t>
      </w:r>
      <w:r>
        <w:rPr>
          <w:rFonts w:ascii="Arial" w:eastAsia="Arial" w:hAnsi="Arial" w:cs="Arial"/>
          <w:b/>
          <w:sz w:val="24"/>
          <w:szCs w:val="24"/>
        </w:rPr>
        <w:t>no resulta posible advertir siquiera la existencia de la entrega del supuesto cupón</w:t>
      </w:r>
      <w:bookmarkEnd w:id="3"/>
      <w:r>
        <w:rPr>
          <w:rFonts w:ascii="Arial" w:eastAsia="Arial" w:hAnsi="Arial" w:cs="Arial"/>
          <w:b/>
          <w:sz w:val="24"/>
          <w:szCs w:val="24"/>
        </w:rPr>
        <w:t>,</w:t>
      </w:r>
      <w:r>
        <w:rPr>
          <w:rFonts w:ascii="Arial" w:eastAsia="Arial" w:hAnsi="Arial" w:cs="Arial"/>
          <w:sz w:val="24"/>
          <w:szCs w:val="24"/>
        </w:rPr>
        <w:t xml:space="preserve"> que tuviera como finalidad condicionar a las y los electores en favor de un beneficio de carácter económico, de ahí que se haya sostenido la</w:t>
      </w:r>
      <w:r>
        <w:rPr>
          <w:rFonts w:ascii="Arial" w:eastAsia="Arial" w:hAnsi="Arial" w:cs="Arial"/>
          <w:b/>
          <w:sz w:val="24"/>
          <w:szCs w:val="24"/>
        </w:rPr>
        <w:t xml:space="preserve"> inexistencia </w:t>
      </w:r>
      <w:r>
        <w:rPr>
          <w:rFonts w:ascii="Arial" w:eastAsia="Arial" w:hAnsi="Arial" w:cs="Arial"/>
          <w:sz w:val="24"/>
          <w:szCs w:val="24"/>
        </w:rPr>
        <w:t xml:space="preserve">de los hechos denunciados. </w:t>
      </w:r>
    </w:p>
    <w:p w14:paraId="51828539" w14:textId="77777777" w:rsidR="00704F58" w:rsidRDefault="00704F58">
      <w:pPr>
        <w:pBdr>
          <w:top w:val="nil"/>
          <w:left w:val="nil"/>
          <w:bottom w:val="nil"/>
          <w:right w:val="nil"/>
          <w:between w:val="nil"/>
        </w:pBdr>
        <w:rPr>
          <w:color w:val="000000"/>
        </w:rPr>
      </w:pPr>
    </w:p>
    <w:p w14:paraId="173DC97B" w14:textId="77777777" w:rsidR="00704F58" w:rsidRDefault="0078723A">
      <w:pPr>
        <w:keepNext/>
        <w:keepLines/>
        <w:pBdr>
          <w:top w:val="nil"/>
          <w:left w:val="nil"/>
          <w:bottom w:val="nil"/>
          <w:right w:val="nil"/>
          <w:between w:val="nil"/>
        </w:pBdr>
        <w:tabs>
          <w:tab w:val="left" w:pos="3402"/>
        </w:tabs>
        <w:ind w:left="4320" w:right="-518" w:firstLine="141"/>
        <w:rPr>
          <w:rFonts w:ascii="Arial" w:eastAsia="Arial" w:hAnsi="Arial" w:cs="Arial"/>
          <w:b/>
          <w:color w:val="000000"/>
          <w:sz w:val="16"/>
          <w:szCs w:val="16"/>
        </w:rPr>
      </w:pPr>
      <w:r>
        <w:rPr>
          <w:rFonts w:ascii="Arial" w:eastAsia="Arial" w:hAnsi="Arial" w:cs="Arial"/>
          <w:b/>
          <w:color w:val="000000"/>
          <w:sz w:val="16"/>
          <w:szCs w:val="16"/>
        </w:rPr>
        <w:t>Índice</w:t>
      </w:r>
    </w:p>
    <w:p w14:paraId="38672B22" w14:textId="62038F29" w:rsidR="00704F58" w:rsidRPr="009E4D06" w:rsidRDefault="00E1781B">
      <w:pPr>
        <w:tabs>
          <w:tab w:val="left" w:pos="3402"/>
        </w:tabs>
        <w:ind w:left="1488" w:right="-518"/>
        <w:rPr>
          <w:rFonts w:ascii="Arial" w:eastAsia="Arial" w:hAnsi="Arial" w:cs="Arial"/>
          <w:b/>
          <w:bCs/>
          <w:sz w:val="16"/>
          <w:szCs w:val="16"/>
        </w:rPr>
      </w:pPr>
      <w:r w:rsidRPr="009E4D06">
        <w:rPr>
          <w:rFonts w:ascii="Arial" w:eastAsia="Arial" w:hAnsi="Arial" w:cs="Arial"/>
          <w:b/>
          <w:bCs/>
          <w:sz w:val="16"/>
          <w:szCs w:val="16"/>
        </w:rPr>
        <w:t>Contexto</w:t>
      </w:r>
      <w:r w:rsidR="0078723A" w:rsidRPr="009E4D06">
        <w:rPr>
          <w:rFonts w:ascii="Arial" w:eastAsia="Arial" w:hAnsi="Arial" w:cs="Arial"/>
          <w:b/>
          <w:bCs/>
          <w:sz w:val="16"/>
          <w:szCs w:val="16"/>
        </w:rPr>
        <w:t xml:space="preserve"> del caso ………………………………………………</w:t>
      </w:r>
      <w:r w:rsidRPr="009E4D06">
        <w:rPr>
          <w:rFonts w:ascii="Arial" w:eastAsia="Arial" w:hAnsi="Arial" w:cs="Arial"/>
          <w:b/>
          <w:bCs/>
          <w:sz w:val="16"/>
          <w:szCs w:val="16"/>
        </w:rPr>
        <w:t>……</w:t>
      </w:r>
      <w:r w:rsidR="0078723A" w:rsidRPr="009E4D06">
        <w:rPr>
          <w:rFonts w:ascii="Arial" w:eastAsia="Arial" w:hAnsi="Arial" w:cs="Arial"/>
          <w:b/>
          <w:bCs/>
          <w:sz w:val="16"/>
          <w:szCs w:val="16"/>
        </w:rPr>
        <w:t>………………</w:t>
      </w:r>
      <w:proofErr w:type="gramStart"/>
      <w:r w:rsidR="0078723A" w:rsidRPr="009E4D06">
        <w:rPr>
          <w:rFonts w:ascii="Arial" w:eastAsia="Arial" w:hAnsi="Arial" w:cs="Arial"/>
          <w:b/>
          <w:bCs/>
          <w:sz w:val="16"/>
          <w:szCs w:val="16"/>
        </w:rPr>
        <w:t>…</w:t>
      </w:r>
      <w:r w:rsidR="0078723A" w:rsidRPr="00BE4EA7">
        <w:rPr>
          <w:rFonts w:ascii="Arial" w:eastAsia="Arial" w:hAnsi="Arial" w:cs="Arial"/>
          <w:b/>
          <w:bCs/>
          <w:sz w:val="14"/>
          <w:szCs w:val="14"/>
        </w:rPr>
        <w:t>…</w:t>
      </w:r>
      <w:r w:rsidR="00BE4EA7" w:rsidRPr="00BE4EA7">
        <w:rPr>
          <w:rFonts w:ascii="Arial" w:eastAsia="Arial" w:hAnsi="Arial" w:cs="Arial"/>
          <w:b/>
          <w:bCs/>
          <w:sz w:val="14"/>
          <w:szCs w:val="14"/>
        </w:rPr>
        <w:t>.</w:t>
      </w:r>
      <w:proofErr w:type="gramEnd"/>
      <w:r w:rsidR="0078723A" w:rsidRPr="009E4D06">
        <w:rPr>
          <w:rFonts w:ascii="Arial" w:eastAsia="Arial" w:hAnsi="Arial" w:cs="Arial"/>
          <w:b/>
          <w:bCs/>
          <w:sz w:val="16"/>
          <w:szCs w:val="16"/>
        </w:rPr>
        <w:t>……...2</w:t>
      </w:r>
    </w:p>
    <w:p w14:paraId="68EE7AB6" w14:textId="7178BD76" w:rsidR="00704F58" w:rsidRPr="009E4D06" w:rsidRDefault="0078723A">
      <w:pPr>
        <w:tabs>
          <w:tab w:val="left" w:pos="3402"/>
        </w:tabs>
        <w:ind w:left="1488" w:right="-518"/>
        <w:rPr>
          <w:rFonts w:ascii="Arial" w:eastAsia="Arial" w:hAnsi="Arial" w:cs="Arial"/>
          <w:b/>
          <w:bCs/>
          <w:sz w:val="16"/>
          <w:szCs w:val="16"/>
        </w:rPr>
      </w:pPr>
      <w:r w:rsidRPr="009E4D06">
        <w:rPr>
          <w:rFonts w:ascii="Arial" w:eastAsia="Arial" w:hAnsi="Arial" w:cs="Arial"/>
          <w:b/>
          <w:bCs/>
          <w:sz w:val="16"/>
          <w:szCs w:val="16"/>
        </w:rPr>
        <w:t>Competencia …………………………………………………………………………………</w:t>
      </w:r>
      <w:proofErr w:type="gramStart"/>
      <w:r w:rsidRPr="009E4D06">
        <w:rPr>
          <w:rFonts w:ascii="Arial" w:eastAsia="Arial" w:hAnsi="Arial" w:cs="Arial"/>
          <w:b/>
          <w:bCs/>
          <w:sz w:val="16"/>
          <w:szCs w:val="16"/>
        </w:rPr>
        <w:t>……</w:t>
      </w:r>
      <w:r w:rsidR="009E4D06">
        <w:rPr>
          <w:rFonts w:ascii="Arial" w:eastAsia="Arial" w:hAnsi="Arial" w:cs="Arial"/>
          <w:b/>
          <w:bCs/>
          <w:sz w:val="16"/>
          <w:szCs w:val="16"/>
        </w:rPr>
        <w:t>.</w:t>
      </w:r>
      <w:proofErr w:type="gramEnd"/>
      <w:r w:rsidRPr="009E4D06">
        <w:rPr>
          <w:rFonts w:ascii="Arial" w:eastAsia="Arial" w:hAnsi="Arial" w:cs="Arial"/>
          <w:b/>
          <w:bCs/>
          <w:sz w:val="16"/>
          <w:szCs w:val="16"/>
        </w:rPr>
        <w:t>2</w:t>
      </w:r>
    </w:p>
    <w:p w14:paraId="1FE67D46" w14:textId="3F70B449" w:rsidR="00704F58" w:rsidRPr="009E4D06" w:rsidRDefault="0078723A">
      <w:pPr>
        <w:tabs>
          <w:tab w:val="left" w:pos="3402"/>
        </w:tabs>
        <w:ind w:left="1488" w:right="-518"/>
        <w:rPr>
          <w:rFonts w:ascii="Arial" w:eastAsia="Arial" w:hAnsi="Arial" w:cs="Arial"/>
          <w:b/>
          <w:bCs/>
          <w:sz w:val="16"/>
          <w:szCs w:val="16"/>
        </w:rPr>
      </w:pPr>
      <w:r w:rsidRPr="009E4D06">
        <w:rPr>
          <w:rFonts w:ascii="Arial" w:eastAsia="Arial" w:hAnsi="Arial" w:cs="Arial"/>
          <w:b/>
          <w:bCs/>
          <w:sz w:val="16"/>
          <w:szCs w:val="16"/>
        </w:rPr>
        <w:t>Personería ……………………………………………………………………………………</w:t>
      </w:r>
      <w:proofErr w:type="gramStart"/>
      <w:r w:rsidRPr="009E4D06">
        <w:rPr>
          <w:rFonts w:ascii="Arial" w:eastAsia="Arial" w:hAnsi="Arial" w:cs="Arial"/>
          <w:b/>
          <w:bCs/>
          <w:sz w:val="16"/>
          <w:szCs w:val="16"/>
        </w:rPr>
        <w:t>……</w:t>
      </w:r>
      <w:r w:rsidR="009E4D06">
        <w:rPr>
          <w:rFonts w:ascii="Arial" w:eastAsia="Arial" w:hAnsi="Arial" w:cs="Arial"/>
          <w:b/>
          <w:bCs/>
          <w:sz w:val="16"/>
          <w:szCs w:val="16"/>
        </w:rPr>
        <w:t>.</w:t>
      </w:r>
      <w:proofErr w:type="gramEnd"/>
      <w:r w:rsidR="009E4D06" w:rsidRPr="009E4D06">
        <w:rPr>
          <w:rFonts w:ascii="Arial" w:eastAsia="Arial" w:hAnsi="Arial" w:cs="Arial"/>
          <w:b/>
          <w:bCs/>
          <w:sz w:val="10"/>
          <w:szCs w:val="10"/>
        </w:rPr>
        <w:t>.</w:t>
      </w:r>
      <w:r w:rsidR="00296BE5" w:rsidRPr="009E4D06">
        <w:rPr>
          <w:rFonts w:ascii="Arial" w:eastAsia="Arial" w:hAnsi="Arial" w:cs="Arial"/>
          <w:b/>
          <w:bCs/>
          <w:sz w:val="16"/>
          <w:szCs w:val="16"/>
        </w:rPr>
        <w:t>3</w:t>
      </w:r>
    </w:p>
    <w:p w14:paraId="6860A225" w14:textId="5A0B5AEF" w:rsidR="00704F58" w:rsidRPr="009E4D06" w:rsidRDefault="00296BE5">
      <w:pPr>
        <w:tabs>
          <w:tab w:val="left" w:pos="3402"/>
        </w:tabs>
        <w:ind w:left="1488" w:right="-518"/>
        <w:rPr>
          <w:rFonts w:ascii="Arial" w:eastAsia="Arial" w:hAnsi="Arial" w:cs="Arial"/>
          <w:b/>
          <w:bCs/>
          <w:sz w:val="16"/>
          <w:szCs w:val="16"/>
        </w:rPr>
      </w:pPr>
      <w:r w:rsidRPr="009E4D06">
        <w:rPr>
          <w:rFonts w:ascii="Arial" w:eastAsia="Arial" w:hAnsi="Arial" w:cs="Arial"/>
          <w:b/>
          <w:bCs/>
          <w:sz w:val="16"/>
          <w:szCs w:val="16"/>
        </w:rPr>
        <w:t>Causales de improcedencia</w:t>
      </w:r>
      <w:r w:rsidR="0078723A" w:rsidRPr="009E4D06">
        <w:rPr>
          <w:rFonts w:ascii="Arial" w:eastAsia="Arial" w:hAnsi="Arial" w:cs="Arial"/>
          <w:b/>
          <w:bCs/>
          <w:sz w:val="16"/>
          <w:szCs w:val="16"/>
        </w:rPr>
        <w:t>…………………………………………………………</w:t>
      </w:r>
      <w:proofErr w:type="gramStart"/>
      <w:r w:rsidR="0078723A" w:rsidRPr="009E4D06">
        <w:rPr>
          <w:rFonts w:ascii="Arial" w:eastAsia="Arial" w:hAnsi="Arial" w:cs="Arial"/>
          <w:b/>
          <w:bCs/>
          <w:sz w:val="16"/>
          <w:szCs w:val="16"/>
        </w:rPr>
        <w:t>……</w:t>
      </w:r>
      <w:r w:rsidRPr="009E4D06">
        <w:rPr>
          <w:rFonts w:ascii="Arial" w:eastAsia="Arial" w:hAnsi="Arial" w:cs="Arial"/>
          <w:b/>
          <w:bCs/>
          <w:sz w:val="16"/>
          <w:szCs w:val="16"/>
        </w:rPr>
        <w:t>.</w:t>
      </w:r>
      <w:proofErr w:type="gramEnd"/>
      <w:r w:rsidR="0078723A" w:rsidRPr="009E4D06">
        <w:rPr>
          <w:rFonts w:ascii="Arial" w:eastAsia="Arial" w:hAnsi="Arial" w:cs="Arial"/>
          <w:b/>
          <w:bCs/>
          <w:sz w:val="14"/>
          <w:szCs w:val="14"/>
        </w:rPr>
        <w:t>…</w:t>
      </w:r>
      <w:r w:rsidR="0078723A" w:rsidRPr="009E4D06">
        <w:rPr>
          <w:rFonts w:ascii="Arial" w:eastAsia="Arial" w:hAnsi="Arial" w:cs="Arial"/>
          <w:b/>
          <w:bCs/>
          <w:sz w:val="16"/>
          <w:szCs w:val="16"/>
        </w:rPr>
        <w:t>.....</w:t>
      </w:r>
      <w:r w:rsidRPr="009E4D06">
        <w:rPr>
          <w:rFonts w:ascii="Arial" w:eastAsia="Arial" w:hAnsi="Arial" w:cs="Arial"/>
          <w:b/>
          <w:bCs/>
          <w:sz w:val="16"/>
          <w:szCs w:val="16"/>
        </w:rPr>
        <w:t>.</w:t>
      </w:r>
      <w:r w:rsidR="0078723A" w:rsidRPr="009E4D06">
        <w:rPr>
          <w:rFonts w:ascii="Arial" w:eastAsia="Arial" w:hAnsi="Arial" w:cs="Arial"/>
          <w:b/>
          <w:bCs/>
          <w:sz w:val="16"/>
          <w:szCs w:val="16"/>
        </w:rPr>
        <w:t>3</w:t>
      </w:r>
    </w:p>
    <w:p w14:paraId="5E395CBA" w14:textId="61C136F9" w:rsidR="00704F58" w:rsidRPr="009E4D06" w:rsidRDefault="00296BE5">
      <w:pPr>
        <w:tabs>
          <w:tab w:val="left" w:pos="3402"/>
        </w:tabs>
        <w:ind w:left="1488" w:right="-518"/>
        <w:rPr>
          <w:rFonts w:ascii="Arial" w:eastAsia="Arial" w:hAnsi="Arial" w:cs="Arial"/>
          <w:b/>
          <w:bCs/>
          <w:sz w:val="16"/>
          <w:szCs w:val="16"/>
        </w:rPr>
      </w:pPr>
      <w:r w:rsidRPr="009E4D06">
        <w:rPr>
          <w:rFonts w:ascii="Arial" w:eastAsia="Arial" w:hAnsi="Arial" w:cs="Arial"/>
          <w:b/>
          <w:bCs/>
          <w:sz w:val="16"/>
          <w:szCs w:val="16"/>
        </w:rPr>
        <w:t xml:space="preserve">Estudio de fondo </w:t>
      </w:r>
      <w:r w:rsidR="0078723A" w:rsidRPr="009E4D06">
        <w:rPr>
          <w:rFonts w:ascii="Arial" w:eastAsia="Arial" w:hAnsi="Arial" w:cs="Arial"/>
          <w:b/>
          <w:bCs/>
          <w:sz w:val="16"/>
          <w:szCs w:val="16"/>
        </w:rPr>
        <w:t>……………………………………………………………………………</w:t>
      </w:r>
      <w:proofErr w:type="gramStart"/>
      <w:r w:rsidRPr="009E4D06">
        <w:rPr>
          <w:rFonts w:ascii="Arial" w:eastAsia="Arial" w:hAnsi="Arial" w:cs="Arial"/>
          <w:b/>
          <w:bCs/>
          <w:sz w:val="16"/>
          <w:szCs w:val="16"/>
        </w:rPr>
        <w:t>……</w:t>
      </w:r>
      <w:r w:rsidR="009E4D06">
        <w:rPr>
          <w:rFonts w:ascii="Arial" w:eastAsia="Arial" w:hAnsi="Arial" w:cs="Arial"/>
          <w:b/>
          <w:bCs/>
          <w:sz w:val="16"/>
          <w:szCs w:val="16"/>
        </w:rPr>
        <w:t>.</w:t>
      </w:r>
      <w:proofErr w:type="gramEnd"/>
      <w:r w:rsidRPr="009E4D06">
        <w:rPr>
          <w:rFonts w:ascii="Arial" w:eastAsia="Arial" w:hAnsi="Arial" w:cs="Arial"/>
          <w:b/>
          <w:bCs/>
          <w:sz w:val="16"/>
          <w:szCs w:val="16"/>
        </w:rPr>
        <w:t>.4</w:t>
      </w:r>
    </w:p>
    <w:p w14:paraId="59A72C00" w14:textId="2C470AB7" w:rsidR="00704F58" w:rsidRPr="009E4D06" w:rsidRDefault="00296BE5">
      <w:pPr>
        <w:tabs>
          <w:tab w:val="left" w:pos="3402"/>
          <w:tab w:val="right" w:pos="8263"/>
          <w:tab w:val="left" w:pos="8789"/>
        </w:tabs>
        <w:ind w:left="1488" w:right="-518"/>
        <w:rPr>
          <w:rFonts w:ascii="Arial" w:eastAsia="Arial" w:hAnsi="Arial" w:cs="Arial"/>
          <w:b/>
          <w:bCs/>
          <w:sz w:val="16"/>
          <w:szCs w:val="16"/>
        </w:rPr>
      </w:pPr>
      <w:r w:rsidRPr="009E4D06">
        <w:rPr>
          <w:rFonts w:ascii="Arial" w:eastAsia="Arial" w:hAnsi="Arial" w:cs="Arial"/>
          <w:b/>
          <w:bCs/>
          <w:sz w:val="16"/>
          <w:szCs w:val="16"/>
        </w:rPr>
        <w:t xml:space="preserve">Análisis de </w:t>
      </w:r>
      <w:proofErr w:type="gramStart"/>
      <w:r w:rsidRPr="009E4D06">
        <w:rPr>
          <w:rFonts w:ascii="Arial" w:eastAsia="Arial" w:hAnsi="Arial" w:cs="Arial"/>
          <w:b/>
          <w:bCs/>
          <w:sz w:val="16"/>
          <w:szCs w:val="16"/>
        </w:rPr>
        <w:t>fondo</w:t>
      </w:r>
      <w:r w:rsidR="0078723A" w:rsidRPr="009E4D06">
        <w:rPr>
          <w:rFonts w:ascii="Arial" w:eastAsia="Arial" w:hAnsi="Arial" w:cs="Arial"/>
          <w:b/>
          <w:bCs/>
          <w:sz w:val="16"/>
          <w:szCs w:val="16"/>
        </w:rPr>
        <w:t>.…</w:t>
      </w:r>
      <w:proofErr w:type="gramEnd"/>
      <w:r w:rsidR="0078723A" w:rsidRPr="009E4D06">
        <w:rPr>
          <w:rFonts w:ascii="Arial" w:eastAsia="Arial" w:hAnsi="Arial" w:cs="Arial"/>
          <w:b/>
          <w:bCs/>
          <w:sz w:val="16"/>
          <w:szCs w:val="16"/>
        </w:rPr>
        <w:t>..……………………………………………………</w:t>
      </w:r>
      <w:r w:rsidRPr="009E4D06">
        <w:rPr>
          <w:rFonts w:ascii="Arial" w:eastAsia="Arial" w:hAnsi="Arial" w:cs="Arial"/>
          <w:b/>
          <w:bCs/>
          <w:sz w:val="16"/>
          <w:szCs w:val="16"/>
        </w:rPr>
        <w:t>……………….</w:t>
      </w:r>
      <w:r w:rsidR="0078723A" w:rsidRPr="009E4D06">
        <w:rPr>
          <w:rFonts w:ascii="Arial" w:eastAsia="Arial" w:hAnsi="Arial" w:cs="Arial"/>
          <w:b/>
          <w:bCs/>
          <w:sz w:val="16"/>
          <w:szCs w:val="16"/>
        </w:rPr>
        <w:t>……....</w:t>
      </w:r>
      <w:r w:rsidR="009E4D06">
        <w:rPr>
          <w:rFonts w:ascii="Arial" w:eastAsia="Arial" w:hAnsi="Arial" w:cs="Arial"/>
          <w:b/>
          <w:bCs/>
          <w:sz w:val="16"/>
          <w:szCs w:val="16"/>
        </w:rPr>
        <w:t>.</w:t>
      </w:r>
      <w:r w:rsidR="009E4D06" w:rsidRPr="009E4D06">
        <w:rPr>
          <w:rFonts w:ascii="Arial" w:eastAsia="Arial" w:hAnsi="Arial" w:cs="Arial"/>
          <w:b/>
          <w:bCs/>
          <w:sz w:val="10"/>
          <w:szCs w:val="10"/>
        </w:rPr>
        <w:t>.</w:t>
      </w:r>
      <w:r w:rsidRPr="009E4D06">
        <w:rPr>
          <w:rFonts w:ascii="Arial" w:eastAsia="Arial" w:hAnsi="Arial" w:cs="Arial"/>
          <w:b/>
          <w:bCs/>
          <w:sz w:val="16"/>
          <w:szCs w:val="16"/>
        </w:rPr>
        <w:t>6</w:t>
      </w:r>
    </w:p>
    <w:p w14:paraId="7D4FF36F" w14:textId="1B5DC709" w:rsidR="00704F58" w:rsidRPr="009E4D06" w:rsidRDefault="0078723A">
      <w:pPr>
        <w:tabs>
          <w:tab w:val="left" w:pos="3402"/>
          <w:tab w:val="right" w:pos="8263"/>
        </w:tabs>
        <w:ind w:left="1488" w:right="-518"/>
        <w:rPr>
          <w:rFonts w:ascii="Arial" w:eastAsia="Arial" w:hAnsi="Arial" w:cs="Arial"/>
          <w:b/>
          <w:bCs/>
          <w:sz w:val="16"/>
          <w:szCs w:val="16"/>
        </w:rPr>
      </w:pPr>
      <w:r w:rsidRPr="009E4D06">
        <w:rPr>
          <w:rFonts w:ascii="Arial" w:eastAsia="Arial" w:hAnsi="Arial" w:cs="Arial"/>
          <w:b/>
          <w:bCs/>
          <w:sz w:val="16"/>
          <w:szCs w:val="16"/>
        </w:rPr>
        <w:t>Resolutivo ……………………………………………………………………………</w:t>
      </w:r>
      <w:proofErr w:type="gramStart"/>
      <w:r w:rsidRPr="009E4D06">
        <w:rPr>
          <w:rFonts w:ascii="Arial" w:eastAsia="Arial" w:hAnsi="Arial" w:cs="Arial"/>
          <w:b/>
          <w:bCs/>
          <w:sz w:val="16"/>
          <w:szCs w:val="16"/>
        </w:rPr>
        <w:t>……</w:t>
      </w:r>
      <w:r w:rsidR="00296BE5" w:rsidRPr="009E4D06">
        <w:rPr>
          <w:rFonts w:ascii="Arial" w:eastAsia="Arial" w:hAnsi="Arial" w:cs="Arial"/>
          <w:b/>
          <w:bCs/>
          <w:sz w:val="16"/>
          <w:szCs w:val="16"/>
        </w:rPr>
        <w:t>.</w:t>
      </w:r>
      <w:proofErr w:type="gramEnd"/>
      <w:r w:rsidRPr="009E4D06">
        <w:rPr>
          <w:rFonts w:ascii="Arial" w:eastAsia="Arial" w:hAnsi="Arial" w:cs="Arial"/>
          <w:b/>
          <w:bCs/>
          <w:sz w:val="16"/>
          <w:szCs w:val="16"/>
        </w:rPr>
        <w:t>……</w:t>
      </w:r>
      <w:r w:rsidR="009E4D06">
        <w:rPr>
          <w:rFonts w:ascii="Arial" w:eastAsia="Arial" w:hAnsi="Arial" w:cs="Arial"/>
          <w:b/>
          <w:bCs/>
          <w:sz w:val="16"/>
          <w:szCs w:val="16"/>
        </w:rPr>
        <w:t>…</w:t>
      </w:r>
      <w:r w:rsidRPr="009E4D06">
        <w:rPr>
          <w:rFonts w:ascii="Arial" w:eastAsia="Arial" w:hAnsi="Arial" w:cs="Arial"/>
          <w:b/>
          <w:bCs/>
          <w:sz w:val="16"/>
          <w:szCs w:val="16"/>
        </w:rPr>
        <w:t>.</w:t>
      </w:r>
      <w:r w:rsidR="00296BE5" w:rsidRPr="009E4D06">
        <w:rPr>
          <w:rFonts w:ascii="Arial" w:eastAsia="Arial" w:hAnsi="Arial" w:cs="Arial"/>
          <w:b/>
          <w:bCs/>
          <w:sz w:val="16"/>
          <w:szCs w:val="16"/>
        </w:rPr>
        <w:t>9</w:t>
      </w:r>
    </w:p>
    <w:p w14:paraId="7F3AD7B1" w14:textId="77777777" w:rsidR="00704F58" w:rsidRDefault="00704F58">
      <w:pPr>
        <w:tabs>
          <w:tab w:val="left" w:pos="3402"/>
          <w:tab w:val="right" w:pos="8263"/>
        </w:tabs>
        <w:ind w:left="1488" w:right="-518"/>
        <w:rPr>
          <w:rFonts w:ascii="Arial" w:eastAsia="Arial" w:hAnsi="Arial" w:cs="Arial"/>
          <w:b/>
          <w:sz w:val="16"/>
          <w:szCs w:val="16"/>
        </w:rPr>
      </w:pPr>
    </w:p>
    <w:p w14:paraId="0F719093" w14:textId="77777777" w:rsidR="00704F58" w:rsidRDefault="0078723A">
      <w:pPr>
        <w:tabs>
          <w:tab w:val="left" w:pos="4320"/>
        </w:tabs>
        <w:spacing w:line="360" w:lineRule="auto"/>
        <w:ind w:left="4320" w:right="2324" w:firstLine="75"/>
        <w:rPr>
          <w:rFonts w:ascii="Arial" w:eastAsia="Arial" w:hAnsi="Arial" w:cs="Arial"/>
          <w:b/>
          <w:sz w:val="16"/>
          <w:szCs w:val="16"/>
        </w:rPr>
      </w:pPr>
      <w:r>
        <w:rPr>
          <w:rFonts w:ascii="Arial" w:eastAsia="Arial" w:hAnsi="Arial" w:cs="Arial"/>
          <w:b/>
          <w:sz w:val="16"/>
          <w:szCs w:val="16"/>
        </w:rPr>
        <w:t>Glosario</w:t>
      </w:r>
    </w:p>
    <w:tbl>
      <w:tblPr>
        <w:tblStyle w:val="a9"/>
        <w:tblW w:w="6663" w:type="dxa"/>
        <w:tblInd w:w="1378" w:type="dxa"/>
        <w:tblLayout w:type="fixed"/>
        <w:tblLook w:val="0400" w:firstRow="0" w:lastRow="0" w:firstColumn="0" w:lastColumn="0" w:noHBand="0" w:noVBand="1"/>
      </w:tblPr>
      <w:tblGrid>
        <w:gridCol w:w="2209"/>
        <w:gridCol w:w="4454"/>
      </w:tblGrid>
      <w:tr w:rsidR="00704F58" w14:paraId="1DD84818" w14:textId="77777777" w:rsidTr="00381C5A">
        <w:trPr>
          <w:trHeight w:val="578"/>
        </w:trPr>
        <w:tc>
          <w:tcPr>
            <w:tcW w:w="2209" w:type="dxa"/>
          </w:tcPr>
          <w:p w14:paraId="15BFE5A8" w14:textId="77777777" w:rsidR="00ED577C" w:rsidRDefault="00ED577C" w:rsidP="00296BE5">
            <w:pPr>
              <w:tabs>
                <w:tab w:val="left" w:pos="4320"/>
              </w:tabs>
              <w:spacing w:line="276" w:lineRule="auto"/>
              <w:rPr>
                <w:rFonts w:ascii="Arial" w:eastAsia="Arial" w:hAnsi="Arial" w:cs="Arial"/>
                <w:b/>
                <w:sz w:val="16"/>
                <w:szCs w:val="16"/>
              </w:rPr>
            </w:pPr>
            <w:r>
              <w:rPr>
                <w:rFonts w:ascii="Arial" w:eastAsia="Arial" w:hAnsi="Arial" w:cs="Arial"/>
                <w:b/>
                <w:sz w:val="16"/>
                <w:szCs w:val="16"/>
              </w:rPr>
              <w:t>Código Electoral:</w:t>
            </w:r>
          </w:p>
          <w:p w14:paraId="1C497150" w14:textId="488CC508" w:rsidR="00ED577C" w:rsidRDefault="00ED577C" w:rsidP="00296BE5">
            <w:pPr>
              <w:tabs>
                <w:tab w:val="left" w:pos="4320"/>
              </w:tabs>
              <w:spacing w:line="276" w:lineRule="auto"/>
              <w:rPr>
                <w:rFonts w:ascii="Arial" w:eastAsia="Arial" w:hAnsi="Arial" w:cs="Arial"/>
                <w:b/>
                <w:sz w:val="16"/>
                <w:szCs w:val="16"/>
              </w:rPr>
            </w:pPr>
            <w:r>
              <w:rPr>
                <w:rFonts w:ascii="Arial" w:eastAsia="Arial" w:hAnsi="Arial" w:cs="Arial"/>
                <w:b/>
                <w:sz w:val="16"/>
                <w:szCs w:val="16"/>
              </w:rPr>
              <w:t>Consejo General:</w:t>
            </w:r>
          </w:p>
          <w:p w14:paraId="1F2555E4" w14:textId="5CCCEB34" w:rsidR="00ED577C" w:rsidRDefault="00ED577C" w:rsidP="00296BE5">
            <w:pPr>
              <w:tabs>
                <w:tab w:val="left" w:pos="4320"/>
              </w:tabs>
              <w:spacing w:line="276" w:lineRule="auto"/>
              <w:rPr>
                <w:rFonts w:ascii="Arial" w:eastAsia="Arial" w:hAnsi="Arial" w:cs="Arial"/>
                <w:b/>
                <w:sz w:val="16"/>
                <w:szCs w:val="16"/>
              </w:rPr>
            </w:pPr>
            <w:r>
              <w:rPr>
                <w:rFonts w:ascii="Arial" w:eastAsia="Arial" w:hAnsi="Arial" w:cs="Arial"/>
                <w:b/>
                <w:sz w:val="16"/>
                <w:szCs w:val="16"/>
              </w:rPr>
              <w:t>Comisión de Quejas y Denuncias:</w:t>
            </w:r>
          </w:p>
          <w:p w14:paraId="12C400D7" w14:textId="7091A9A0" w:rsidR="00704F58" w:rsidRDefault="0078723A" w:rsidP="00296BE5">
            <w:pPr>
              <w:tabs>
                <w:tab w:val="left" w:pos="4320"/>
              </w:tabs>
              <w:spacing w:line="276" w:lineRule="auto"/>
              <w:rPr>
                <w:rFonts w:ascii="Arial" w:eastAsia="Arial" w:hAnsi="Arial" w:cs="Arial"/>
                <w:b/>
                <w:sz w:val="16"/>
                <w:szCs w:val="16"/>
              </w:rPr>
            </w:pPr>
            <w:r>
              <w:rPr>
                <w:rFonts w:ascii="Arial" w:eastAsia="Arial" w:hAnsi="Arial" w:cs="Arial"/>
                <w:b/>
                <w:sz w:val="16"/>
                <w:szCs w:val="16"/>
              </w:rPr>
              <w:t>Denunciante:</w:t>
            </w:r>
          </w:p>
          <w:p w14:paraId="0460FCBE" w14:textId="77777777" w:rsidR="00704F58" w:rsidRDefault="0078723A" w:rsidP="00296BE5">
            <w:pPr>
              <w:tabs>
                <w:tab w:val="left" w:pos="4320"/>
              </w:tabs>
              <w:spacing w:line="276" w:lineRule="auto"/>
              <w:rPr>
                <w:rFonts w:ascii="Arial" w:eastAsia="Arial" w:hAnsi="Arial" w:cs="Arial"/>
                <w:b/>
                <w:sz w:val="16"/>
                <w:szCs w:val="16"/>
              </w:rPr>
            </w:pPr>
            <w:r>
              <w:rPr>
                <w:rFonts w:ascii="Arial" w:eastAsia="Arial" w:hAnsi="Arial" w:cs="Arial"/>
                <w:b/>
                <w:sz w:val="16"/>
                <w:szCs w:val="16"/>
              </w:rPr>
              <w:t xml:space="preserve">Denunciado: </w:t>
            </w:r>
          </w:p>
          <w:p w14:paraId="4484FA28" w14:textId="77777777" w:rsidR="00ED577C" w:rsidRDefault="00ED577C" w:rsidP="00ED577C">
            <w:pPr>
              <w:tabs>
                <w:tab w:val="left" w:pos="4320"/>
              </w:tabs>
              <w:spacing w:line="276" w:lineRule="auto"/>
              <w:ind w:left="306"/>
              <w:rPr>
                <w:rFonts w:ascii="Arial" w:eastAsia="Arial" w:hAnsi="Arial" w:cs="Arial"/>
                <w:b/>
                <w:sz w:val="16"/>
                <w:szCs w:val="16"/>
              </w:rPr>
            </w:pPr>
          </w:p>
          <w:p w14:paraId="3A294544" w14:textId="77777777" w:rsidR="00ED577C" w:rsidRDefault="00ED577C" w:rsidP="00ED577C">
            <w:pPr>
              <w:tabs>
                <w:tab w:val="left" w:pos="4320"/>
              </w:tabs>
              <w:spacing w:line="276" w:lineRule="auto"/>
              <w:ind w:left="306"/>
              <w:rPr>
                <w:rFonts w:ascii="Arial" w:eastAsia="Arial" w:hAnsi="Arial" w:cs="Arial"/>
                <w:b/>
                <w:sz w:val="16"/>
                <w:szCs w:val="16"/>
              </w:rPr>
            </w:pPr>
          </w:p>
          <w:p w14:paraId="1C918F5B" w14:textId="349432DF" w:rsidR="00ED577C" w:rsidRDefault="00ED577C" w:rsidP="00296BE5">
            <w:pPr>
              <w:tabs>
                <w:tab w:val="left" w:pos="4320"/>
              </w:tabs>
              <w:spacing w:line="276" w:lineRule="auto"/>
              <w:rPr>
                <w:rFonts w:ascii="Arial" w:eastAsia="Arial" w:hAnsi="Arial" w:cs="Arial"/>
                <w:b/>
                <w:sz w:val="16"/>
                <w:szCs w:val="16"/>
              </w:rPr>
            </w:pPr>
            <w:r>
              <w:rPr>
                <w:rFonts w:ascii="Arial" w:eastAsia="Arial" w:hAnsi="Arial" w:cs="Arial"/>
                <w:b/>
                <w:sz w:val="16"/>
                <w:szCs w:val="16"/>
              </w:rPr>
              <w:t>Instituto local:</w:t>
            </w:r>
          </w:p>
          <w:p w14:paraId="168A6C7C" w14:textId="77777777" w:rsidR="00ED577C" w:rsidRDefault="00ED577C" w:rsidP="00296BE5">
            <w:pPr>
              <w:tabs>
                <w:tab w:val="left" w:pos="4320"/>
              </w:tabs>
              <w:spacing w:line="276" w:lineRule="auto"/>
              <w:rPr>
                <w:rFonts w:ascii="Arial" w:eastAsia="Arial" w:hAnsi="Arial" w:cs="Arial"/>
                <w:b/>
                <w:sz w:val="16"/>
                <w:szCs w:val="16"/>
              </w:rPr>
            </w:pPr>
            <w:r>
              <w:rPr>
                <w:rFonts w:ascii="Arial" w:eastAsia="Arial" w:hAnsi="Arial" w:cs="Arial"/>
                <w:b/>
                <w:sz w:val="16"/>
                <w:szCs w:val="16"/>
              </w:rPr>
              <w:t>LEGIPE:</w:t>
            </w:r>
          </w:p>
          <w:p w14:paraId="5E2EEB4B" w14:textId="77777777" w:rsidR="00ED577C" w:rsidRDefault="00ED577C" w:rsidP="00ED577C">
            <w:pPr>
              <w:tabs>
                <w:tab w:val="left" w:pos="4320"/>
              </w:tabs>
              <w:spacing w:line="276" w:lineRule="auto"/>
              <w:ind w:left="306"/>
              <w:rPr>
                <w:rFonts w:ascii="Arial" w:eastAsia="Arial" w:hAnsi="Arial" w:cs="Arial"/>
                <w:b/>
                <w:sz w:val="16"/>
                <w:szCs w:val="16"/>
              </w:rPr>
            </w:pPr>
          </w:p>
          <w:p w14:paraId="3F30FBF2" w14:textId="31DBF411" w:rsidR="00704F58" w:rsidRDefault="0078723A" w:rsidP="00296BE5">
            <w:pPr>
              <w:tabs>
                <w:tab w:val="left" w:pos="4320"/>
              </w:tabs>
              <w:spacing w:line="276" w:lineRule="auto"/>
              <w:rPr>
                <w:rFonts w:ascii="Arial" w:eastAsia="Arial" w:hAnsi="Arial" w:cs="Arial"/>
                <w:b/>
                <w:sz w:val="16"/>
                <w:szCs w:val="16"/>
              </w:rPr>
            </w:pPr>
            <w:r>
              <w:rPr>
                <w:rFonts w:ascii="Arial" w:eastAsia="Arial" w:hAnsi="Arial" w:cs="Arial"/>
                <w:b/>
                <w:sz w:val="16"/>
                <w:szCs w:val="16"/>
              </w:rPr>
              <w:t>PAN:</w:t>
            </w:r>
          </w:p>
          <w:p w14:paraId="553E3DD7" w14:textId="77777777" w:rsidR="00704F58" w:rsidRDefault="0078723A" w:rsidP="00296BE5">
            <w:pPr>
              <w:tabs>
                <w:tab w:val="left" w:pos="4320"/>
              </w:tabs>
              <w:spacing w:line="276" w:lineRule="auto"/>
              <w:rPr>
                <w:rFonts w:ascii="Arial" w:eastAsia="Arial" w:hAnsi="Arial" w:cs="Arial"/>
                <w:b/>
                <w:sz w:val="16"/>
                <w:szCs w:val="16"/>
              </w:rPr>
            </w:pPr>
            <w:r>
              <w:rPr>
                <w:rFonts w:ascii="Arial" w:eastAsia="Arial" w:hAnsi="Arial" w:cs="Arial"/>
                <w:b/>
                <w:sz w:val="16"/>
                <w:szCs w:val="16"/>
              </w:rPr>
              <w:lastRenderedPageBreak/>
              <w:t>PRI:</w:t>
            </w:r>
          </w:p>
          <w:p w14:paraId="7E1CE19A" w14:textId="77777777" w:rsidR="00704F58" w:rsidRDefault="0078723A" w:rsidP="00296BE5">
            <w:pPr>
              <w:tabs>
                <w:tab w:val="left" w:pos="4320"/>
              </w:tabs>
              <w:spacing w:line="276" w:lineRule="auto"/>
              <w:rPr>
                <w:rFonts w:ascii="Arial" w:eastAsia="Arial" w:hAnsi="Arial" w:cs="Arial"/>
                <w:b/>
                <w:sz w:val="16"/>
                <w:szCs w:val="16"/>
              </w:rPr>
            </w:pPr>
            <w:r>
              <w:rPr>
                <w:rFonts w:ascii="Arial" w:eastAsia="Arial" w:hAnsi="Arial" w:cs="Arial"/>
                <w:b/>
                <w:sz w:val="16"/>
                <w:szCs w:val="16"/>
              </w:rPr>
              <w:t>PRD:</w:t>
            </w:r>
          </w:p>
          <w:p w14:paraId="12ABFD2C" w14:textId="65E85A25" w:rsidR="00ED577C" w:rsidRDefault="00ED577C" w:rsidP="00296BE5">
            <w:pPr>
              <w:tabs>
                <w:tab w:val="left" w:pos="4320"/>
              </w:tabs>
              <w:spacing w:line="276" w:lineRule="auto"/>
              <w:rPr>
                <w:rFonts w:ascii="Arial" w:eastAsia="Arial" w:hAnsi="Arial" w:cs="Arial"/>
                <w:b/>
                <w:sz w:val="16"/>
                <w:szCs w:val="16"/>
              </w:rPr>
            </w:pPr>
            <w:r>
              <w:rPr>
                <w:rFonts w:ascii="Arial" w:eastAsia="Arial" w:hAnsi="Arial" w:cs="Arial"/>
                <w:b/>
                <w:sz w:val="16"/>
                <w:szCs w:val="16"/>
              </w:rPr>
              <w:t>Secretario Ejecutivo:</w:t>
            </w:r>
          </w:p>
        </w:tc>
        <w:tc>
          <w:tcPr>
            <w:tcW w:w="4454" w:type="dxa"/>
          </w:tcPr>
          <w:p w14:paraId="2FC5899E" w14:textId="77777777" w:rsidR="00ED577C" w:rsidRDefault="00ED577C" w:rsidP="00ED577C">
            <w:pPr>
              <w:tabs>
                <w:tab w:val="left" w:pos="4320"/>
              </w:tabs>
              <w:spacing w:line="276" w:lineRule="auto"/>
              <w:ind w:left="306" w:right="-95"/>
              <w:jc w:val="both"/>
              <w:rPr>
                <w:rFonts w:ascii="Arial" w:eastAsia="Arial" w:hAnsi="Arial" w:cs="Arial"/>
                <w:sz w:val="16"/>
                <w:szCs w:val="16"/>
              </w:rPr>
            </w:pPr>
            <w:r>
              <w:rPr>
                <w:rFonts w:ascii="Arial" w:eastAsia="Arial" w:hAnsi="Arial" w:cs="Arial"/>
                <w:sz w:val="16"/>
                <w:szCs w:val="16"/>
              </w:rPr>
              <w:lastRenderedPageBreak/>
              <w:t xml:space="preserve">Código Electoral del Estado de Aguascalientes. </w:t>
            </w:r>
          </w:p>
          <w:p w14:paraId="1FCBA983" w14:textId="483D3E73" w:rsidR="00ED577C" w:rsidRDefault="00ED577C" w:rsidP="00ED577C">
            <w:pPr>
              <w:tabs>
                <w:tab w:val="left" w:pos="4320"/>
              </w:tabs>
              <w:spacing w:line="276" w:lineRule="auto"/>
              <w:ind w:left="306" w:right="-95"/>
              <w:jc w:val="both"/>
              <w:rPr>
                <w:rFonts w:ascii="Arial" w:eastAsia="Arial" w:hAnsi="Arial" w:cs="Arial"/>
                <w:sz w:val="16"/>
                <w:szCs w:val="16"/>
              </w:rPr>
            </w:pPr>
            <w:r>
              <w:rPr>
                <w:rFonts w:ascii="Arial" w:eastAsia="Arial" w:hAnsi="Arial" w:cs="Arial"/>
                <w:sz w:val="16"/>
                <w:szCs w:val="16"/>
              </w:rPr>
              <w:t>Consejo General del Instituto Estatal Electoral.</w:t>
            </w:r>
          </w:p>
          <w:p w14:paraId="7E9A60A2" w14:textId="3CE6B9DD" w:rsidR="00ED577C" w:rsidRDefault="00ED577C" w:rsidP="00ED577C">
            <w:pPr>
              <w:tabs>
                <w:tab w:val="left" w:pos="4320"/>
              </w:tabs>
              <w:spacing w:line="276" w:lineRule="auto"/>
              <w:ind w:left="306" w:right="-95"/>
              <w:jc w:val="both"/>
              <w:rPr>
                <w:rFonts w:ascii="Arial" w:eastAsia="Arial" w:hAnsi="Arial" w:cs="Arial"/>
                <w:sz w:val="16"/>
                <w:szCs w:val="16"/>
              </w:rPr>
            </w:pPr>
            <w:r>
              <w:rPr>
                <w:rFonts w:ascii="Arial" w:eastAsia="Arial" w:hAnsi="Arial" w:cs="Arial"/>
                <w:sz w:val="16"/>
                <w:szCs w:val="16"/>
              </w:rPr>
              <w:t>Comisión de Quejas y Denuncias del Instituto Estatal Electoral.</w:t>
            </w:r>
          </w:p>
          <w:p w14:paraId="6B1C2B04" w14:textId="3C680BD3" w:rsidR="00704F58" w:rsidRDefault="0078723A" w:rsidP="00ED577C">
            <w:pPr>
              <w:tabs>
                <w:tab w:val="left" w:pos="4320"/>
              </w:tabs>
              <w:spacing w:line="276" w:lineRule="auto"/>
              <w:ind w:left="306" w:right="-95"/>
              <w:jc w:val="both"/>
              <w:rPr>
                <w:rFonts w:ascii="Arial" w:eastAsia="Arial" w:hAnsi="Arial" w:cs="Arial"/>
                <w:sz w:val="16"/>
                <w:szCs w:val="16"/>
              </w:rPr>
            </w:pPr>
            <w:r>
              <w:rPr>
                <w:rFonts w:ascii="Arial" w:eastAsia="Arial" w:hAnsi="Arial" w:cs="Arial"/>
                <w:sz w:val="16"/>
                <w:szCs w:val="16"/>
              </w:rPr>
              <w:t>Morena.</w:t>
            </w:r>
          </w:p>
          <w:p w14:paraId="32AB34D6" w14:textId="77777777" w:rsidR="00704F58" w:rsidRDefault="0078723A" w:rsidP="00ED577C">
            <w:pPr>
              <w:tabs>
                <w:tab w:val="left" w:pos="4320"/>
              </w:tabs>
              <w:spacing w:line="276" w:lineRule="auto"/>
              <w:ind w:left="306" w:right="-95"/>
              <w:jc w:val="both"/>
              <w:rPr>
                <w:rFonts w:ascii="Arial" w:eastAsia="Arial" w:hAnsi="Arial" w:cs="Arial"/>
                <w:sz w:val="16"/>
                <w:szCs w:val="16"/>
              </w:rPr>
            </w:pPr>
            <w:r>
              <w:rPr>
                <w:rFonts w:ascii="Arial" w:eastAsia="Arial" w:hAnsi="Arial" w:cs="Arial"/>
                <w:sz w:val="16"/>
                <w:szCs w:val="16"/>
              </w:rPr>
              <w:t>María Teresa Jiménez Esquivel, candidata de la coalición “Va por Aguascalientes” a la gubernatura de la entidad, así como el PAN, PRI y PRD.</w:t>
            </w:r>
          </w:p>
          <w:p w14:paraId="7871B667" w14:textId="77777777" w:rsidR="00ED577C" w:rsidRDefault="00ED577C" w:rsidP="00ED577C">
            <w:pPr>
              <w:tabs>
                <w:tab w:val="left" w:pos="4320"/>
              </w:tabs>
              <w:spacing w:line="276" w:lineRule="auto"/>
              <w:ind w:left="306" w:right="-95"/>
              <w:jc w:val="both"/>
              <w:rPr>
                <w:rFonts w:ascii="Arial" w:eastAsia="Arial" w:hAnsi="Arial" w:cs="Arial"/>
                <w:sz w:val="16"/>
                <w:szCs w:val="16"/>
              </w:rPr>
            </w:pPr>
            <w:r>
              <w:rPr>
                <w:rFonts w:ascii="Arial" w:eastAsia="Arial" w:hAnsi="Arial" w:cs="Arial"/>
                <w:sz w:val="16"/>
                <w:szCs w:val="16"/>
              </w:rPr>
              <w:t>Instituto Estatal Electoral de Aguascalientes.</w:t>
            </w:r>
          </w:p>
          <w:p w14:paraId="42112239" w14:textId="265ABC00" w:rsidR="00ED577C" w:rsidRDefault="00ED577C" w:rsidP="00ED577C">
            <w:pPr>
              <w:tabs>
                <w:tab w:val="left" w:pos="4320"/>
              </w:tabs>
              <w:spacing w:line="276" w:lineRule="auto"/>
              <w:ind w:left="306" w:right="-95"/>
              <w:jc w:val="both"/>
              <w:rPr>
                <w:rFonts w:ascii="Arial" w:eastAsia="Arial" w:hAnsi="Arial" w:cs="Arial"/>
                <w:sz w:val="16"/>
                <w:szCs w:val="16"/>
              </w:rPr>
            </w:pPr>
            <w:r>
              <w:rPr>
                <w:rFonts w:ascii="Arial" w:eastAsia="Arial" w:hAnsi="Arial" w:cs="Arial"/>
                <w:sz w:val="16"/>
                <w:szCs w:val="16"/>
              </w:rPr>
              <w:t>Ley General de Instituciones y Procedimientos Electorales.</w:t>
            </w:r>
          </w:p>
          <w:p w14:paraId="6D16BD4C" w14:textId="3B0175CE" w:rsidR="00704F58" w:rsidRDefault="0078723A" w:rsidP="00ED577C">
            <w:pPr>
              <w:tabs>
                <w:tab w:val="left" w:pos="4320"/>
              </w:tabs>
              <w:spacing w:line="276" w:lineRule="auto"/>
              <w:ind w:left="306" w:right="-95"/>
              <w:jc w:val="both"/>
              <w:rPr>
                <w:rFonts w:ascii="Arial" w:eastAsia="Arial" w:hAnsi="Arial" w:cs="Arial"/>
                <w:sz w:val="16"/>
                <w:szCs w:val="16"/>
              </w:rPr>
            </w:pPr>
            <w:r>
              <w:rPr>
                <w:rFonts w:ascii="Arial" w:eastAsia="Arial" w:hAnsi="Arial" w:cs="Arial"/>
                <w:sz w:val="16"/>
                <w:szCs w:val="16"/>
              </w:rPr>
              <w:t>Partido Acción Nacional.</w:t>
            </w:r>
          </w:p>
          <w:p w14:paraId="1C68F85C" w14:textId="77777777" w:rsidR="00704F58" w:rsidRDefault="0078723A" w:rsidP="00ED577C">
            <w:pPr>
              <w:tabs>
                <w:tab w:val="left" w:pos="4320"/>
              </w:tabs>
              <w:spacing w:line="276" w:lineRule="auto"/>
              <w:ind w:left="306" w:right="-95"/>
              <w:jc w:val="both"/>
              <w:rPr>
                <w:rFonts w:ascii="Arial" w:eastAsia="Arial" w:hAnsi="Arial" w:cs="Arial"/>
                <w:sz w:val="16"/>
                <w:szCs w:val="16"/>
              </w:rPr>
            </w:pPr>
            <w:r>
              <w:rPr>
                <w:rFonts w:ascii="Arial" w:eastAsia="Arial" w:hAnsi="Arial" w:cs="Arial"/>
                <w:sz w:val="16"/>
                <w:szCs w:val="16"/>
              </w:rPr>
              <w:lastRenderedPageBreak/>
              <w:t xml:space="preserve">Partido Revolucionario Institucional. </w:t>
            </w:r>
          </w:p>
          <w:p w14:paraId="625C9788" w14:textId="77777777" w:rsidR="00704F58" w:rsidRDefault="0078723A" w:rsidP="00ED577C">
            <w:pPr>
              <w:tabs>
                <w:tab w:val="left" w:pos="4320"/>
              </w:tabs>
              <w:spacing w:line="276" w:lineRule="auto"/>
              <w:ind w:left="306" w:right="-95"/>
              <w:jc w:val="both"/>
              <w:rPr>
                <w:rFonts w:ascii="Arial" w:eastAsia="Arial" w:hAnsi="Arial" w:cs="Arial"/>
                <w:sz w:val="16"/>
                <w:szCs w:val="16"/>
              </w:rPr>
            </w:pPr>
            <w:r>
              <w:rPr>
                <w:rFonts w:ascii="Arial" w:eastAsia="Arial" w:hAnsi="Arial" w:cs="Arial"/>
                <w:sz w:val="16"/>
                <w:szCs w:val="16"/>
              </w:rPr>
              <w:t>Partido de la Revolución Democrática.</w:t>
            </w:r>
          </w:p>
          <w:p w14:paraId="38E3FFC7" w14:textId="6FD6BBF1" w:rsidR="00ED577C" w:rsidRDefault="00ED577C" w:rsidP="00ED577C">
            <w:pPr>
              <w:tabs>
                <w:tab w:val="left" w:pos="4320"/>
              </w:tabs>
              <w:spacing w:line="276" w:lineRule="auto"/>
              <w:ind w:left="306" w:right="-95"/>
              <w:jc w:val="both"/>
              <w:rPr>
                <w:rFonts w:ascii="Arial" w:eastAsia="Arial" w:hAnsi="Arial" w:cs="Arial"/>
                <w:sz w:val="16"/>
                <w:szCs w:val="16"/>
              </w:rPr>
            </w:pPr>
            <w:r>
              <w:rPr>
                <w:rFonts w:ascii="Arial" w:eastAsia="Arial" w:hAnsi="Arial" w:cs="Arial"/>
                <w:sz w:val="16"/>
                <w:szCs w:val="16"/>
              </w:rPr>
              <w:t>Secretario Ejecutivo del Consejo General del Instituto Estatal Electoral.</w:t>
            </w:r>
          </w:p>
        </w:tc>
      </w:tr>
    </w:tbl>
    <w:p w14:paraId="0E0FA352" w14:textId="77777777" w:rsidR="00704F58" w:rsidRPr="009E4D06" w:rsidRDefault="00704F58" w:rsidP="009E4D06">
      <w:pPr>
        <w:pStyle w:val="Sinespaciado"/>
      </w:pPr>
    </w:p>
    <w:p w14:paraId="08F93EE9" w14:textId="790B12B9" w:rsidR="00704F58" w:rsidRDefault="00ED577C">
      <w:pPr>
        <w:numPr>
          <w:ilvl w:val="0"/>
          <w:numId w:val="1"/>
        </w:numPr>
        <w:pBdr>
          <w:top w:val="nil"/>
          <w:left w:val="nil"/>
          <w:bottom w:val="nil"/>
          <w:right w:val="nil"/>
          <w:between w:val="nil"/>
        </w:pBdr>
        <w:tabs>
          <w:tab w:val="left" w:pos="284"/>
        </w:tabs>
        <w:spacing w:line="360" w:lineRule="auto"/>
        <w:ind w:left="1080" w:right="36" w:hanging="1080"/>
        <w:jc w:val="both"/>
        <w:rPr>
          <w:rFonts w:ascii="Arial" w:eastAsia="Arial" w:hAnsi="Arial" w:cs="Arial"/>
          <w:color w:val="000000"/>
          <w:sz w:val="24"/>
          <w:szCs w:val="24"/>
        </w:rPr>
      </w:pPr>
      <w:r>
        <w:rPr>
          <w:rFonts w:ascii="Arial" w:eastAsia="Arial" w:hAnsi="Arial" w:cs="Arial"/>
          <w:b/>
          <w:color w:val="000000"/>
          <w:sz w:val="24"/>
          <w:szCs w:val="24"/>
        </w:rPr>
        <w:t>Contexto</w:t>
      </w:r>
      <w:r w:rsidR="0078723A">
        <w:rPr>
          <w:rFonts w:ascii="Arial" w:eastAsia="Arial" w:hAnsi="Arial" w:cs="Arial"/>
          <w:b/>
          <w:color w:val="000000"/>
          <w:sz w:val="24"/>
          <w:szCs w:val="24"/>
        </w:rPr>
        <w:t xml:space="preserve"> del caso</w:t>
      </w:r>
      <w:r w:rsidR="0078723A">
        <w:rPr>
          <w:rFonts w:ascii="Arial" w:eastAsia="Arial" w:hAnsi="Arial" w:cs="Arial"/>
          <w:b/>
          <w:color w:val="000000"/>
          <w:sz w:val="24"/>
          <w:szCs w:val="24"/>
          <w:vertAlign w:val="superscript"/>
        </w:rPr>
        <w:footnoteReference w:id="2"/>
      </w:r>
    </w:p>
    <w:p w14:paraId="5CEF1402" w14:textId="77777777" w:rsidR="00704F58" w:rsidRDefault="00704F58" w:rsidP="00296BE5">
      <w:pPr>
        <w:pStyle w:val="Sinespaciado"/>
      </w:pPr>
    </w:p>
    <w:p w14:paraId="5ADF86BD" w14:textId="77777777" w:rsidR="00704F58" w:rsidRDefault="0078723A">
      <w:pPr>
        <w:tabs>
          <w:tab w:val="left" w:pos="284"/>
        </w:tabs>
        <w:spacing w:line="360" w:lineRule="auto"/>
        <w:jc w:val="both"/>
        <w:rPr>
          <w:rFonts w:ascii="Arial" w:eastAsia="Arial" w:hAnsi="Arial" w:cs="Arial"/>
          <w:sz w:val="24"/>
          <w:szCs w:val="24"/>
        </w:rPr>
      </w:pPr>
      <w:r>
        <w:rPr>
          <w:rFonts w:ascii="Arial" w:eastAsia="Arial" w:hAnsi="Arial" w:cs="Arial"/>
          <w:b/>
          <w:sz w:val="24"/>
          <w:szCs w:val="24"/>
        </w:rPr>
        <w:t>1. PEL (2021-2022).</w:t>
      </w:r>
      <w:r>
        <w:rPr>
          <w:rFonts w:ascii="Arial" w:eastAsia="Arial" w:hAnsi="Arial" w:cs="Arial"/>
          <w:sz w:val="24"/>
          <w:szCs w:val="24"/>
        </w:rPr>
        <w:t xml:space="preserve"> El 7 de octubre de 2021, inició el proceso electoral local para renovar la gubernatura del estado de Aguascalientes.</w:t>
      </w:r>
      <w:r>
        <w:rPr>
          <w:rFonts w:ascii="Arial" w:eastAsia="Arial" w:hAnsi="Arial" w:cs="Arial"/>
          <w:sz w:val="24"/>
          <w:szCs w:val="24"/>
          <w:vertAlign w:val="superscript"/>
        </w:rPr>
        <w:footnoteReference w:id="3"/>
      </w:r>
    </w:p>
    <w:p w14:paraId="4C40DDB8" w14:textId="77777777" w:rsidR="00704F58" w:rsidRDefault="00704F58">
      <w:pPr>
        <w:pBdr>
          <w:top w:val="nil"/>
          <w:left w:val="nil"/>
          <w:bottom w:val="nil"/>
          <w:right w:val="nil"/>
          <w:between w:val="nil"/>
        </w:pBdr>
        <w:rPr>
          <w:color w:val="000000"/>
        </w:rPr>
      </w:pPr>
    </w:p>
    <w:p w14:paraId="6F86CC9C" w14:textId="77777777" w:rsidR="00704F58" w:rsidRDefault="0078723A">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bookmarkStart w:id="4" w:name="_heading=h.1fob9te" w:colFirst="0" w:colLast="0"/>
      <w:bookmarkEnd w:id="4"/>
      <w:r>
        <w:rPr>
          <w:rFonts w:ascii="Arial" w:eastAsia="Arial" w:hAnsi="Arial" w:cs="Arial"/>
          <w:b/>
          <w:sz w:val="24"/>
          <w:szCs w:val="24"/>
        </w:rPr>
        <w:t xml:space="preserve">2. Denuncia. </w:t>
      </w:r>
      <w:r>
        <w:rPr>
          <w:rFonts w:ascii="Arial" w:eastAsia="Arial" w:hAnsi="Arial" w:cs="Arial"/>
          <w:sz w:val="24"/>
          <w:szCs w:val="24"/>
        </w:rPr>
        <w:t xml:space="preserve">El 5 de junio, Morena presentó una queja ante el Instituto Local, en contra de María Teresa Jiménez Esquivel, candidata de la coalición “Va por Aguascalientes” a la gubernatura de la entidad, por </w:t>
      </w:r>
      <w:bookmarkStart w:id="5" w:name="_Hlk106361545"/>
      <w:r>
        <w:rPr>
          <w:rFonts w:ascii="Arial" w:eastAsia="Arial" w:hAnsi="Arial" w:cs="Arial"/>
          <w:sz w:val="24"/>
          <w:szCs w:val="24"/>
        </w:rPr>
        <w:t xml:space="preserve">la supuesta coacción al voto, ya que, a dicho del quejoso, la denunciada ofreció un pago a la ciudadanía a cambio de la emisión del voto a su favor; así como en contra del PAN, PRI y PRD, integrantes de dicha coalición, por </w:t>
      </w:r>
      <w:r>
        <w:rPr>
          <w:rFonts w:ascii="Arial" w:eastAsia="Arial" w:hAnsi="Arial" w:cs="Arial"/>
          <w:i/>
          <w:sz w:val="24"/>
          <w:szCs w:val="24"/>
        </w:rPr>
        <w:t>culpa in vigilando</w:t>
      </w:r>
      <w:r>
        <w:rPr>
          <w:rFonts w:ascii="Arial" w:eastAsia="Arial" w:hAnsi="Arial" w:cs="Arial"/>
          <w:sz w:val="24"/>
          <w:szCs w:val="24"/>
        </w:rPr>
        <w:t>. También solicitó la admisión de medidas cautelares.</w:t>
      </w:r>
      <w:bookmarkEnd w:id="5"/>
    </w:p>
    <w:p w14:paraId="216464AD" w14:textId="77777777" w:rsidR="00704F58" w:rsidRDefault="00704F58">
      <w:pPr>
        <w:pBdr>
          <w:top w:val="nil"/>
          <w:left w:val="nil"/>
          <w:bottom w:val="nil"/>
          <w:right w:val="nil"/>
          <w:between w:val="nil"/>
        </w:pBdr>
        <w:rPr>
          <w:color w:val="000000"/>
        </w:rPr>
      </w:pPr>
    </w:p>
    <w:p w14:paraId="2376F8D2" w14:textId="77777777" w:rsidR="00704F58" w:rsidRDefault="0078723A">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3. Radicación y admisión (IEE/PES/108/2022).</w:t>
      </w:r>
      <w:r>
        <w:rPr>
          <w:rFonts w:ascii="Arial" w:eastAsia="Arial" w:hAnsi="Arial" w:cs="Arial"/>
          <w:sz w:val="24"/>
          <w:szCs w:val="24"/>
        </w:rPr>
        <w:t xml:space="preserve"> Al día siguiente, el </w:t>
      </w:r>
      <w:proofErr w:type="gramStart"/>
      <w:r>
        <w:rPr>
          <w:rFonts w:ascii="Arial" w:eastAsia="Arial" w:hAnsi="Arial" w:cs="Arial"/>
          <w:sz w:val="24"/>
          <w:szCs w:val="24"/>
        </w:rPr>
        <w:t>Secretario Ejecutivo</w:t>
      </w:r>
      <w:proofErr w:type="gramEnd"/>
      <w:r>
        <w:rPr>
          <w:rFonts w:ascii="Arial" w:eastAsia="Arial" w:hAnsi="Arial" w:cs="Arial"/>
          <w:sz w:val="24"/>
          <w:szCs w:val="24"/>
        </w:rPr>
        <w:t xml:space="preserve"> radicó y admitió a trámite la queja, asignándole el número de expediente IEE/PES/108/2022. Asimismo, fijó fecha para la celebración de la audiencia de prueba y alegatos. </w:t>
      </w:r>
    </w:p>
    <w:p w14:paraId="26345E11" w14:textId="77777777" w:rsidR="00704F58" w:rsidRDefault="00704F58">
      <w:pPr>
        <w:pBdr>
          <w:top w:val="nil"/>
          <w:left w:val="nil"/>
          <w:bottom w:val="nil"/>
          <w:right w:val="nil"/>
          <w:between w:val="nil"/>
        </w:pBdr>
        <w:rPr>
          <w:color w:val="000000"/>
        </w:rPr>
      </w:pPr>
    </w:p>
    <w:p w14:paraId="42097A7B" w14:textId="77777777" w:rsidR="00704F58" w:rsidRDefault="0078723A">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4. Valoración de medidas cautelares.</w:t>
      </w:r>
      <w:r>
        <w:rPr>
          <w:rFonts w:ascii="Arial" w:eastAsia="Arial" w:hAnsi="Arial" w:cs="Arial"/>
          <w:sz w:val="24"/>
          <w:szCs w:val="24"/>
        </w:rPr>
        <w:t xml:space="preserve"> El 8 del mismo mes, la Secretaría Ejecutiva determinó </w:t>
      </w:r>
      <w:r>
        <w:rPr>
          <w:rFonts w:ascii="Arial" w:eastAsia="Arial" w:hAnsi="Arial" w:cs="Arial"/>
          <w:b/>
          <w:sz w:val="24"/>
          <w:szCs w:val="24"/>
        </w:rPr>
        <w:t xml:space="preserve">no proponer </w:t>
      </w:r>
      <w:r>
        <w:rPr>
          <w:rFonts w:ascii="Arial" w:eastAsia="Arial" w:hAnsi="Arial" w:cs="Arial"/>
          <w:sz w:val="24"/>
          <w:szCs w:val="24"/>
        </w:rPr>
        <w:t xml:space="preserve">la adopción de medidas cautelares a la Comisión de Quejas y Denuncias, en atención a que las posibles afectaciones alegadas por el denunciante habían cesado, ya que las medidas preventivas versaban sobre acciones a realizar el día de la jornada electoral, y a la fecha de su valoración, </w:t>
      </w:r>
      <w:proofErr w:type="spellStart"/>
      <w:r>
        <w:rPr>
          <w:rFonts w:ascii="Arial" w:eastAsia="Arial" w:hAnsi="Arial" w:cs="Arial"/>
          <w:sz w:val="24"/>
          <w:szCs w:val="24"/>
        </w:rPr>
        <w:t>esta</w:t>
      </w:r>
      <w:proofErr w:type="spellEnd"/>
      <w:r>
        <w:rPr>
          <w:rFonts w:ascii="Arial" w:eastAsia="Arial" w:hAnsi="Arial" w:cs="Arial"/>
          <w:sz w:val="24"/>
          <w:szCs w:val="24"/>
        </w:rPr>
        <w:t xml:space="preserve"> ya había concluido. </w:t>
      </w:r>
    </w:p>
    <w:p w14:paraId="00ACA564" w14:textId="77777777" w:rsidR="00704F58" w:rsidRDefault="00704F58" w:rsidP="009E4D06">
      <w:pPr>
        <w:pStyle w:val="Sinespaciado"/>
        <w:rPr>
          <w:rFonts w:eastAsia="Arial"/>
        </w:rPr>
      </w:pPr>
    </w:p>
    <w:p w14:paraId="7A51A599" w14:textId="77777777" w:rsidR="00704F58" w:rsidRDefault="0078723A">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5. Audiencia de pruebas y alegatos</w:t>
      </w:r>
      <w:r>
        <w:rPr>
          <w:rFonts w:ascii="Arial" w:eastAsia="Arial" w:hAnsi="Arial" w:cs="Arial"/>
          <w:sz w:val="24"/>
          <w:szCs w:val="24"/>
        </w:rPr>
        <w:t xml:space="preserve">. El 10 de junio, la Secretaría Ejecutiva celebró la audiencia de pruebas y alegatos. El día consecuente, rindió el informe circunstanciado y remitió el expediente a este Tribunal. </w:t>
      </w:r>
    </w:p>
    <w:p w14:paraId="294AC83C" w14:textId="77777777" w:rsidR="00704F58" w:rsidRDefault="00704F58">
      <w:pPr>
        <w:pBdr>
          <w:top w:val="nil"/>
          <w:left w:val="nil"/>
          <w:bottom w:val="nil"/>
          <w:right w:val="nil"/>
          <w:between w:val="nil"/>
        </w:pBdr>
        <w:rPr>
          <w:color w:val="000000"/>
        </w:rPr>
      </w:pPr>
    </w:p>
    <w:p w14:paraId="34F06929" w14:textId="77777777" w:rsidR="00704F58" w:rsidRDefault="0078723A">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6. Turno y radicación del expediente TEEA-PES-056/2022.</w:t>
      </w:r>
      <w:r>
        <w:rPr>
          <w:rFonts w:ascii="Arial" w:eastAsia="Arial" w:hAnsi="Arial" w:cs="Arial"/>
          <w:sz w:val="24"/>
          <w:szCs w:val="24"/>
        </w:rPr>
        <w:t xml:space="preserve"> En misma fecha, la Magistrada </w:t>
      </w:r>
      <w:proofErr w:type="gramStart"/>
      <w:r>
        <w:rPr>
          <w:rFonts w:ascii="Arial" w:eastAsia="Arial" w:hAnsi="Arial" w:cs="Arial"/>
          <w:sz w:val="24"/>
          <w:szCs w:val="24"/>
        </w:rPr>
        <w:t>Presidenta</w:t>
      </w:r>
      <w:proofErr w:type="gramEnd"/>
      <w:r>
        <w:rPr>
          <w:rFonts w:ascii="Arial" w:eastAsia="Arial" w:hAnsi="Arial" w:cs="Arial"/>
          <w:sz w:val="24"/>
          <w:szCs w:val="24"/>
        </w:rPr>
        <w:t xml:space="preserve"> ordenó el registro del asunto con el número de expediente TEEA-PES-056/2022 y lo turnó a la Ponencia de la Magistrada Laura Hortensia Llamas Hernández, quien en su oportunidad lo radicó, y al no existir mayores diligencias por realizar, ordenó la formulación del proyecto.</w:t>
      </w:r>
    </w:p>
    <w:p w14:paraId="05FF08B0" w14:textId="77777777" w:rsidR="00704F58" w:rsidRDefault="00704F58">
      <w:pPr>
        <w:pBdr>
          <w:top w:val="nil"/>
          <w:left w:val="nil"/>
          <w:bottom w:val="nil"/>
          <w:right w:val="nil"/>
          <w:between w:val="nil"/>
        </w:pBdr>
        <w:rPr>
          <w:color w:val="000000"/>
        </w:rPr>
      </w:pPr>
    </w:p>
    <w:p w14:paraId="23FD03A8" w14:textId="77777777" w:rsidR="00704F58" w:rsidRDefault="0078723A">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rPr>
        <w:t xml:space="preserve">II. Competencia. </w:t>
      </w:r>
      <w:r>
        <w:rPr>
          <w:rFonts w:ascii="Arial" w:eastAsia="Arial" w:hAnsi="Arial" w:cs="Arial"/>
          <w:sz w:val="24"/>
          <w:szCs w:val="24"/>
        </w:rPr>
        <w:t xml:space="preserve">Este Tribunal Electoral es competente para resolver el presente procedimiento especial sancionador, porque se relaciona con la posible comisión de coacción en la intención o preferencia del voto de las y los electores, infracción que está prevista en el artículo 7 del Código Electoral, derivado de la supuesta entrega de un </w:t>
      </w:r>
      <w:r>
        <w:rPr>
          <w:rFonts w:ascii="Arial" w:eastAsia="Arial" w:hAnsi="Arial" w:cs="Arial"/>
          <w:sz w:val="24"/>
          <w:szCs w:val="24"/>
        </w:rPr>
        <w:lastRenderedPageBreak/>
        <w:t xml:space="preserve">contrarrecibo (cupón) que permite el pago por la emisión del voto en favor de la candidata denunciada. Lo anterior, de conformidad con los artículos 244, fracción XI, 252, fracción II, 274 y 275 del Código Electoral.  </w:t>
      </w:r>
    </w:p>
    <w:p w14:paraId="3C8214F4" w14:textId="77777777" w:rsidR="00704F58" w:rsidRDefault="00704F58">
      <w:pPr>
        <w:pBdr>
          <w:top w:val="nil"/>
          <w:left w:val="nil"/>
          <w:bottom w:val="nil"/>
          <w:right w:val="nil"/>
          <w:between w:val="nil"/>
        </w:pBdr>
        <w:rPr>
          <w:color w:val="000000"/>
        </w:rPr>
      </w:pPr>
    </w:p>
    <w:p w14:paraId="656AB512" w14:textId="77777777" w:rsidR="00704F58" w:rsidRDefault="0078723A">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III. Personería. </w:t>
      </w:r>
      <w:r>
        <w:rPr>
          <w:rFonts w:ascii="Arial" w:eastAsia="Arial" w:hAnsi="Arial" w:cs="Arial"/>
          <w:color w:val="000000"/>
          <w:sz w:val="24"/>
          <w:szCs w:val="24"/>
        </w:rPr>
        <w:t xml:space="preserve">La autoridad instructora tuvo por acreditada la personería del denunciante, así como de las partes denunciadas. </w:t>
      </w:r>
    </w:p>
    <w:p w14:paraId="49B16AF9" w14:textId="77777777" w:rsidR="00704F58" w:rsidRDefault="00704F58">
      <w:pPr>
        <w:pBdr>
          <w:top w:val="nil"/>
          <w:left w:val="nil"/>
          <w:bottom w:val="nil"/>
          <w:right w:val="nil"/>
          <w:between w:val="nil"/>
        </w:pBdr>
        <w:rPr>
          <w:color w:val="000000"/>
        </w:rPr>
      </w:pPr>
    </w:p>
    <w:p w14:paraId="3661C0D4" w14:textId="77777777" w:rsidR="00704F58" w:rsidRDefault="0078723A">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color w:val="000000"/>
          <w:sz w:val="24"/>
          <w:szCs w:val="24"/>
        </w:rPr>
        <w:t xml:space="preserve">IV. Causales de improcedencia. </w:t>
      </w:r>
      <w:r>
        <w:rPr>
          <w:rFonts w:ascii="Arial" w:eastAsia="Arial" w:hAnsi="Arial" w:cs="Arial"/>
          <w:color w:val="000000"/>
          <w:sz w:val="24"/>
          <w:szCs w:val="24"/>
        </w:rPr>
        <w:t>La ciudadana María Teresa Jiménez Esquivel</w:t>
      </w:r>
      <w:r>
        <w:rPr>
          <w:rFonts w:ascii="Arial" w:eastAsia="Arial" w:hAnsi="Arial" w:cs="Arial"/>
          <w:sz w:val="24"/>
          <w:szCs w:val="24"/>
        </w:rPr>
        <w:t xml:space="preserve">, el PAN y el PRI, en sus escritos de contestación, refieren que la denuncia presentada en su contra es </w:t>
      </w:r>
      <w:r>
        <w:rPr>
          <w:rFonts w:ascii="Arial" w:eastAsia="Arial" w:hAnsi="Arial" w:cs="Arial"/>
          <w:b/>
          <w:sz w:val="24"/>
          <w:szCs w:val="24"/>
        </w:rPr>
        <w:t>frívola</w:t>
      </w:r>
      <w:r>
        <w:rPr>
          <w:rFonts w:ascii="Arial" w:eastAsia="Arial" w:hAnsi="Arial" w:cs="Arial"/>
          <w:sz w:val="24"/>
          <w:szCs w:val="24"/>
        </w:rPr>
        <w:t>, ya que no se ofrecieron elementos de prueba que permitan acreditar los hechos denunciados.</w:t>
      </w:r>
    </w:p>
    <w:p w14:paraId="5F2F4DD8" w14:textId="77777777" w:rsidR="00704F58" w:rsidRDefault="00704F58">
      <w:pPr>
        <w:pBdr>
          <w:top w:val="nil"/>
          <w:left w:val="nil"/>
          <w:bottom w:val="nil"/>
          <w:right w:val="nil"/>
          <w:between w:val="nil"/>
        </w:pBdr>
        <w:rPr>
          <w:color w:val="000000"/>
        </w:rPr>
      </w:pPr>
    </w:p>
    <w:p w14:paraId="34CA4697" w14:textId="77777777" w:rsidR="00704F58" w:rsidRDefault="0078723A">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El artículo 270, fracción V, del Código Electoral</w:t>
      </w:r>
      <w:r>
        <w:rPr>
          <w:rFonts w:ascii="Arial" w:eastAsia="Arial" w:hAnsi="Arial" w:cs="Arial"/>
          <w:sz w:val="24"/>
          <w:szCs w:val="24"/>
          <w:vertAlign w:val="superscript"/>
        </w:rPr>
        <w:footnoteReference w:id="4"/>
      </w:r>
      <w:r>
        <w:rPr>
          <w:rFonts w:ascii="Arial" w:eastAsia="Arial" w:hAnsi="Arial" w:cs="Arial"/>
          <w:sz w:val="24"/>
          <w:szCs w:val="24"/>
        </w:rPr>
        <w:t xml:space="preserve"> establece que la denuncia se desechará de plano, cuando sea evidentemente frívola. Esta causal se actualiza cuando de la denuncia se advierta que las pretensiones de la parte quejosa no podrían lograrse jurídicamente, por no estar al alcance del derecho o bien, que no existan pruebas que sirvan para acreditar la infracción.</w:t>
      </w:r>
    </w:p>
    <w:p w14:paraId="4F02D0A4" w14:textId="77777777" w:rsidR="00704F58" w:rsidRDefault="0078723A">
      <w:pPr>
        <w:tabs>
          <w:tab w:val="left" w:pos="426"/>
        </w:tabs>
        <w:spacing w:before="240" w:line="360" w:lineRule="auto"/>
        <w:ind w:right="40"/>
        <w:jc w:val="both"/>
        <w:rPr>
          <w:rFonts w:ascii="Arial" w:eastAsia="Arial" w:hAnsi="Arial" w:cs="Arial"/>
          <w:sz w:val="24"/>
          <w:szCs w:val="24"/>
        </w:rPr>
      </w:pPr>
      <w:r>
        <w:rPr>
          <w:rFonts w:ascii="Arial" w:eastAsia="Arial" w:hAnsi="Arial" w:cs="Arial"/>
          <w:sz w:val="24"/>
          <w:szCs w:val="24"/>
        </w:rPr>
        <w:t>Al respecto, este Tribunal considera que del escrito de la denuncia y de las constancias del expediente, se advierte que el denunciante señaló los hechos y las infracciones que, a su criterio se acreditan, además, de que ofreció las pruebas que estimó pertinentes, por tanto, no es posible actualizar tal causal de improcedencia, pues el quejoso ofreció las pruebas que consideró necesarias para la acreditación de los hechos cuestionados. Por tanto, la posible actualización de la infracción, en todo caso, es materia de análisis en el estudio de fondo de la presente resolución.</w:t>
      </w:r>
    </w:p>
    <w:p w14:paraId="3A0B0FDA" w14:textId="77777777" w:rsidR="00704F58" w:rsidRDefault="00704F58" w:rsidP="00381C5A">
      <w:pPr>
        <w:pStyle w:val="Sinespaciado"/>
        <w:rPr>
          <w:rFonts w:eastAsia="Arial"/>
        </w:rPr>
      </w:pPr>
    </w:p>
    <w:p w14:paraId="30FBF6B5" w14:textId="4D345352" w:rsidR="00296BE5" w:rsidRDefault="0078723A" w:rsidP="00296BE5">
      <w:pPr>
        <w:tabs>
          <w:tab w:val="left" w:pos="426"/>
        </w:tabs>
        <w:spacing w:line="360" w:lineRule="auto"/>
        <w:ind w:right="40"/>
        <w:jc w:val="both"/>
        <w:rPr>
          <w:rFonts w:ascii="Arial" w:eastAsia="Arial" w:hAnsi="Arial" w:cs="Arial"/>
          <w:sz w:val="24"/>
          <w:szCs w:val="24"/>
        </w:rPr>
      </w:pPr>
      <w:r>
        <w:rPr>
          <w:rFonts w:ascii="Arial" w:eastAsia="Arial" w:hAnsi="Arial" w:cs="Arial"/>
          <w:sz w:val="24"/>
          <w:szCs w:val="24"/>
        </w:rPr>
        <w:t xml:space="preserve">Ahora bien, en cuanto a los argumentos de la candidata denunciada y del PAN, encaminados a desacreditar que los hechos cuestionados constituyen una violación en materia electoral; este órgano jurisdiccional estima que, dado que se denuncia la coacción en el electorado derivado de la entrega de contrarrecibos por los cuales se ofrece un pago a cambio de la emisión del voto en favor de la cuestionada, ello constituye la posible vulneración al artículo 7, del Código Electoral. Por lo anterior, la conducta denunciada sí se encuentra prevista en la normativa electoral, y la posible inobservancia a tal prohibición debe ser materia de estudio por este Tribunal Electoral. </w:t>
      </w:r>
    </w:p>
    <w:p w14:paraId="6B6D5B43" w14:textId="145818B9" w:rsidR="00296BE5" w:rsidRDefault="00296BE5" w:rsidP="00296BE5">
      <w:pPr>
        <w:pStyle w:val="Sinespaciado"/>
        <w:rPr>
          <w:rFonts w:eastAsia="Arial"/>
        </w:rPr>
      </w:pPr>
    </w:p>
    <w:p w14:paraId="550920FD" w14:textId="5A43732F" w:rsidR="00296BE5" w:rsidRDefault="00296BE5" w:rsidP="00296BE5">
      <w:pPr>
        <w:rPr>
          <w:rFonts w:eastAsia="Arial"/>
        </w:rPr>
      </w:pPr>
      <w:r>
        <w:rPr>
          <w:rFonts w:eastAsia="Arial"/>
        </w:rPr>
        <w:br w:type="page"/>
      </w:r>
    </w:p>
    <w:p w14:paraId="1CE5D893" w14:textId="6354382D" w:rsidR="00704F58" w:rsidRPr="00296BE5" w:rsidRDefault="0078723A" w:rsidP="00296BE5">
      <w:pPr>
        <w:tabs>
          <w:tab w:val="left" w:pos="426"/>
        </w:tabs>
        <w:spacing w:line="360" w:lineRule="auto"/>
        <w:ind w:right="40"/>
        <w:jc w:val="both"/>
        <w:rPr>
          <w:rFonts w:ascii="Arial" w:eastAsia="Arial" w:hAnsi="Arial" w:cs="Arial"/>
          <w:sz w:val="24"/>
          <w:szCs w:val="24"/>
        </w:rPr>
      </w:pPr>
      <w:r>
        <w:rPr>
          <w:rFonts w:ascii="Arial" w:eastAsia="Arial" w:hAnsi="Arial" w:cs="Arial"/>
          <w:b/>
          <w:color w:val="000000"/>
          <w:sz w:val="24"/>
          <w:szCs w:val="24"/>
        </w:rPr>
        <w:lastRenderedPageBreak/>
        <w:t xml:space="preserve">V. Estudio de fondo </w:t>
      </w:r>
    </w:p>
    <w:p w14:paraId="38B234D4" w14:textId="77777777" w:rsidR="00704F58" w:rsidRDefault="00704F58">
      <w:pPr>
        <w:pBdr>
          <w:top w:val="nil"/>
          <w:left w:val="nil"/>
          <w:bottom w:val="nil"/>
          <w:right w:val="nil"/>
          <w:between w:val="nil"/>
        </w:pBdr>
        <w:rPr>
          <w:color w:val="000000"/>
          <w:sz w:val="14"/>
          <w:szCs w:val="14"/>
        </w:rPr>
      </w:pPr>
    </w:p>
    <w:p w14:paraId="27A1700D" w14:textId="77777777" w:rsidR="00704F58" w:rsidRDefault="0078723A">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1. Hechos denunciados </w:t>
      </w:r>
    </w:p>
    <w:p w14:paraId="77545DB0" w14:textId="77777777" w:rsidR="00704F58" w:rsidRDefault="00704F58">
      <w:pPr>
        <w:pBdr>
          <w:top w:val="nil"/>
          <w:left w:val="nil"/>
          <w:bottom w:val="nil"/>
          <w:right w:val="nil"/>
          <w:between w:val="nil"/>
        </w:pBdr>
        <w:rPr>
          <w:color w:val="000000"/>
          <w:sz w:val="16"/>
          <w:szCs w:val="16"/>
        </w:rPr>
      </w:pPr>
    </w:p>
    <w:p w14:paraId="7A9B2743" w14:textId="7C8A747F" w:rsidR="00704F58" w:rsidRDefault="0078723A">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bookmarkStart w:id="6" w:name="_heading=h.3znysh7" w:colFirst="0" w:colLast="0"/>
      <w:bookmarkEnd w:id="6"/>
      <w:r>
        <w:rPr>
          <w:rFonts w:ascii="Arial" w:eastAsia="Arial" w:hAnsi="Arial" w:cs="Arial"/>
          <w:b/>
          <w:sz w:val="24"/>
          <w:szCs w:val="24"/>
        </w:rPr>
        <w:t>1.1.</w:t>
      </w:r>
      <w:r>
        <w:rPr>
          <w:rFonts w:ascii="Arial" w:eastAsia="Arial" w:hAnsi="Arial" w:cs="Arial"/>
          <w:b/>
          <w:i/>
          <w:sz w:val="24"/>
          <w:szCs w:val="24"/>
        </w:rPr>
        <w:t xml:space="preserve"> </w:t>
      </w:r>
      <w:r>
        <w:rPr>
          <w:rFonts w:ascii="Arial" w:eastAsia="Arial" w:hAnsi="Arial" w:cs="Arial"/>
          <w:b/>
          <w:sz w:val="24"/>
          <w:szCs w:val="24"/>
        </w:rPr>
        <w:t xml:space="preserve">En contra de María Teresa Jiménez Esquivel. </w:t>
      </w:r>
      <w:r>
        <w:rPr>
          <w:rFonts w:ascii="Arial" w:eastAsia="Arial" w:hAnsi="Arial" w:cs="Arial"/>
          <w:sz w:val="24"/>
          <w:szCs w:val="24"/>
        </w:rPr>
        <w:t xml:space="preserve">Morena refiere que la candidata denunciada </w:t>
      </w:r>
      <w:r>
        <w:rPr>
          <w:rFonts w:ascii="Arial" w:eastAsia="Arial" w:hAnsi="Arial" w:cs="Arial"/>
          <w:b/>
          <w:sz w:val="24"/>
          <w:szCs w:val="24"/>
        </w:rPr>
        <w:t xml:space="preserve">coaccionó el voto de la ciudadanía, </w:t>
      </w:r>
      <w:r>
        <w:rPr>
          <w:rFonts w:ascii="Arial" w:eastAsia="Arial" w:hAnsi="Arial" w:cs="Arial"/>
          <w:sz w:val="24"/>
          <w:szCs w:val="24"/>
        </w:rPr>
        <w:t xml:space="preserve">derivado de la entrega de </w:t>
      </w:r>
      <w:r w:rsidR="00381C5A">
        <w:rPr>
          <w:rFonts w:ascii="Arial" w:eastAsia="Arial" w:hAnsi="Arial" w:cs="Arial"/>
          <w:sz w:val="24"/>
          <w:szCs w:val="24"/>
        </w:rPr>
        <w:t>contrarrecibos</w:t>
      </w:r>
      <w:r>
        <w:rPr>
          <w:rFonts w:ascii="Arial" w:eastAsia="Arial" w:hAnsi="Arial" w:cs="Arial"/>
          <w:sz w:val="24"/>
          <w:szCs w:val="24"/>
        </w:rPr>
        <w:t xml:space="preserve"> (cupón) personalizados y foliados, por los que se ofrecía un pago a cambio del voto a su favor. Asimismo, exhibe un audio en el cual, a su criterio, se describe la operatividad de tales acciones. El cupón en cuestión es el siguiente: </w:t>
      </w:r>
    </w:p>
    <w:p w14:paraId="2D3E3F22" w14:textId="77777777" w:rsidR="00704F58" w:rsidRDefault="00704F58" w:rsidP="00381C5A">
      <w:pPr>
        <w:pStyle w:val="Sinespaciado"/>
        <w:rPr>
          <w:rFonts w:eastAsia="Arial"/>
        </w:rPr>
      </w:pPr>
    </w:p>
    <w:tbl>
      <w:tblPr>
        <w:tblStyle w:val="aa"/>
        <w:tblW w:w="96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39"/>
        <w:gridCol w:w="4839"/>
      </w:tblGrid>
      <w:tr w:rsidR="00704F58" w14:paraId="0C38632A" w14:textId="77777777">
        <w:tc>
          <w:tcPr>
            <w:tcW w:w="4839" w:type="dxa"/>
          </w:tcPr>
          <w:p w14:paraId="4808D6B0" w14:textId="77777777" w:rsidR="00704F58" w:rsidRDefault="0078723A">
            <w:pPr>
              <w:tabs>
                <w:tab w:val="left" w:pos="426"/>
              </w:tabs>
              <w:spacing w:line="360" w:lineRule="auto"/>
              <w:ind w:right="36"/>
              <w:jc w:val="center"/>
              <w:rPr>
                <w:rFonts w:ascii="Arial" w:eastAsia="Arial" w:hAnsi="Arial" w:cs="Arial"/>
                <w:b/>
                <w:sz w:val="24"/>
                <w:szCs w:val="24"/>
              </w:rPr>
            </w:pPr>
            <w:r>
              <w:rPr>
                <w:rFonts w:ascii="Arial" w:eastAsia="Arial" w:hAnsi="Arial" w:cs="Arial"/>
                <w:b/>
                <w:sz w:val="24"/>
                <w:szCs w:val="24"/>
              </w:rPr>
              <w:t>Imagen</w:t>
            </w:r>
          </w:p>
        </w:tc>
        <w:tc>
          <w:tcPr>
            <w:tcW w:w="4839" w:type="dxa"/>
          </w:tcPr>
          <w:p w14:paraId="162107E4" w14:textId="77777777" w:rsidR="00704F58" w:rsidRDefault="0078723A">
            <w:pPr>
              <w:tabs>
                <w:tab w:val="left" w:pos="426"/>
              </w:tabs>
              <w:spacing w:line="360" w:lineRule="auto"/>
              <w:ind w:right="36"/>
              <w:jc w:val="center"/>
              <w:rPr>
                <w:rFonts w:ascii="Arial" w:eastAsia="Arial" w:hAnsi="Arial" w:cs="Arial"/>
                <w:b/>
                <w:sz w:val="24"/>
                <w:szCs w:val="24"/>
              </w:rPr>
            </w:pPr>
            <w:r>
              <w:rPr>
                <w:rFonts w:ascii="Arial" w:eastAsia="Arial" w:hAnsi="Arial" w:cs="Arial"/>
                <w:b/>
                <w:sz w:val="24"/>
                <w:szCs w:val="24"/>
              </w:rPr>
              <w:t>Texto</w:t>
            </w:r>
          </w:p>
        </w:tc>
      </w:tr>
      <w:tr w:rsidR="00704F58" w14:paraId="76BB330E" w14:textId="77777777">
        <w:tc>
          <w:tcPr>
            <w:tcW w:w="4839" w:type="dxa"/>
          </w:tcPr>
          <w:p w14:paraId="6A40F19C" w14:textId="77777777" w:rsidR="00704F58" w:rsidRDefault="0078723A">
            <w:pPr>
              <w:tabs>
                <w:tab w:val="left" w:pos="426"/>
              </w:tabs>
              <w:spacing w:line="360" w:lineRule="auto"/>
              <w:ind w:right="36"/>
              <w:jc w:val="both"/>
              <w:rPr>
                <w:rFonts w:ascii="Arial" w:eastAsia="Arial" w:hAnsi="Arial" w:cs="Arial"/>
                <w:sz w:val="24"/>
                <w:szCs w:val="24"/>
              </w:rPr>
            </w:pPr>
            <w:r>
              <w:rPr>
                <w:noProof/>
              </w:rPr>
              <w:drawing>
                <wp:inline distT="0" distB="0" distL="0" distR="0" wp14:anchorId="0C1E81FC" wp14:editId="096D5F7E">
                  <wp:extent cx="2659380" cy="678180"/>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l="2106" t="48880" r="54665" b="31524"/>
                          <a:stretch>
                            <a:fillRect/>
                          </a:stretch>
                        </pic:blipFill>
                        <pic:spPr>
                          <a:xfrm>
                            <a:off x="0" y="0"/>
                            <a:ext cx="2659380" cy="678180"/>
                          </a:xfrm>
                          <a:prstGeom prst="rect">
                            <a:avLst/>
                          </a:prstGeom>
                          <a:ln/>
                        </pic:spPr>
                      </pic:pic>
                    </a:graphicData>
                  </a:graphic>
                </wp:inline>
              </w:drawing>
            </w:r>
          </w:p>
        </w:tc>
        <w:tc>
          <w:tcPr>
            <w:tcW w:w="4839" w:type="dxa"/>
          </w:tcPr>
          <w:p w14:paraId="5881E615" w14:textId="77777777" w:rsidR="00704F58" w:rsidRDefault="0078723A">
            <w:pPr>
              <w:tabs>
                <w:tab w:val="left" w:pos="426"/>
              </w:tabs>
              <w:spacing w:line="360" w:lineRule="auto"/>
              <w:ind w:right="36"/>
              <w:jc w:val="both"/>
              <w:rPr>
                <w:rFonts w:ascii="Arial" w:eastAsia="Arial" w:hAnsi="Arial" w:cs="Arial"/>
              </w:rPr>
            </w:pPr>
            <w:r>
              <w:rPr>
                <w:rFonts w:ascii="Arial" w:eastAsia="Arial" w:hAnsi="Arial" w:cs="Arial"/>
              </w:rPr>
              <w:t>Tere ¡yo ya voté por lo que tanto queremos!</w:t>
            </w:r>
          </w:p>
          <w:p w14:paraId="0A648980" w14:textId="77777777" w:rsidR="00704F58" w:rsidRDefault="0078723A">
            <w:pPr>
              <w:tabs>
                <w:tab w:val="left" w:pos="426"/>
              </w:tabs>
              <w:spacing w:line="360" w:lineRule="auto"/>
              <w:ind w:right="36"/>
              <w:jc w:val="both"/>
              <w:rPr>
                <w:rFonts w:ascii="Arial" w:eastAsia="Arial" w:hAnsi="Arial" w:cs="Arial"/>
              </w:rPr>
            </w:pPr>
            <w:r>
              <w:rPr>
                <w:rFonts w:ascii="Arial" w:eastAsia="Arial" w:hAnsi="Arial" w:cs="Arial"/>
              </w:rPr>
              <w:t xml:space="preserve">Nombre: Rocío del Carmen </w:t>
            </w:r>
            <w:proofErr w:type="spellStart"/>
            <w:r>
              <w:rPr>
                <w:rFonts w:ascii="Arial" w:eastAsia="Arial" w:hAnsi="Arial" w:cs="Arial"/>
              </w:rPr>
              <w:t>Gallardo</w:t>
            </w:r>
            <w:proofErr w:type="spellEnd"/>
            <w:r>
              <w:rPr>
                <w:rFonts w:ascii="Arial" w:eastAsia="Arial" w:hAnsi="Arial" w:cs="Arial"/>
              </w:rPr>
              <w:t xml:space="preserve"> Alba</w:t>
            </w:r>
          </w:p>
          <w:p w14:paraId="4DFBAD1F" w14:textId="77777777" w:rsidR="00704F58" w:rsidRDefault="0078723A">
            <w:pPr>
              <w:tabs>
                <w:tab w:val="left" w:pos="426"/>
              </w:tabs>
              <w:spacing w:line="360" w:lineRule="auto"/>
              <w:ind w:right="36"/>
              <w:jc w:val="both"/>
              <w:rPr>
                <w:rFonts w:ascii="Arial" w:eastAsia="Arial" w:hAnsi="Arial" w:cs="Arial"/>
              </w:rPr>
            </w:pPr>
            <w:r>
              <w:rPr>
                <w:rFonts w:ascii="Arial" w:eastAsia="Arial" w:hAnsi="Arial" w:cs="Arial"/>
              </w:rPr>
              <w:t>Dirección: Saturnino Barragán #718</w:t>
            </w:r>
          </w:p>
          <w:p w14:paraId="4B2D4BE3" w14:textId="77777777" w:rsidR="00704F58" w:rsidRDefault="0078723A">
            <w:pPr>
              <w:tabs>
                <w:tab w:val="left" w:pos="426"/>
              </w:tabs>
              <w:spacing w:line="360" w:lineRule="auto"/>
              <w:ind w:right="36"/>
              <w:jc w:val="both"/>
              <w:rPr>
                <w:rFonts w:ascii="Arial" w:eastAsia="Arial" w:hAnsi="Arial" w:cs="Arial"/>
              </w:rPr>
            </w:pPr>
            <w:r>
              <w:rPr>
                <w:rFonts w:ascii="Arial" w:eastAsia="Arial" w:hAnsi="Arial" w:cs="Arial"/>
              </w:rPr>
              <w:t>Colonia: Plutarco Elías Calles</w:t>
            </w:r>
          </w:p>
          <w:p w14:paraId="5D0A7F1C" w14:textId="6BE363A5" w:rsidR="00704F58" w:rsidRDefault="0078723A">
            <w:pPr>
              <w:tabs>
                <w:tab w:val="left" w:pos="426"/>
              </w:tabs>
              <w:spacing w:line="360" w:lineRule="auto"/>
              <w:ind w:right="36"/>
              <w:jc w:val="both"/>
              <w:rPr>
                <w:rFonts w:ascii="Arial" w:eastAsia="Arial" w:hAnsi="Arial" w:cs="Arial"/>
              </w:rPr>
            </w:pPr>
            <w:r>
              <w:rPr>
                <w:rFonts w:ascii="Arial" w:eastAsia="Arial" w:hAnsi="Arial" w:cs="Arial"/>
              </w:rPr>
              <w:t>421-91</w:t>
            </w:r>
            <w:r w:rsidR="00296BE5">
              <w:rPr>
                <w:rFonts w:ascii="Arial" w:eastAsia="Arial" w:hAnsi="Arial" w:cs="Arial"/>
              </w:rPr>
              <w:t xml:space="preserve">      </w:t>
            </w:r>
            <w:r>
              <w:rPr>
                <w:rFonts w:ascii="Arial" w:eastAsia="Arial" w:hAnsi="Arial" w:cs="Arial"/>
              </w:rPr>
              <w:t>219010</w:t>
            </w:r>
          </w:p>
        </w:tc>
      </w:tr>
    </w:tbl>
    <w:p w14:paraId="06A290C8" w14:textId="77777777" w:rsidR="00704F58" w:rsidRDefault="00704F58" w:rsidP="00381C5A">
      <w:pPr>
        <w:pStyle w:val="Sinespaciado"/>
        <w:rPr>
          <w:rFonts w:eastAsia="Arial"/>
        </w:rPr>
      </w:pPr>
    </w:p>
    <w:p w14:paraId="7A21699B" w14:textId="45BF49C3" w:rsidR="00704F58" w:rsidRDefault="0078723A">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 xml:space="preserve">Ahora bien, del audio se desprende lo siguiente: </w:t>
      </w:r>
    </w:p>
    <w:p w14:paraId="567D9AC0" w14:textId="77777777" w:rsidR="00381C5A" w:rsidRDefault="00381C5A" w:rsidP="00381C5A">
      <w:pPr>
        <w:pStyle w:val="Sinespaciado"/>
        <w:rPr>
          <w:rFonts w:eastAsia="Arial"/>
        </w:rPr>
      </w:pPr>
    </w:p>
    <w:p w14:paraId="6EDD5312" w14:textId="77777777" w:rsidR="00704F58" w:rsidRDefault="0078723A">
      <w:pPr>
        <w:pBdr>
          <w:top w:val="nil"/>
          <w:left w:val="nil"/>
          <w:bottom w:val="nil"/>
          <w:right w:val="nil"/>
          <w:between w:val="nil"/>
        </w:pBdr>
        <w:tabs>
          <w:tab w:val="left" w:pos="426"/>
        </w:tabs>
        <w:spacing w:line="360" w:lineRule="auto"/>
        <w:ind w:left="425" w:right="604"/>
        <w:jc w:val="both"/>
        <w:rPr>
          <w:rFonts w:ascii="Arial" w:eastAsia="Arial" w:hAnsi="Arial" w:cs="Arial"/>
          <w:i/>
          <w:sz w:val="22"/>
          <w:szCs w:val="22"/>
        </w:rPr>
      </w:pPr>
      <w:r>
        <w:rPr>
          <w:rFonts w:ascii="Arial" w:eastAsia="Arial" w:hAnsi="Arial" w:cs="Arial"/>
          <w:i/>
          <w:sz w:val="22"/>
          <w:szCs w:val="22"/>
        </w:rPr>
        <w:t xml:space="preserve">“[...] que les dan cuando van a votar, este ya que hayan marcado el PAN van a poner ese papelito que yo les voy a dar, lo van a poner así arriba del papel y le van a tomar la foto, ya no se la van a tomar ustedes de su cara porque anteriormente yo les había dicho que en la cara, que se tenían que tomar una foto que saliera su cara verdad, para identificarlos, bueno ahora ya no, por eso se les va a dar ese papelito, haz de cuenta que ese papelito es su foto de ustedes, lo van a poner ahí arriba de la boleta y le van a tomar la foto discretamente, así como le dije que no se den cuenta y ya. Entonces ya saliendo, ustedes enseñan esa foto que esté bien legible, que esté bien subrayadita la palomita donde dice PAN y con ese código, porque si no está bien subrayado y no tiene la foto de ese código, ese folio no se les va pagar. Desde ahorita se los digo, nos están diciendo para que les digamos para que no haya pretexto de que no, yo sí </w:t>
      </w:r>
      <w:proofErr w:type="gramStart"/>
      <w:r>
        <w:rPr>
          <w:rFonts w:ascii="Arial" w:eastAsia="Arial" w:hAnsi="Arial" w:cs="Arial"/>
          <w:i/>
          <w:sz w:val="22"/>
          <w:szCs w:val="22"/>
        </w:rPr>
        <w:t>voté</w:t>
      </w:r>
      <w:proofErr w:type="gramEnd"/>
      <w:r>
        <w:rPr>
          <w:rFonts w:ascii="Arial" w:eastAsia="Arial" w:hAnsi="Arial" w:cs="Arial"/>
          <w:i/>
          <w:sz w:val="22"/>
          <w:szCs w:val="22"/>
        </w:rPr>
        <w:t xml:space="preserve"> pero se me olvidó pasar por el papelito, por el folio que me ibas a dar, no, no va a ser válido, no les van a pagar, no les van a dar nada si no llevan la foto de ese papelito. Ese papelito se lo van a tomar junto con la </w:t>
      </w:r>
      <w:proofErr w:type="spellStart"/>
      <w:r>
        <w:rPr>
          <w:rFonts w:ascii="Arial" w:eastAsia="Arial" w:hAnsi="Arial" w:cs="Arial"/>
          <w:i/>
          <w:sz w:val="22"/>
          <w:szCs w:val="22"/>
        </w:rPr>
        <w:t>desta</w:t>
      </w:r>
      <w:proofErr w:type="spellEnd"/>
      <w:r>
        <w:rPr>
          <w:rFonts w:ascii="Arial" w:eastAsia="Arial" w:hAnsi="Arial" w:cs="Arial"/>
          <w:i/>
          <w:sz w:val="22"/>
          <w:szCs w:val="22"/>
        </w:rPr>
        <w:t xml:space="preserve">, y ese papelito me lo van a entregar a mí de regreso, no se van a quedar con él, nada más se los voy a prestar para que me lo regresen, no se vayan a quedar con él y mucho menos lo vayan a tirar ahí adentro de la casilla, que lo dejen ahí botado, no, se lo traen porque me lo van a regresar a mí, los tengo que regresar otra vez, nada más. Y ya el domingo, yo como quiera les voy a volver a explicar bien </w:t>
      </w:r>
      <w:proofErr w:type="spellStart"/>
      <w:r>
        <w:rPr>
          <w:rFonts w:ascii="Arial" w:eastAsia="Arial" w:hAnsi="Arial" w:cs="Arial"/>
          <w:i/>
          <w:sz w:val="22"/>
          <w:szCs w:val="22"/>
        </w:rPr>
        <w:t>bien</w:t>
      </w:r>
      <w:proofErr w:type="spellEnd"/>
      <w:r>
        <w:rPr>
          <w:rFonts w:ascii="Arial" w:eastAsia="Arial" w:hAnsi="Arial" w:cs="Arial"/>
          <w:i/>
          <w:sz w:val="22"/>
          <w:szCs w:val="22"/>
        </w:rPr>
        <w:t xml:space="preserve"> </w:t>
      </w:r>
      <w:proofErr w:type="spellStart"/>
      <w:r>
        <w:rPr>
          <w:rFonts w:ascii="Arial" w:eastAsia="Arial" w:hAnsi="Arial" w:cs="Arial"/>
          <w:i/>
          <w:sz w:val="22"/>
          <w:szCs w:val="22"/>
        </w:rPr>
        <w:t>bien</w:t>
      </w:r>
      <w:proofErr w:type="spellEnd"/>
      <w:r>
        <w:rPr>
          <w:rFonts w:ascii="Arial" w:eastAsia="Arial" w:hAnsi="Arial" w:cs="Arial"/>
          <w:i/>
          <w:sz w:val="22"/>
          <w:szCs w:val="22"/>
        </w:rPr>
        <w:t xml:space="preserve"> para los que no entendieron, ¿va? [...]”</w:t>
      </w:r>
    </w:p>
    <w:p w14:paraId="3BC8CBCE" w14:textId="77777777" w:rsidR="00704F58" w:rsidRDefault="00704F58">
      <w:pPr>
        <w:pBdr>
          <w:top w:val="nil"/>
          <w:left w:val="nil"/>
          <w:bottom w:val="nil"/>
          <w:right w:val="nil"/>
          <w:between w:val="nil"/>
        </w:pBdr>
        <w:rPr>
          <w:color w:val="000000"/>
        </w:rPr>
      </w:pPr>
    </w:p>
    <w:p w14:paraId="213F77D4" w14:textId="77777777" w:rsidR="00704F58" w:rsidRDefault="0078723A">
      <w:pPr>
        <w:tabs>
          <w:tab w:val="left" w:pos="426"/>
        </w:tabs>
        <w:spacing w:line="360" w:lineRule="auto"/>
        <w:jc w:val="both"/>
        <w:rPr>
          <w:rFonts w:ascii="Arial" w:eastAsia="Arial" w:hAnsi="Arial" w:cs="Arial"/>
          <w:sz w:val="24"/>
          <w:szCs w:val="24"/>
        </w:rPr>
      </w:pPr>
      <w:r>
        <w:rPr>
          <w:rFonts w:ascii="Arial" w:eastAsia="Arial" w:hAnsi="Arial" w:cs="Arial"/>
          <w:b/>
          <w:sz w:val="24"/>
          <w:szCs w:val="24"/>
        </w:rPr>
        <w:t xml:space="preserve">1.2. En contra del PAN, del PRI y del PRD. </w:t>
      </w:r>
      <w:r>
        <w:rPr>
          <w:rFonts w:ascii="Arial" w:eastAsia="Arial" w:hAnsi="Arial" w:cs="Arial"/>
          <w:sz w:val="24"/>
          <w:szCs w:val="24"/>
        </w:rPr>
        <w:t xml:space="preserve">El denunciante menciona que dichos partidos </w:t>
      </w:r>
      <w:r>
        <w:rPr>
          <w:rFonts w:ascii="Arial" w:eastAsia="Arial" w:hAnsi="Arial" w:cs="Arial"/>
          <w:b/>
          <w:sz w:val="24"/>
          <w:szCs w:val="24"/>
        </w:rPr>
        <w:t xml:space="preserve">incumplieron su deber de cuidar </w:t>
      </w:r>
      <w:r>
        <w:rPr>
          <w:rFonts w:ascii="Arial" w:eastAsia="Arial" w:hAnsi="Arial" w:cs="Arial"/>
          <w:sz w:val="24"/>
          <w:szCs w:val="24"/>
        </w:rPr>
        <w:t>que la candidata que postularon no vulnerara la normativa electoral.</w:t>
      </w:r>
    </w:p>
    <w:p w14:paraId="1AE4B943" w14:textId="77777777" w:rsidR="00704F58" w:rsidRDefault="00704F58">
      <w:pPr>
        <w:pBdr>
          <w:top w:val="nil"/>
          <w:left w:val="nil"/>
          <w:bottom w:val="nil"/>
          <w:right w:val="nil"/>
          <w:between w:val="nil"/>
        </w:pBdr>
        <w:rPr>
          <w:color w:val="000000"/>
          <w:sz w:val="16"/>
          <w:szCs w:val="16"/>
        </w:rPr>
      </w:pPr>
    </w:p>
    <w:p w14:paraId="53A4107C" w14:textId="77777777" w:rsidR="00704F58" w:rsidRDefault="0078723A">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2. Defensas de María Teresa Jiménez Esquivel y el PAN.  </w:t>
      </w:r>
      <w:r>
        <w:rPr>
          <w:rFonts w:ascii="Arial" w:eastAsia="Arial" w:hAnsi="Arial" w:cs="Arial"/>
          <w:color w:val="000000"/>
          <w:sz w:val="24"/>
          <w:szCs w:val="24"/>
        </w:rPr>
        <w:t>En su escrito de contestación, refieren básicamente</w:t>
      </w:r>
      <w:r>
        <w:rPr>
          <w:rFonts w:ascii="Arial" w:eastAsia="Arial" w:hAnsi="Arial" w:cs="Arial"/>
          <w:sz w:val="24"/>
          <w:szCs w:val="24"/>
        </w:rPr>
        <w:t xml:space="preserve">, </w:t>
      </w:r>
      <w:r>
        <w:rPr>
          <w:rFonts w:ascii="Arial" w:eastAsia="Arial" w:hAnsi="Arial" w:cs="Arial"/>
          <w:color w:val="000000"/>
          <w:sz w:val="24"/>
          <w:szCs w:val="24"/>
        </w:rPr>
        <w:t>lo siguiente:</w:t>
      </w:r>
    </w:p>
    <w:p w14:paraId="58195A62" w14:textId="77777777" w:rsidR="00704F58" w:rsidRDefault="0078723A">
      <w:pPr>
        <w:numPr>
          <w:ilvl w:val="0"/>
          <w:numId w:val="4"/>
        </w:numPr>
        <w:pBdr>
          <w:top w:val="nil"/>
          <w:left w:val="nil"/>
          <w:bottom w:val="nil"/>
          <w:right w:val="nil"/>
          <w:between w:val="nil"/>
        </w:pBdr>
        <w:spacing w:line="360" w:lineRule="auto"/>
        <w:ind w:left="284" w:hanging="284"/>
        <w:jc w:val="both"/>
        <w:rPr>
          <w:color w:val="000000"/>
          <w:sz w:val="16"/>
          <w:szCs w:val="16"/>
        </w:rPr>
      </w:pPr>
      <w:r>
        <w:rPr>
          <w:rFonts w:ascii="Arial" w:eastAsia="Arial" w:hAnsi="Arial" w:cs="Arial"/>
          <w:color w:val="000000"/>
          <w:sz w:val="24"/>
          <w:szCs w:val="24"/>
        </w:rPr>
        <w:lastRenderedPageBreak/>
        <w:t xml:space="preserve">Niegan la distribución del cupón denunciado, así como la realización de las acciones descritas por la parte denunciante. </w:t>
      </w:r>
    </w:p>
    <w:p w14:paraId="5FAD4CAC" w14:textId="77777777" w:rsidR="00704F58" w:rsidRDefault="0078723A">
      <w:pPr>
        <w:numPr>
          <w:ilvl w:val="0"/>
          <w:numId w:val="4"/>
        </w:numPr>
        <w:pBdr>
          <w:top w:val="nil"/>
          <w:left w:val="nil"/>
          <w:bottom w:val="nil"/>
          <w:right w:val="nil"/>
          <w:between w:val="nil"/>
        </w:pBdr>
        <w:spacing w:line="360" w:lineRule="auto"/>
        <w:ind w:left="284" w:hanging="284"/>
        <w:jc w:val="both"/>
        <w:rPr>
          <w:color w:val="000000"/>
          <w:sz w:val="16"/>
          <w:szCs w:val="16"/>
        </w:rPr>
      </w:pPr>
      <w:r>
        <w:rPr>
          <w:rFonts w:ascii="Arial" w:eastAsia="Arial" w:hAnsi="Arial" w:cs="Arial"/>
          <w:color w:val="000000"/>
          <w:sz w:val="24"/>
          <w:szCs w:val="24"/>
        </w:rPr>
        <w:t xml:space="preserve">Afirman que la difusión del documento fue realizada por los propios representantes de Morena y, por tanto, tales actuaciones se tratan de campaña negra en su perjuicio. </w:t>
      </w:r>
    </w:p>
    <w:p w14:paraId="166351FB" w14:textId="77777777" w:rsidR="00704F58" w:rsidRDefault="0078723A">
      <w:pPr>
        <w:numPr>
          <w:ilvl w:val="0"/>
          <w:numId w:val="4"/>
        </w:numPr>
        <w:pBdr>
          <w:top w:val="nil"/>
          <w:left w:val="nil"/>
          <w:bottom w:val="nil"/>
          <w:right w:val="nil"/>
          <w:between w:val="nil"/>
        </w:pBdr>
        <w:spacing w:line="360" w:lineRule="auto"/>
        <w:ind w:left="284" w:hanging="284"/>
        <w:jc w:val="both"/>
        <w:rPr>
          <w:color w:val="000000"/>
          <w:sz w:val="16"/>
          <w:szCs w:val="16"/>
        </w:rPr>
      </w:pPr>
      <w:r>
        <w:rPr>
          <w:rFonts w:ascii="Arial" w:eastAsia="Arial" w:hAnsi="Arial" w:cs="Arial"/>
          <w:color w:val="000000"/>
          <w:sz w:val="24"/>
          <w:szCs w:val="24"/>
        </w:rPr>
        <w:t xml:space="preserve">Estiman que el quejoso omitió referir cómo obtuvo el audio descrito, además, argumentan que este es fácilmente manipulable. </w:t>
      </w:r>
    </w:p>
    <w:p w14:paraId="7B4CC872" w14:textId="77777777" w:rsidR="00704F58" w:rsidRDefault="00704F58" w:rsidP="00296BE5">
      <w:pPr>
        <w:pStyle w:val="Sinespaciado"/>
      </w:pPr>
    </w:p>
    <w:p w14:paraId="4BB2BB71" w14:textId="77777777" w:rsidR="00704F58" w:rsidRDefault="0078723A">
      <w:pPr>
        <w:pBdr>
          <w:top w:val="nil"/>
          <w:left w:val="nil"/>
          <w:bottom w:val="nil"/>
          <w:right w:val="nil"/>
          <w:between w:val="nil"/>
        </w:pBdr>
        <w:tabs>
          <w:tab w:val="left" w:pos="567"/>
        </w:tabs>
        <w:spacing w:line="360" w:lineRule="auto"/>
        <w:jc w:val="both"/>
        <w:rPr>
          <w:color w:val="000000"/>
        </w:rPr>
      </w:pPr>
      <w:r>
        <w:rPr>
          <w:rFonts w:ascii="Arial" w:eastAsia="Arial" w:hAnsi="Arial" w:cs="Arial"/>
          <w:b/>
          <w:color w:val="000000"/>
          <w:sz w:val="24"/>
          <w:szCs w:val="24"/>
        </w:rPr>
        <w:t xml:space="preserve">3. Descripción de los medios de prueba. </w:t>
      </w:r>
      <w:r>
        <w:rPr>
          <w:rFonts w:ascii="Arial" w:eastAsia="Arial" w:hAnsi="Arial" w:cs="Arial"/>
          <w:color w:val="000000"/>
          <w:sz w:val="24"/>
          <w:szCs w:val="24"/>
        </w:rPr>
        <w:t>Como se advierte de la audiencia de pruebas y alegatos, a las partes les fueron admitidas y desahogadas las probanzas siguientes:</w:t>
      </w:r>
    </w:p>
    <w:p w14:paraId="22CDCBF9" w14:textId="77777777" w:rsidR="00704F58" w:rsidRDefault="00704F58">
      <w:pPr>
        <w:pBdr>
          <w:top w:val="nil"/>
          <w:left w:val="nil"/>
          <w:bottom w:val="nil"/>
          <w:right w:val="nil"/>
          <w:between w:val="nil"/>
        </w:pBdr>
        <w:rPr>
          <w:color w:val="000000"/>
        </w:rPr>
      </w:pPr>
    </w:p>
    <w:p w14:paraId="4C16D4D7" w14:textId="77777777" w:rsidR="00704F58" w:rsidRDefault="0078723A">
      <w:pPr>
        <w:pBdr>
          <w:top w:val="nil"/>
          <w:left w:val="nil"/>
          <w:bottom w:val="nil"/>
          <w:right w:val="nil"/>
          <w:between w:val="nil"/>
        </w:pBdr>
        <w:tabs>
          <w:tab w:val="left" w:pos="567"/>
        </w:tabs>
        <w:spacing w:line="360" w:lineRule="auto"/>
        <w:jc w:val="both"/>
        <w:rPr>
          <w:rFonts w:ascii="Arial" w:eastAsia="Arial" w:hAnsi="Arial" w:cs="Arial"/>
          <w:color w:val="000000"/>
          <w:sz w:val="24"/>
          <w:szCs w:val="24"/>
        </w:rPr>
      </w:pPr>
      <w:r>
        <w:rPr>
          <w:rFonts w:ascii="Arial" w:eastAsia="Arial" w:hAnsi="Arial" w:cs="Arial"/>
          <w:b/>
          <w:color w:val="000000"/>
          <w:sz w:val="24"/>
          <w:szCs w:val="24"/>
        </w:rPr>
        <w:t>3.1. Pruebas aportadas por el denunciante (Morena):</w:t>
      </w:r>
    </w:p>
    <w:tbl>
      <w:tblPr>
        <w:tblStyle w:val="ab"/>
        <w:tblW w:w="8816" w:type="dxa"/>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305"/>
        <w:gridCol w:w="2261"/>
        <w:gridCol w:w="6250"/>
      </w:tblGrid>
      <w:tr w:rsidR="00704F58" w14:paraId="54E0AE15" w14:textId="77777777" w:rsidTr="00704F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 w:type="dxa"/>
          </w:tcPr>
          <w:p w14:paraId="22F01D97" w14:textId="77777777" w:rsidR="00704F58" w:rsidRDefault="0078723A">
            <w:pPr>
              <w:jc w:val="center"/>
              <w:rPr>
                <w:rFonts w:ascii="Arial" w:eastAsia="Arial" w:hAnsi="Arial" w:cs="Arial"/>
                <w:sz w:val="16"/>
                <w:szCs w:val="16"/>
              </w:rPr>
            </w:pPr>
            <w:r>
              <w:rPr>
                <w:rFonts w:ascii="Arial" w:eastAsia="Arial" w:hAnsi="Arial" w:cs="Arial"/>
                <w:color w:val="000000"/>
                <w:sz w:val="16"/>
                <w:szCs w:val="16"/>
              </w:rPr>
              <w:t>#</w:t>
            </w:r>
          </w:p>
        </w:tc>
        <w:tc>
          <w:tcPr>
            <w:tcW w:w="2261" w:type="dxa"/>
          </w:tcPr>
          <w:p w14:paraId="70ABE964" w14:textId="77777777" w:rsidR="00704F58" w:rsidRDefault="0078723A">
            <w:pP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Prueba</w:t>
            </w:r>
          </w:p>
        </w:tc>
        <w:tc>
          <w:tcPr>
            <w:tcW w:w="6250" w:type="dxa"/>
          </w:tcPr>
          <w:p w14:paraId="0E25A2BC" w14:textId="77777777" w:rsidR="00704F58" w:rsidRDefault="0078723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Consistente en</w:t>
            </w:r>
          </w:p>
        </w:tc>
      </w:tr>
      <w:tr w:rsidR="00704F58" w14:paraId="784765C8" w14:textId="77777777" w:rsidTr="00704F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 w:type="dxa"/>
          </w:tcPr>
          <w:p w14:paraId="4A8346C7" w14:textId="77777777" w:rsidR="00704F58" w:rsidRDefault="0078723A">
            <w:pPr>
              <w:jc w:val="center"/>
              <w:rPr>
                <w:rFonts w:ascii="Arial" w:eastAsia="Arial" w:hAnsi="Arial" w:cs="Arial"/>
                <w:sz w:val="16"/>
                <w:szCs w:val="16"/>
              </w:rPr>
            </w:pPr>
            <w:r>
              <w:rPr>
                <w:rFonts w:ascii="Arial" w:eastAsia="Arial" w:hAnsi="Arial" w:cs="Arial"/>
                <w:sz w:val="16"/>
                <w:szCs w:val="16"/>
              </w:rPr>
              <w:t>1</w:t>
            </w:r>
          </w:p>
        </w:tc>
        <w:tc>
          <w:tcPr>
            <w:tcW w:w="2261" w:type="dxa"/>
          </w:tcPr>
          <w:p w14:paraId="293F1065" w14:textId="77777777" w:rsidR="00704F58" w:rsidRDefault="0078723A">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b/>
                <w:sz w:val="16"/>
                <w:szCs w:val="16"/>
              </w:rPr>
              <w:t>Técnica</w:t>
            </w:r>
          </w:p>
        </w:tc>
        <w:tc>
          <w:tcPr>
            <w:tcW w:w="6250" w:type="dxa"/>
          </w:tcPr>
          <w:p w14:paraId="7364ACD5" w14:textId="77777777" w:rsidR="00704F58" w:rsidRDefault="0078723A">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 xml:space="preserve">Audio que detalla la organización de las acciones denunciadas. </w:t>
            </w:r>
          </w:p>
        </w:tc>
      </w:tr>
      <w:tr w:rsidR="00704F58" w14:paraId="14EB5B95" w14:textId="77777777" w:rsidTr="00704F58">
        <w:trPr>
          <w:trHeight w:val="431"/>
        </w:trPr>
        <w:tc>
          <w:tcPr>
            <w:cnfStyle w:val="001000000000" w:firstRow="0" w:lastRow="0" w:firstColumn="1" w:lastColumn="0" w:oddVBand="0" w:evenVBand="0" w:oddHBand="0" w:evenHBand="0" w:firstRowFirstColumn="0" w:firstRowLastColumn="0" w:lastRowFirstColumn="0" w:lastRowLastColumn="0"/>
            <w:tcW w:w="305" w:type="dxa"/>
          </w:tcPr>
          <w:p w14:paraId="661893FA" w14:textId="77777777" w:rsidR="00704F58" w:rsidRDefault="0078723A">
            <w:pPr>
              <w:jc w:val="center"/>
              <w:rPr>
                <w:rFonts w:ascii="Arial" w:eastAsia="Arial" w:hAnsi="Arial" w:cs="Arial"/>
                <w:sz w:val="16"/>
                <w:szCs w:val="16"/>
              </w:rPr>
            </w:pPr>
            <w:r>
              <w:rPr>
                <w:rFonts w:ascii="Arial" w:eastAsia="Arial" w:hAnsi="Arial" w:cs="Arial"/>
                <w:sz w:val="16"/>
                <w:szCs w:val="16"/>
              </w:rPr>
              <w:t>2</w:t>
            </w:r>
          </w:p>
        </w:tc>
        <w:tc>
          <w:tcPr>
            <w:tcW w:w="2261" w:type="dxa"/>
          </w:tcPr>
          <w:p w14:paraId="57F1D46E" w14:textId="77777777" w:rsidR="00704F58" w:rsidRDefault="0078723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proofErr w:type="gramStart"/>
            <w:r>
              <w:rPr>
                <w:rFonts w:ascii="Arial" w:eastAsia="Arial" w:hAnsi="Arial" w:cs="Arial"/>
                <w:b/>
                <w:sz w:val="16"/>
                <w:szCs w:val="16"/>
              </w:rPr>
              <w:t>Documental privada</w:t>
            </w:r>
            <w:proofErr w:type="gramEnd"/>
          </w:p>
        </w:tc>
        <w:tc>
          <w:tcPr>
            <w:tcW w:w="6250" w:type="dxa"/>
          </w:tcPr>
          <w:p w14:paraId="736F6E67" w14:textId="77777777" w:rsidR="00704F58" w:rsidRDefault="0078723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Imagen del contrarrecibo.</w:t>
            </w:r>
          </w:p>
        </w:tc>
      </w:tr>
      <w:tr w:rsidR="00704F58" w14:paraId="60E0D343" w14:textId="77777777" w:rsidTr="00704F58">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305" w:type="dxa"/>
          </w:tcPr>
          <w:p w14:paraId="242527D7" w14:textId="77777777" w:rsidR="00704F58" w:rsidRDefault="0078723A">
            <w:pPr>
              <w:jc w:val="center"/>
              <w:rPr>
                <w:rFonts w:ascii="Arial" w:eastAsia="Arial" w:hAnsi="Arial" w:cs="Arial"/>
                <w:sz w:val="16"/>
                <w:szCs w:val="16"/>
              </w:rPr>
            </w:pPr>
            <w:r>
              <w:rPr>
                <w:rFonts w:ascii="Arial" w:eastAsia="Arial" w:hAnsi="Arial" w:cs="Arial"/>
                <w:sz w:val="16"/>
                <w:szCs w:val="16"/>
              </w:rPr>
              <w:t>3</w:t>
            </w:r>
          </w:p>
        </w:tc>
        <w:tc>
          <w:tcPr>
            <w:tcW w:w="2261" w:type="dxa"/>
          </w:tcPr>
          <w:p w14:paraId="40762C3C" w14:textId="77777777" w:rsidR="00704F58" w:rsidRDefault="0078723A">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 xml:space="preserve">Presuncional legal y humana </w:t>
            </w:r>
          </w:p>
        </w:tc>
        <w:tc>
          <w:tcPr>
            <w:tcW w:w="6250" w:type="dxa"/>
          </w:tcPr>
          <w:p w14:paraId="108BDE6E" w14:textId="77777777" w:rsidR="00704F58" w:rsidRDefault="0078723A">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r w:rsidR="00704F58" w14:paraId="538A396F" w14:textId="77777777" w:rsidTr="00704F58">
        <w:tc>
          <w:tcPr>
            <w:cnfStyle w:val="001000000000" w:firstRow="0" w:lastRow="0" w:firstColumn="1" w:lastColumn="0" w:oddVBand="0" w:evenVBand="0" w:oddHBand="0" w:evenHBand="0" w:firstRowFirstColumn="0" w:firstRowLastColumn="0" w:lastRowFirstColumn="0" w:lastRowLastColumn="0"/>
            <w:tcW w:w="305" w:type="dxa"/>
          </w:tcPr>
          <w:p w14:paraId="2C159F1D" w14:textId="77777777" w:rsidR="00704F58" w:rsidRDefault="0078723A">
            <w:pPr>
              <w:jc w:val="center"/>
              <w:rPr>
                <w:rFonts w:ascii="Arial" w:eastAsia="Arial" w:hAnsi="Arial" w:cs="Arial"/>
                <w:sz w:val="16"/>
                <w:szCs w:val="16"/>
              </w:rPr>
            </w:pPr>
            <w:r>
              <w:rPr>
                <w:rFonts w:ascii="Arial" w:eastAsia="Arial" w:hAnsi="Arial" w:cs="Arial"/>
                <w:sz w:val="16"/>
                <w:szCs w:val="16"/>
              </w:rPr>
              <w:t>4</w:t>
            </w:r>
          </w:p>
        </w:tc>
        <w:tc>
          <w:tcPr>
            <w:tcW w:w="2261" w:type="dxa"/>
          </w:tcPr>
          <w:p w14:paraId="5485D2FB" w14:textId="77777777" w:rsidR="00704F58" w:rsidRDefault="0078723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Instrumental de actuaciones</w:t>
            </w:r>
          </w:p>
        </w:tc>
        <w:tc>
          <w:tcPr>
            <w:tcW w:w="6250" w:type="dxa"/>
          </w:tcPr>
          <w:p w14:paraId="2CFBD0E9" w14:textId="77777777" w:rsidR="00704F58" w:rsidRDefault="0078723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bl>
    <w:p w14:paraId="78CA3967" w14:textId="77777777" w:rsidR="00704F58" w:rsidRDefault="00704F58"/>
    <w:p w14:paraId="01091BB5" w14:textId="77777777" w:rsidR="00704F58" w:rsidRDefault="0078723A">
      <w:pPr>
        <w:pBdr>
          <w:top w:val="nil"/>
          <w:left w:val="nil"/>
          <w:bottom w:val="nil"/>
          <w:right w:val="nil"/>
          <w:between w:val="nil"/>
        </w:pBdr>
        <w:tabs>
          <w:tab w:val="left" w:pos="567"/>
        </w:tabs>
        <w:spacing w:line="360" w:lineRule="auto"/>
        <w:jc w:val="both"/>
        <w:rPr>
          <w:rFonts w:ascii="Arial" w:eastAsia="Arial" w:hAnsi="Arial" w:cs="Arial"/>
          <w:color w:val="000000"/>
          <w:sz w:val="24"/>
          <w:szCs w:val="24"/>
        </w:rPr>
      </w:pPr>
      <w:r>
        <w:rPr>
          <w:rFonts w:ascii="Arial" w:eastAsia="Arial" w:hAnsi="Arial" w:cs="Arial"/>
          <w:b/>
          <w:color w:val="000000"/>
          <w:sz w:val="24"/>
          <w:szCs w:val="24"/>
        </w:rPr>
        <w:t>3.2. Pruebas aportadas por María Teresa Jiménez Esquivel (denunciada) y el PAN:</w:t>
      </w:r>
    </w:p>
    <w:tbl>
      <w:tblPr>
        <w:tblStyle w:val="ac"/>
        <w:tblW w:w="8815" w:type="dxa"/>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450"/>
        <w:gridCol w:w="2115"/>
        <w:gridCol w:w="6250"/>
      </w:tblGrid>
      <w:tr w:rsidR="00704F58" w14:paraId="5EDADCCF" w14:textId="77777777" w:rsidTr="00704F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5578A8D3" w14:textId="77777777" w:rsidR="00704F58" w:rsidRDefault="0078723A">
            <w:pPr>
              <w:jc w:val="center"/>
              <w:rPr>
                <w:rFonts w:ascii="Arial" w:eastAsia="Arial" w:hAnsi="Arial" w:cs="Arial"/>
                <w:sz w:val="16"/>
                <w:szCs w:val="16"/>
              </w:rPr>
            </w:pPr>
            <w:r>
              <w:rPr>
                <w:rFonts w:ascii="Arial" w:eastAsia="Arial" w:hAnsi="Arial" w:cs="Arial"/>
                <w:color w:val="000000"/>
                <w:sz w:val="16"/>
                <w:szCs w:val="16"/>
              </w:rPr>
              <w:t>#</w:t>
            </w:r>
          </w:p>
        </w:tc>
        <w:tc>
          <w:tcPr>
            <w:tcW w:w="2115" w:type="dxa"/>
          </w:tcPr>
          <w:p w14:paraId="10F177BB" w14:textId="77777777" w:rsidR="00704F58" w:rsidRDefault="0078723A">
            <w:pP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Prueba</w:t>
            </w:r>
          </w:p>
        </w:tc>
        <w:tc>
          <w:tcPr>
            <w:tcW w:w="6250" w:type="dxa"/>
          </w:tcPr>
          <w:p w14:paraId="1A8AEE0B" w14:textId="77777777" w:rsidR="00704F58" w:rsidRDefault="0078723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Consistente en</w:t>
            </w:r>
          </w:p>
        </w:tc>
      </w:tr>
      <w:tr w:rsidR="00704F58" w14:paraId="39E71F2A" w14:textId="77777777" w:rsidTr="00704F58">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450" w:type="dxa"/>
          </w:tcPr>
          <w:p w14:paraId="0D55CF9D" w14:textId="77777777" w:rsidR="00704F58" w:rsidRDefault="0078723A">
            <w:pPr>
              <w:jc w:val="center"/>
              <w:rPr>
                <w:rFonts w:ascii="Arial" w:eastAsia="Arial" w:hAnsi="Arial" w:cs="Arial"/>
                <w:sz w:val="16"/>
                <w:szCs w:val="16"/>
              </w:rPr>
            </w:pPr>
            <w:r>
              <w:rPr>
                <w:rFonts w:ascii="Arial" w:eastAsia="Arial" w:hAnsi="Arial" w:cs="Arial"/>
                <w:sz w:val="16"/>
                <w:szCs w:val="16"/>
              </w:rPr>
              <w:t>1</w:t>
            </w:r>
          </w:p>
        </w:tc>
        <w:tc>
          <w:tcPr>
            <w:tcW w:w="2115" w:type="dxa"/>
          </w:tcPr>
          <w:p w14:paraId="300A686B" w14:textId="77777777" w:rsidR="00704F58" w:rsidRDefault="0078723A">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proofErr w:type="gramStart"/>
            <w:r>
              <w:rPr>
                <w:rFonts w:ascii="Arial" w:eastAsia="Arial" w:hAnsi="Arial" w:cs="Arial"/>
                <w:b/>
                <w:sz w:val="16"/>
                <w:szCs w:val="16"/>
              </w:rPr>
              <w:t>Documental privada</w:t>
            </w:r>
            <w:proofErr w:type="gramEnd"/>
          </w:p>
        </w:tc>
        <w:tc>
          <w:tcPr>
            <w:tcW w:w="6250" w:type="dxa"/>
          </w:tcPr>
          <w:p w14:paraId="1A54950F" w14:textId="77777777" w:rsidR="00704F58" w:rsidRDefault="0078723A">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 xml:space="preserve">Dos acuses de recibo de deslinde presentados ante la Unidad Técnica de Fiscalización y ante el </w:t>
            </w:r>
            <w:proofErr w:type="gramStart"/>
            <w:r>
              <w:rPr>
                <w:rFonts w:ascii="Arial" w:eastAsia="Arial" w:hAnsi="Arial" w:cs="Arial"/>
                <w:sz w:val="16"/>
                <w:szCs w:val="16"/>
              </w:rPr>
              <w:t>Secretario Ejecutivo</w:t>
            </w:r>
            <w:proofErr w:type="gramEnd"/>
            <w:r>
              <w:rPr>
                <w:rFonts w:ascii="Arial" w:eastAsia="Arial" w:hAnsi="Arial" w:cs="Arial"/>
                <w:sz w:val="16"/>
                <w:szCs w:val="16"/>
              </w:rPr>
              <w:t xml:space="preserve"> del Instituto Local.</w:t>
            </w:r>
          </w:p>
        </w:tc>
      </w:tr>
      <w:tr w:rsidR="00704F58" w14:paraId="6D60FF68" w14:textId="77777777" w:rsidTr="00704F58">
        <w:trPr>
          <w:trHeight w:val="431"/>
        </w:trPr>
        <w:tc>
          <w:tcPr>
            <w:cnfStyle w:val="001000000000" w:firstRow="0" w:lastRow="0" w:firstColumn="1" w:lastColumn="0" w:oddVBand="0" w:evenVBand="0" w:oddHBand="0" w:evenHBand="0" w:firstRowFirstColumn="0" w:firstRowLastColumn="0" w:lastRowFirstColumn="0" w:lastRowLastColumn="0"/>
            <w:tcW w:w="450" w:type="dxa"/>
          </w:tcPr>
          <w:p w14:paraId="72A3695E" w14:textId="77777777" w:rsidR="00704F58" w:rsidRDefault="0078723A">
            <w:pPr>
              <w:jc w:val="center"/>
              <w:rPr>
                <w:rFonts w:ascii="Arial" w:eastAsia="Arial" w:hAnsi="Arial" w:cs="Arial"/>
                <w:sz w:val="16"/>
                <w:szCs w:val="16"/>
              </w:rPr>
            </w:pPr>
            <w:r>
              <w:rPr>
                <w:rFonts w:ascii="Arial" w:eastAsia="Arial" w:hAnsi="Arial" w:cs="Arial"/>
                <w:sz w:val="16"/>
                <w:szCs w:val="16"/>
              </w:rPr>
              <w:t>2</w:t>
            </w:r>
          </w:p>
        </w:tc>
        <w:tc>
          <w:tcPr>
            <w:tcW w:w="2115" w:type="dxa"/>
          </w:tcPr>
          <w:p w14:paraId="020E368F" w14:textId="77777777" w:rsidR="00704F58" w:rsidRDefault="0078723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 xml:space="preserve">Presuncional legal y humana </w:t>
            </w:r>
          </w:p>
        </w:tc>
        <w:tc>
          <w:tcPr>
            <w:tcW w:w="6250" w:type="dxa"/>
          </w:tcPr>
          <w:p w14:paraId="764FC5B7" w14:textId="77777777" w:rsidR="00704F58" w:rsidRDefault="0078723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r w:rsidR="00704F58" w14:paraId="667F1566" w14:textId="77777777" w:rsidTr="00704F58">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450" w:type="dxa"/>
          </w:tcPr>
          <w:p w14:paraId="3D33285A" w14:textId="77777777" w:rsidR="00704F58" w:rsidRDefault="0078723A">
            <w:pPr>
              <w:jc w:val="center"/>
              <w:rPr>
                <w:rFonts w:ascii="Arial" w:eastAsia="Arial" w:hAnsi="Arial" w:cs="Arial"/>
                <w:sz w:val="16"/>
                <w:szCs w:val="16"/>
              </w:rPr>
            </w:pPr>
            <w:r>
              <w:rPr>
                <w:rFonts w:ascii="Arial" w:eastAsia="Arial" w:hAnsi="Arial" w:cs="Arial"/>
                <w:sz w:val="16"/>
                <w:szCs w:val="16"/>
              </w:rPr>
              <w:t>3</w:t>
            </w:r>
          </w:p>
        </w:tc>
        <w:tc>
          <w:tcPr>
            <w:tcW w:w="2115" w:type="dxa"/>
          </w:tcPr>
          <w:p w14:paraId="6E9FCA00" w14:textId="77777777" w:rsidR="00704F58" w:rsidRDefault="0078723A">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Instrumental de actuaciones</w:t>
            </w:r>
          </w:p>
        </w:tc>
        <w:tc>
          <w:tcPr>
            <w:tcW w:w="6250" w:type="dxa"/>
          </w:tcPr>
          <w:p w14:paraId="031562E1" w14:textId="77777777" w:rsidR="00704F58" w:rsidRDefault="0078723A">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bl>
    <w:p w14:paraId="3464C4B9" w14:textId="77777777" w:rsidR="00704F58" w:rsidRDefault="00704F58">
      <w:pPr>
        <w:pBdr>
          <w:top w:val="nil"/>
          <w:left w:val="nil"/>
          <w:bottom w:val="nil"/>
          <w:right w:val="nil"/>
          <w:between w:val="nil"/>
        </w:pBdr>
        <w:rPr>
          <w:color w:val="000000"/>
        </w:rPr>
      </w:pPr>
      <w:bookmarkStart w:id="7" w:name="_heading=h.2et92p0" w:colFirst="0" w:colLast="0"/>
      <w:bookmarkEnd w:id="7"/>
    </w:p>
    <w:p w14:paraId="18DBAF72" w14:textId="77777777" w:rsidR="00704F58" w:rsidRDefault="0078723A">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3.3. Pruebas aportadas por el PRI:</w:t>
      </w:r>
    </w:p>
    <w:tbl>
      <w:tblPr>
        <w:tblStyle w:val="ad"/>
        <w:tblW w:w="8816" w:type="dxa"/>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305"/>
        <w:gridCol w:w="2261"/>
        <w:gridCol w:w="6250"/>
      </w:tblGrid>
      <w:tr w:rsidR="00704F58" w14:paraId="386EA243" w14:textId="77777777" w:rsidTr="00704F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 w:type="dxa"/>
          </w:tcPr>
          <w:p w14:paraId="3EE671C5" w14:textId="77777777" w:rsidR="00704F58" w:rsidRDefault="0078723A">
            <w:pPr>
              <w:jc w:val="center"/>
              <w:rPr>
                <w:rFonts w:ascii="Arial" w:eastAsia="Arial" w:hAnsi="Arial" w:cs="Arial"/>
                <w:sz w:val="16"/>
                <w:szCs w:val="16"/>
              </w:rPr>
            </w:pPr>
            <w:r>
              <w:rPr>
                <w:rFonts w:ascii="Arial" w:eastAsia="Arial" w:hAnsi="Arial" w:cs="Arial"/>
                <w:color w:val="000000"/>
                <w:sz w:val="16"/>
                <w:szCs w:val="16"/>
              </w:rPr>
              <w:t>#</w:t>
            </w:r>
          </w:p>
        </w:tc>
        <w:tc>
          <w:tcPr>
            <w:tcW w:w="2261" w:type="dxa"/>
          </w:tcPr>
          <w:p w14:paraId="29A765BD" w14:textId="77777777" w:rsidR="00704F58" w:rsidRDefault="0078723A">
            <w:pP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Prueba</w:t>
            </w:r>
          </w:p>
        </w:tc>
        <w:tc>
          <w:tcPr>
            <w:tcW w:w="6250" w:type="dxa"/>
          </w:tcPr>
          <w:p w14:paraId="15F6CEF7" w14:textId="77777777" w:rsidR="00704F58" w:rsidRDefault="0078723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Consistente en</w:t>
            </w:r>
          </w:p>
        </w:tc>
      </w:tr>
      <w:tr w:rsidR="00704F58" w14:paraId="2D1250A8" w14:textId="77777777" w:rsidTr="00704F58">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05" w:type="dxa"/>
          </w:tcPr>
          <w:p w14:paraId="0753B797" w14:textId="77777777" w:rsidR="00704F58" w:rsidRDefault="0078723A">
            <w:pPr>
              <w:jc w:val="center"/>
              <w:rPr>
                <w:rFonts w:ascii="Arial" w:eastAsia="Arial" w:hAnsi="Arial" w:cs="Arial"/>
                <w:sz w:val="16"/>
                <w:szCs w:val="16"/>
              </w:rPr>
            </w:pPr>
            <w:r>
              <w:rPr>
                <w:rFonts w:ascii="Arial" w:eastAsia="Arial" w:hAnsi="Arial" w:cs="Arial"/>
                <w:sz w:val="16"/>
                <w:szCs w:val="16"/>
              </w:rPr>
              <w:t>1</w:t>
            </w:r>
          </w:p>
        </w:tc>
        <w:tc>
          <w:tcPr>
            <w:tcW w:w="2261" w:type="dxa"/>
          </w:tcPr>
          <w:p w14:paraId="31B6C7C4" w14:textId="77777777" w:rsidR="00704F58" w:rsidRDefault="0078723A">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proofErr w:type="gramStart"/>
            <w:r>
              <w:rPr>
                <w:rFonts w:ascii="Arial" w:eastAsia="Arial" w:hAnsi="Arial" w:cs="Arial"/>
                <w:b/>
                <w:sz w:val="16"/>
                <w:szCs w:val="16"/>
              </w:rPr>
              <w:t>Documental pública</w:t>
            </w:r>
            <w:proofErr w:type="gramEnd"/>
          </w:p>
        </w:tc>
        <w:tc>
          <w:tcPr>
            <w:tcW w:w="6250" w:type="dxa"/>
          </w:tcPr>
          <w:p w14:paraId="4C1A6E9D" w14:textId="77777777" w:rsidR="00704F58" w:rsidRDefault="0078723A">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Copia certificada del nombramiento de Brandon Amauri Cardona Mejía, como representante propietario del Partido Revolucionario Institucional ante el Instituto Local.</w:t>
            </w:r>
          </w:p>
        </w:tc>
      </w:tr>
      <w:tr w:rsidR="00704F58" w14:paraId="731B87F2" w14:textId="77777777" w:rsidTr="00704F58">
        <w:trPr>
          <w:trHeight w:val="414"/>
        </w:trPr>
        <w:tc>
          <w:tcPr>
            <w:cnfStyle w:val="001000000000" w:firstRow="0" w:lastRow="0" w:firstColumn="1" w:lastColumn="0" w:oddVBand="0" w:evenVBand="0" w:oddHBand="0" w:evenHBand="0" w:firstRowFirstColumn="0" w:firstRowLastColumn="0" w:lastRowFirstColumn="0" w:lastRowLastColumn="0"/>
            <w:tcW w:w="305" w:type="dxa"/>
          </w:tcPr>
          <w:p w14:paraId="32AD0BC8" w14:textId="77777777" w:rsidR="00704F58" w:rsidRDefault="0078723A">
            <w:pPr>
              <w:jc w:val="center"/>
              <w:rPr>
                <w:rFonts w:ascii="Arial" w:eastAsia="Arial" w:hAnsi="Arial" w:cs="Arial"/>
                <w:sz w:val="16"/>
                <w:szCs w:val="16"/>
              </w:rPr>
            </w:pPr>
            <w:r>
              <w:rPr>
                <w:rFonts w:ascii="Arial" w:eastAsia="Arial" w:hAnsi="Arial" w:cs="Arial"/>
                <w:sz w:val="16"/>
                <w:szCs w:val="16"/>
              </w:rPr>
              <w:t>2</w:t>
            </w:r>
          </w:p>
        </w:tc>
        <w:tc>
          <w:tcPr>
            <w:tcW w:w="2261" w:type="dxa"/>
          </w:tcPr>
          <w:p w14:paraId="33A9CDD3" w14:textId="77777777" w:rsidR="00704F58" w:rsidRDefault="0078723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Instrumental de actuaciones</w:t>
            </w:r>
          </w:p>
        </w:tc>
        <w:tc>
          <w:tcPr>
            <w:tcW w:w="6250" w:type="dxa"/>
          </w:tcPr>
          <w:p w14:paraId="1449ED26" w14:textId="77777777" w:rsidR="00704F58" w:rsidRDefault="0078723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r w:rsidR="00704F58" w14:paraId="1BE866FA" w14:textId="77777777" w:rsidTr="00704F58">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305" w:type="dxa"/>
          </w:tcPr>
          <w:p w14:paraId="023B3126" w14:textId="77777777" w:rsidR="00704F58" w:rsidRDefault="0078723A">
            <w:pPr>
              <w:jc w:val="center"/>
              <w:rPr>
                <w:rFonts w:ascii="Arial" w:eastAsia="Arial" w:hAnsi="Arial" w:cs="Arial"/>
                <w:sz w:val="16"/>
                <w:szCs w:val="16"/>
              </w:rPr>
            </w:pPr>
            <w:r>
              <w:rPr>
                <w:rFonts w:ascii="Arial" w:eastAsia="Arial" w:hAnsi="Arial" w:cs="Arial"/>
                <w:sz w:val="16"/>
                <w:szCs w:val="16"/>
              </w:rPr>
              <w:t>3</w:t>
            </w:r>
          </w:p>
        </w:tc>
        <w:tc>
          <w:tcPr>
            <w:tcW w:w="2261" w:type="dxa"/>
          </w:tcPr>
          <w:p w14:paraId="33D93760" w14:textId="77777777" w:rsidR="00704F58" w:rsidRDefault="0078723A">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Presuncional legal y humana</w:t>
            </w:r>
          </w:p>
        </w:tc>
        <w:tc>
          <w:tcPr>
            <w:tcW w:w="6250" w:type="dxa"/>
          </w:tcPr>
          <w:p w14:paraId="2F2E3D0A" w14:textId="77777777" w:rsidR="00704F58" w:rsidRDefault="0078723A">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bl>
    <w:p w14:paraId="3DC33D18" w14:textId="77777777" w:rsidR="00704F58" w:rsidRDefault="00704F58">
      <w:pPr>
        <w:pBdr>
          <w:top w:val="nil"/>
          <w:left w:val="nil"/>
          <w:bottom w:val="nil"/>
          <w:right w:val="nil"/>
          <w:between w:val="nil"/>
        </w:pBdr>
        <w:rPr>
          <w:color w:val="000000"/>
        </w:rPr>
      </w:pPr>
    </w:p>
    <w:p w14:paraId="1E1C2E18" w14:textId="3A2108A4" w:rsidR="00296BE5" w:rsidRPr="00296BE5" w:rsidRDefault="0078723A">
      <w:pPr>
        <w:pBdr>
          <w:top w:val="nil"/>
          <w:left w:val="nil"/>
          <w:bottom w:val="nil"/>
          <w:right w:val="nil"/>
          <w:between w:val="nil"/>
        </w:pBdr>
        <w:tabs>
          <w:tab w:val="left" w:pos="567"/>
        </w:tabs>
        <w:spacing w:line="360" w:lineRule="auto"/>
        <w:jc w:val="both"/>
        <w:rPr>
          <w:rFonts w:ascii="Arial" w:eastAsia="Arial" w:hAnsi="Arial" w:cs="Arial"/>
          <w:color w:val="000000"/>
          <w:sz w:val="24"/>
          <w:szCs w:val="24"/>
          <w:vertAlign w:val="superscript"/>
        </w:rPr>
      </w:pPr>
      <w:r>
        <w:rPr>
          <w:rFonts w:ascii="Arial" w:eastAsia="Arial" w:hAnsi="Arial" w:cs="Arial"/>
          <w:b/>
          <w:color w:val="000000"/>
          <w:sz w:val="24"/>
          <w:szCs w:val="24"/>
        </w:rPr>
        <w:t xml:space="preserve">3.4 Valoración de pruebas. </w:t>
      </w:r>
      <w:r>
        <w:rPr>
          <w:rFonts w:ascii="Arial" w:eastAsia="Arial" w:hAnsi="Arial" w:cs="Arial"/>
          <w:color w:val="000000"/>
          <w:sz w:val="24"/>
          <w:szCs w:val="24"/>
        </w:rPr>
        <w:t xml:space="preserve">Las pruebas antes descritas, se valoran </w:t>
      </w:r>
      <w:r>
        <w:rPr>
          <w:rFonts w:ascii="Arial" w:eastAsia="Arial" w:hAnsi="Arial" w:cs="Arial"/>
          <w:sz w:val="24"/>
          <w:szCs w:val="24"/>
        </w:rPr>
        <w:t>conforme al</w:t>
      </w:r>
      <w:r>
        <w:rPr>
          <w:rFonts w:ascii="Arial" w:eastAsia="Arial" w:hAnsi="Arial" w:cs="Arial"/>
          <w:color w:val="000000"/>
          <w:sz w:val="24"/>
          <w:szCs w:val="24"/>
        </w:rPr>
        <w:t xml:space="preserve"> Código Electoral.</w:t>
      </w:r>
      <w:r>
        <w:rPr>
          <w:rFonts w:ascii="Arial" w:eastAsia="Arial" w:hAnsi="Arial" w:cs="Arial"/>
          <w:color w:val="000000"/>
          <w:sz w:val="24"/>
          <w:szCs w:val="24"/>
          <w:vertAlign w:val="superscript"/>
        </w:rPr>
        <w:t xml:space="preserve"> </w:t>
      </w:r>
      <w:r>
        <w:rPr>
          <w:rFonts w:ascii="Arial" w:eastAsia="Arial" w:hAnsi="Arial" w:cs="Arial"/>
          <w:color w:val="000000"/>
          <w:sz w:val="24"/>
          <w:szCs w:val="24"/>
          <w:vertAlign w:val="superscript"/>
        </w:rPr>
        <w:footnoteReference w:id="5"/>
      </w:r>
    </w:p>
    <w:p w14:paraId="0153C2BC" w14:textId="77777777" w:rsidR="00296BE5" w:rsidRPr="00296BE5" w:rsidRDefault="00296BE5" w:rsidP="00296BE5">
      <w:pPr>
        <w:pStyle w:val="Sinespaciado"/>
        <w:rPr>
          <w:rFonts w:eastAsia="Arial"/>
          <w:sz w:val="10"/>
          <w:szCs w:val="10"/>
        </w:rPr>
      </w:pPr>
    </w:p>
    <w:p w14:paraId="02FA558D" w14:textId="20553EB7" w:rsidR="00704F58" w:rsidRDefault="0078723A">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4. Hechos acreditados. </w:t>
      </w:r>
      <w:r>
        <w:rPr>
          <w:rFonts w:ascii="Arial" w:eastAsia="Arial" w:hAnsi="Arial" w:cs="Arial"/>
          <w:color w:val="000000"/>
          <w:sz w:val="24"/>
          <w:szCs w:val="24"/>
        </w:rPr>
        <w:t>Los hechos relacionados con la controversia que han quedado acreditados, conforme a la relación de las pruebas, son los siguientes:</w:t>
      </w:r>
    </w:p>
    <w:p w14:paraId="58B0C20F" w14:textId="77777777" w:rsidR="00704F58" w:rsidRDefault="00704F58">
      <w:pPr>
        <w:pBdr>
          <w:top w:val="nil"/>
          <w:left w:val="nil"/>
          <w:bottom w:val="nil"/>
          <w:right w:val="nil"/>
          <w:between w:val="nil"/>
        </w:pBdr>
        <w:rPr>
          <w:color w:val="000000"/>
          <w:sz w:val="10"/>
          <w:szCs w:val="10"/>
        </w:rPr>
      </w:pPr>
    </w:p>
    <w:p w14:paraId="1011B05E" w14:textId="77777777" w:rsidR="00704F58" w:rsidRDefault="0078723A">
      <w:pPr>
        <w:numPr>
          <w:ilvl w:val="0"/>
          <w:numId w:val="2"/>
        </w:numPr>
        <w:pBdr>
          <w:top w:val="nil"/>
          <w:left w:val="nil"/>
          <w:bottom w:val="nil"/>
          <w:right w:val="nil"/>
          <w:between w:val="nil"/>
        </w:pBdr>
        <w:tabs>
          <w:tab w:val="left" w:pos="284"/>
        </w:tabs>
        <w:spacing w:line="360" w:lineRule="auto"/>
        <w:ind w:left="0" w:right="36" w:firstLine="0"/>
        <w:jc w:val="both"/>
        <w:rPr>
          <w:color w:val="000000"/>
          <w:sz w:val="24"/>
          <w:szCs w:val="24"/>
        </w:rPr>
      </w:pPr>
      <w:r>
        <w:rPr>
          <w:rFonts w:ascii="Arial" w:eastAsia="Arial" w:hAnsi="Arial" w:cs="Arial"/>
          <w:color w:val="000000"/>
          <w:sz w:val="24"/>
          <w:szCs w:val="24"/>
        </w:rPr>
        <w:t xml:space="preserve">La </w:t>
      </w:r>
      <w:r>
        <w:rPr>
          <w:rFonts w:ascii="Arial" w:eastAsia="Arial" w:hAnsi="Arial" w:cs="Arial"/>
          <w:sz w:val="24"/>
          <w:szCs w:val="24"/>
        </w:rPr>
        <w:t>existencia de un contrarrecibo personalizado y foliado, el cual tiene un diseño alusivo a la propaganda electoral de la entonces candidata María Teresa Jiménez Esquivel</w:t>
      </w:r>
      <w:r>
        <w:rPr>
          <w:rFonts w:ascii="Arial" w:eastAsia="Arial" w:hAnsi="Arial" w:cs="Arial"/>
          <w:color w:val="000000"/>
          <w:sz w:val="24"/>
          <w:szCs w:val="24"/>
        </w:rPr>
        <w:t>.</w:t>
      </w:r>
    </w:p>
    <w:p w14:paraId="11A7B462" w14:textId="7865DB24" w:rsidR="00704F58" w:rsidRDefault="0078723A">
      <w:pPr>
        <w:numPr>
          <w:ilvl w:val="0"/>
          <w:numId w:val="2"/>
        </w:numPr>
        <w:pBdr>
          <w:top w:val="nil"/>
          <w:left w:val="nil"/>
          <w:bottom w:val="nil"/>
          <w:right w:val="nil"/>
          <w:between w:val="nil"/>
        </w:pBdr>
        <w:tabs>
          <w:tab w:val="left" w:pos="284"/>
        </w:tabs>
        <w:spacing w:line="360" w:lineRule="auto"/>
        <w:ind w:left="0" w:right="36" w:firstLine="0"/>
        <w:jc w:val="both"/>
        <w:rPr>
          <w:rFonts w:ascii="Arial" w:eastAsia="Arial" w:hAnsi="Arial" w:cs="Arial"/>
          <w:sz w:val="24"/>
          <w:szCs w:val="24"/>
        </w:rPr>
      </w:pPr>
      <w:r>
        <w:rPr>
          <w:rFonts w:ascii="Arial" w:eastAsia="Arial" w:hAnsi="Arial" w:cs="Arial"/>
          <w:sz w:val="24"/>
          <w:szCs w:val="24"/>
        </w:rPr>
        <w:t xml:space="preserve">La existencia de un audio en el </w:t>
      </w:r>
      <w:r w:rsidR="00755378">
        <w:rPr>
          <w:rFonts w:ascii="Arial" w:eastAsia="Arial" w:hAnsi="Arial" w:cs="Arial"/>
          <w:sz w:val="24"/>
          <w:szCs w:val="24"/>
        </w:rPr>
        <w:t xml:space="preserve">que </w:t>
      </w:r>
      <w:r>
        <w:rPr>
          <w:rFonts w:ascii="Arial" w:eastAsia="Arial" w:hAnsi="Arial" w:cs="Arial"/>
          <w:sz w:val="24"/>
          <w:szCs w:val="24"/>
        </w:rPr>
        <w:t xml:space="preserve">se describe una serie de instrucciones a realizar el día de la jornada electoral, de forma precisa, en cuanto al manejo del cupón en cuestión, en relación a la emisión del voto en favor del PAN y el pago a recibir por ello. </w:t>
      </w:r>
    </w:p>
    <w:p w14:paraId="69BFC9D9" w14:textId="321FC916" w:rsidR="00704F58" w:rsidRDefault="0078723A">
      <w:pPr>
        <w:numPr>
          <w:ilvl w:val="0"/>
          <w:numId w:val="2"/>
        </w:numPr>
        <w:pBdr>
          <w:top w:val="nil"/>
          <w:left w:val="nil"/>
          <w:bottom w:val="nil"/>
          <w:right w:val="nil"/>
          <w:between w:val="nil"/>
        </w:pBdr>
        <w:tabs>
          <w:tab w:val="left" w:pos="284"/>
        </w:tabs>
        <w:spacing w:line="360" w:lineRule="auto"/>
        <w:ind w:left="0" w:right="36" w:firstLine="0"/>
        <w:jc w:val="both"/>
        <w:rPr>
          <w:rFonts w:ascii="Arial" w:eastAsia="Arial" w:hAnsi="Arial" w:cs="Arial"/>
          <w:sz w:val="24"/>
          <w:szCs w:val="24"/>
        </w:rPr>
      </w:pPr>
      <w:r>
        <w:rPr>
          <w:rFonts w:ascii="Arial" w:eastAsia="Arial" w:hAnsi="Arial" w:cs="Arial"/>
          <w:sz w:val="24"/>
          <w:szCs w:val="24"/>
        </w:rPr>
        <w:t>La existencia de dos escritos de deslinde presentados ante el Unidad Técnica de Fiscalización del INE y la Secretaría Ejecutiva del Instituto Local, por parte de la candidata denunciada y del PAN, respectivamente, en los cuales niegan la distribución de los contrarrecibos y su participación en la supuesta operatividad cuestionada -</w:t>
      </w:r>
      <w:r w:rsidR="00755378">
        <w:rPr>
          <w:rFonts w:ascii="Arial" w:eastAsia="Arial" w:hAnsi="Arial" w:cs="Arial"/>
          <w:sz w:val="24"/>
          <w:szCs w:val="24"/>
        </w:rPr>
        <w:t>coacción en el electorado</w:t>
      </w:r>
      <w:r>
        <w:rPr>
          <w:rFonts w:ascii="Arial" w:eastAsia="Arial" w:hAnsi="Arial" w:cs="Arial"/>
          <w:sz w:val="24"/>
          <w:szCs w:val="24"/>
        </w:rPr>
        <w:t xml:space="preserve">-. </w:t>
      </w:r>
    </w:p>
    <w:p w14:paraId="7DAF7726" w14:textId="77777777" w:rsidR="00704F58" w:rsidRDefault="00704F58" w:rsidP="00BD5AD9">
      <w:pPr>
        <w:pStyle w:val="Sinespaciado"/>
      </w:pPr>
    </w:p>
    <w:p w14:paraId="4F7AED88" w14:textId="77777777" w:rsidR="00704F58" w:rsidRDefault="0078723A">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VI. Análisis de fondo</w:t>
      </w:r>
    </w:p>
    <w:p w14:paraId="39F756A5" w14:textId="77777777" w:rsidR="00704F58" w:rsidRDefault="00704F58" w:rsidP="00BD5AD9">
      <w:pPr>
        <w:pStyle w:val="Sinespaciado"/>
      </w:pPr>
    </w:p>
    <w:p w14:paraId="60C3C26B" w14:textId="77777777" w:rsidR="00704F58" w:rsidRDefault="0078723A">
      <w:pPr>
        <w:numPr>
          <w:ilvl w:val="0"/>
          <w:numId w:val="3"/>
        </w:numPr>
        <w:pBdr>
          <w:top w:val="nil"/>
          <w:left w:val="nil"/>
          <w:bottom w:val="nil"/>
          <w:right w:val="nil"/>
          <w:between w:val="nil"/>
        </w:pBdr>
        <w:tabs>
          <w:tab w:val="left" w:pos="426"/>
        </w:tabs>
        <w:spacing w:line="360" w:lineRule="auto"/>
        <w:ind w:left="0" w:right="36" w:firstLine="0"/>
        <w:jc w:val="both"/>
        <w:rPr>
          <w:b/>
          <w:color w:val="000000"/>
          <w:sz w:val="24"/>
          <w:szCs w:val="24"/>
        </w:rPr>
      </w:pPr>
      <w:r>
        <w:rPr>
          <w:rFonts w:ascii="Arial" w:eastAsia="Arial" w:hAnsi="Arial" w:cs="Arial"/>
          <w:b/>
          <w:color w:val="000000"/>
          <w:sz w:val="24"/>
          <w:szCs w:val="24"/>
        </w:rPr>
        <w:t xml:space="preserve">Planteamiento de la controversia. </w:t>
      </w:r>
      <w:r>
        <w:rPr>
          <w:rFonts w:ascii="Arial" w:eastAsia="Arial" w:hAnsi="Arial" w:cs="Arial"/>
          <w:color w:val="000000"/>
          <w:sz w:val="24"/>
          <w:szCs w:val="24"/>
        </w:rPr>
        <w:t>De conformidad con lo expuesto, este Tribunal considera que la controversia a definir consiste en determinar lo siguiente:</w:t>
      </w:r>
      <w:r>
        <w:rPr>
          <w:rFonts w:ascii="Arial" w:eastAsia="Arial" w:hAnsi="Arial" w:cs="Arial"/>
          <w:b/>
          <w:color w:val="000000"/>
          <w:sz w:val="24"/>
          <w:szCs w:val="24"/>
        </w:rPr>
        <w:t xml:space="preserve"> </w:t>
      </w:r>
    </w:p>
    <w:p w14:paraId="510671D7" w14:textId="77777777" w:rsidR="00704F58" w:rsidRDefault="00704F58">
      <w:pPr>
        <w:pBdr>
          <w:top w:val="nil"/>
          <w:left w:val="nil"/>
          <w:bottom w:val="nil"/>
          <w:right w:val="nil"/>
          <w:between w:val="nil"/>
        </w:pBdr>
        <w:rPr>
          <w:color w:val="000000"/>
        </w:rPr>
      </w:pPr>
    </w:p>
    <w:p w14:paraId="7F4A1F51" w14:textId="77777777" w:rsidR="00704F58" w:rsidRDefault="0078723A">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i/>
          <w:color w:val="000000"/>
          <w:sz w:val="24"/>
          <w:szCs w:val="24"/>
        </w:rPr>
        <w:t>i)</w:t>
      </w:r>
      <w:r>
        <w:rPr>
          <w:rFonts w:ascii="Arial" w:eastAsia="Arial" w:hAnsi="Arial" w:cs="Arial"/>
          <w:color w:val="000000"/>
          <w:sz w:val="24"/>
          <w:szCs w:val="24"/>
        </w:rPr>
        <w:t xml:space="preserve"> ¿Si </w:t>
      </w:r>
      <w:r>
        <w:rPr>
          <w:rFonts w:ascii="Arial" w:eastAsia="Arial" w:hAnsi="Arial" w:cs="Arial"/>
          <w:sz w:val="24"/>
          <w:szCs w:val="24"/>
        </w:rPr>
        <w:t>de los medios de prueba ofrecidos por la parte denunciante, se logra acreditar la entrega de un contrarrecibo a la ciudadanía, que permite un pago por la emisión del voto en favor de la entonces candidata María Teresa Jiménez Esquivel y, por tanto, la infracción de coacción en el electorado</w:t>
      </w:r>
      <w:r>
        <w:rPr>
          <w:rFonts w:ascii="Arial" w:eastAsia="Arial" w:hAnsi="Arial" w:cs="Arial"/>
          <w:color w:val="000000"/>
          <w:sz w:val="24"/>
          <w:szCs w:val="24"/>
        </w:rPr>
        <w:t>?</w:t>
      </w:r>
    </w:p>
    <w:p w14:paraId="59A05AF0" w14:textId="77777777" w:rsidR="00704F58" w:rsidRDefault="00704F58">
      <w:pPr>
        <w:pBdr>
          <w:top w:val="nil"/>
          <w:left w:val="nil"/>
          <w:bottom w:val="nil"/>
          <w:right w:val="nil"/>
          <w:between w:val="nil"/>
        </w:pBdr>
        <w:rPr>
          <w:color w:val="000000"/>
        </w:rPr>
      </w:pPr>
    </w:p>
    <w:p w14:paraId="77CD9468" w14:textId="77777777" w:rsidR="00704F58" w:rsidRDefault="0078723A">
      <w:pPr>
        <w:spacing w:line="360" w:lineRule="auto"/>
        <w:jc w:val="both"/>
        <w:rPr>
          <w:rFonts w:ascii="Arial" w:eastAsia="Arial" w:hAnsi="Arial" w:cs="Arial"/>
          <w:b/>
          <w:sz w:val="24"/>
          <w:szCs w:val="24"/>
        </w:rPr>
      </w:pPr>
      <w:proofErr w:type="gramStart"/>
      <w:r>
        <w:rPr>
          <w:rFonts w:ascii="Arial" w:eastAsia="Arial" w:hAnsi="Arial" w:cs="Arial"/>
          <w:b/>
          <w:sz w:val="24"/>
          <w:szCs w:val="24"/>
          <w:u w:val="single"/>
        </w:rPr>
        <w:t xml:space="preserve">Aparatado </w:t>
      </w:r>
      <w:r>
        <w:rPr>
          <w:rFonts w:ascii="Arial" w:eastAsia="Arial" w:hAnsi="Arial" w:cs="Arial"/>
          <w:b/>
          <w:sz w:val="2"/>
          <w:szCs w:val="2"/>
          <w:u w:val="single"/>
        </w:rPr>
        <w:t xml:space="preserve"> </w:t>
      </w:r>
      <w:r>
        <w:rPr>
          <w:rFonts w:ascii="Arial" w:eastAsia="Arial" w:hAnsi="Arial" w:cs="Arial"/>
          <w:b/>
          <w:sz w:val="24"/>
          <w:szCs w:val="24"/>
          <w:u w:val="single"/>
        </w:rPr>
        <w:t>I.</w:t>
      </w:r>
      <w:proofErr w:type="gramEnd"/>
      <w:r>
        <w:rPr>
          <w:rFonts w:ascii="Arial" w:eastAsia="Arial" w:hAnsi="Arial" w:cs="Arial"/>
          <w:b/>
          <w:sz w:val="24"/>
          <w:szCs w:val="24"/>
        </w:rPr>
        <w:t xml:space="preserve"> Decisión</w:t>
      </w:r>
    </w:p>
    <w:p w14:paraId="24C35737" w14:textId="77777777" w:rsidR="00704F58" w:rsidRDefault="00704F58">
      <w:pPr>
        <w:pBdr>
          <w:top w:val="nil"/>
          <w:left w:val="nil"/>
          <w:bottom w:val="nil"/>
          <w:right w:val="nil"/>
          <w:between w:val="nil"/>
        </w:pBdr>
        <w:rPr>
          <w:color w:val="000000"/>
        </w:rPr>
      </w:pPr>
    </w:p>
    <w:p w14:paraId="74F58F27" w14:textId="76ED25D6" w:rsidR="00704F58" w:rsidRDefault="0078723A">
      <w:pPr>
        <w:spacing w:line="360" w:lineRule="auto"/>
        <w:jc w:val="both"/>
        <w:rPr>
          <w:rFonts w:ascii="Arial" w:eastAsia="Arial" w:hAnsi="Arial" w:cs="Arial"/>
          <w:sz w:val="24"/>
          <w:szCs w:val="24"/>
        </w:rPr>
      </w:pPr>
      <w:r>
        <w:rPr>
          <w:rFonts w:ascii="Arial" w:eastAsia="Arial" w:hAnsi="Arial" w:cs="Arial"/>
          <w:sz w:val="24"/>
          <w:szCs w:val="24"/>
        </w:rPr>
        <w:t xml:space="preserve">Este </w:t>
      </w:r>
      <w:r>
        <w:rPr>
          <w:rFonts w:ascii="Arial" w:eastAsia="Arial" w:hAnsi="Arial" w:cs="Arial"/>
          <w:b/>
          <w:sz w:val="24"/>
          <w:szCs w:val="24"/>
        </w:rPr>
        <w:t xml:space="preserve">Tribunal Electoral estima </w:t>
      </w:r>
      <w:r>
        <w:rPr>
          <w:rFonts w:ascii="Arial" w:eastAsia="Arial" w:hAnsi="Arial" w:cs="Arial"/>
          <w:sz w:val="24"/>
          <w:szCs w:val="24"/>
        </w:rPr>
        <w:t>que debe declararse la</w:t>
      </w:r>
      <w:r>
        <w:rPr>
          <w:rFonts w:ascii="Arial" w:eastAsia="Arial" w:hAnsi="Arial" w:cs="Arial"/>
          <w:b/>
          <w:sz w:val="24"/>
          <w:szCs w:val="24"/>
        </w:rPr>
        <w:t xml:space="preserve"> inexistencia de los hechos denunciados </w:t>
      </w:r>
      <w:r>
        <w:rPr>
          <w:rFonts w:ascii="Arial" w:eastAsia="Arial" w:hAnsi="Arial" w:cs="Arial"/>
          <w:sz w:val="24"/>
          <w:szCs w:val="24"/>
        </w:rPr>
        <w:t xml:space="preserve">atribuidos a la entonces candidata María Teresa Jiménez Esquivel y a los institutos políticos integrantes de la coalición “Va por Aguascalientes”, consistentes en la supuesta entrega de un </w:t>
      </w:r>
      <w:r w:rsidR="00755378">
        <w:rPr>
          <w:rFonts w:ascii="Arial" w:eastAsia="Arial" w:hAnsi="Arial" w:cs="Arial"/>
          <w:sz w:val="24"/>
          <w:szCs w:val="24"/>
        </w:rPr>
        <w:t>contrarrecibo</w:t>
      </w:r>
      <w:r>
        <w:rPr>
          <w:rFonts w:ascii="Arial" w:eastAsia="Arial" w:hAnsi="Arial" w:cs="Arial"/>
          <w:sz w:val="24"/>
          <w:szCs w:val="24"/>
        </w:rPr>
        <w:t xml:space="preserve"> a la ciudadanía, que permitía la recepción de un pago a cambio de la emisión del voto en favor de la candidatura denunciada. </w:t>
      </w:r>
    </w:p>
    <w:p w14:paraId="0B81B186" w14:textId="77777777" w:rsidR="00704F58" w:rsidRDefault="0078723A">
      <w:pPr>
        <w:spacing w:before="240" w:after="240" w:line="360" w:lineRule="auto"/>
        <w:jc w:val="both"/>
        <w:rPr>
          <w:sz w:val="18"/>
          <w:szCs w:val="18"/>
        </w:rPr>
      </w:pPr>
      <w:r>
        <w:rPr>
          <w:rFonts w:ascii="Arial" w:eastAsia="Arial" w:hAnsi="Arial" w:cs="Arial"/>
          <w:sz w:val="24"/>
          <w:szCs w:val="24"/>
        </w:rPr>
        <w:t xml:space="preserve">Lo anterior, porque órgano jurisdiccional considera que de un análisis conjunto de todos los medios probatorios que existen en el expediente, en cuanto a su contenido y alcance, así como de las manifestaciones realizadas por las partes en el presente asunto, </w:t>
      </w:r>
      <w:r>
        <w:rPr>
          <w:rFonts w:ascii="Arial" w:eastAsia="Arial" w:hAnsi="Arial" w:cs="Arial"/>
          <w:b/>
          <w:sz w:val="24"/>
          <w:szCs w:val="24"/>
        </w:rPr>
        <w:t>no resulta posible advertir la existencia de la entrega del cupón,</w:t>
      </w:r>
      <w:r>
        <w:rPr>
          <w:rFonts w:ascii="Arial" w:eastAsia="Arial" w:hAnsi="Arial" w:cs="Arial"/>
          <w:sz w:val="24"/>
          <w:szCs w:val="24"/>
        </w:rPr>
        <w:t xml:space="preserve"> que tuviera como finalidad condicionar a las y los electores en favor de un beneficio de carácter económico.</w:t>
      </w:r>
    </w:p>
    <w:p w14:paraId="098419F4" w14:textId="77777777" w:rsidR="00704F58" w:rsidRDefault="0078723A">
      <w:pPr>
        <w:spacing w:line="360" w:lineRule="auto"/>
        <w:jc w:val="both"/>
        <w:rPr>
          <w:rFonts w:ascii="Arial" w:eastAsia="Arial" w:hAnsi="Arial" w:cs="Arial"/>
          <w:b/>
          <w:sz w:val="24"/>
          <w:szCs w:val="24"/>
        </w:rPr>
      </w:pPr>
      <w:r>
        <w:rPr>
          <w:rFonts w:ascii="Arial" w:eastAsia="Arial" w:hAnsi="Arial" w:cs="Arial"/>
          <w:b/>
          <w:sz w:val="24"/>
          <w:szCs w:val="24"/>
          <w:u w:val="single"/>
        </w:rPr>
        <w:t>Aparatado II.</w:t>
      </w:r>
      <w:r>
        <w:rPr>
          <w:rFonts w:ascii="Arial" w:eastAsia="Arial" w:hAnsi="Arial" w:cs="Arial"/>
          <w:b/>
          <w:sz w:val="24"/>
          <w:szCs w:val="24"/>
        </w:rPr>
        <w:t xml:space="preserve"> Desarrollo y justificación de la decisión </w:t>
      </w:r>
    </w:p>
    <w:p w14:paraId="2BE468EE" w14:textId="77777777" w:rsidR="00704F58" w:rsidRDefault="00704F58">
      <w:pPr>
        <w:pBdr>
          <w:top w:val="nil"/>
          <w:left w:val="nil"/>
          <w:bottom w:val="nil"/>
          <w:right w:val="nil"/>
          <w:between w:val="nil"/>
        </w:pBdr>
        <w:rPr>
          <w:color w:val="000000"/>
        </w:rPr>
      </w:pPr>
    </w:p>
    <w:p w14:paraId="749A2A48" w14:textId="72C2A3F9" w:rsidR="00704F58" w:rsidRDefault="0078723A">
      <w:pPr>
        <w:pBdr>
          <w:top w:val="nil"/>
          <w:left w:val="nil"/>
          <w:bottom w:val="nil"/>
          <w:right w:val="nil"/>
          <w:between w:val="nil"/>
        </w:pBdr>
        <w:tabs>
          <w:tab w:val="left" w:pos="5461"/>
        </w:tabs>
        <w:spacing w:line="360" w:lineRule="auto"/>
        <w:jc w:val="both"/>
        <w:rPr>
          <w:rFonts w:ascii="Arial" w:eastAsia="Arial" w:hAnsi="Arial" w:cs="Arial"/>
          <w:b/>
          <w:color w:val="000000"/>
          <w:sz w:val="24"/>
          <w:szCs w:val="24"/>
        </w:rPr>
      </w:pPr>
      <w:r>
        <w:rPr>
          <w:rFonts w:ascii="Arial" w:eastAsia="Arial" w:hAnsi="Arial" w:cs="Arial"/>
          <w:b/>
          <w:sz w:val="24"/>
          <w:szCs w:val="24"/>
        </w:rPr>
        <w:t>1</w:t>
      </w:r>
      <w:r>
        <w:rPr>
          <w:rFonts w:ascii="Arial" w:eastAsia="Arial" w:hAnsi="Arial" w:cs="Arial"/>
          <w:b/>
          <w:color w:val="000000"/>
          <w:sz w:val="24"/>
          <w:szCs w:val="24"/>
        </w:rPr>
        <w:t xml:space="preserve">. Caso concreto </w:t>
      </w:r>
    </w:p>
    <w:p w14:paraId="30196B6A" w14:textId="77777777" w:rsidR="00E1781B" w:rsidRDefault="00E1781B" w:rsidP="00E1781B">
      <w:pPr>
        <w:pStyle w:val="Sinespaciado"/>
        <w:rPr>
          <w:rFonts w:eastAsia="Arial"/>
        </w:rPr>
      </w:pPr>
    </w:p>
    <w:p w14:paraId="2AE283F9" w14:textId="49BFF33F" w:rsidR="00704F58" w:rsidRDefault="0078723A">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sz w:val="24"/>
          <w:szCs w:val="24"/>
        </w:rPr>
        <w:t xml:space="preserve">En el caso, Morena presentó una queja ante el Instituto Local en contra de la ciudadana María Teresa Jiménez Esquivel, entonces candidata a la gubernatura del estado, postulada por la coalición “Va Por Aguascalientes”, así como a los propios institutos políticos coaligados (PAN, PRI y PRD), derivado de la supuesta entrega de contrarrecibos </w:t>
      </w:r>
      <w:r>
        <w:rPr>
          <w:rFonts w:ascii="Arial" w:eastAsia="Arial" w:hAnsi="Arial" w:cs="Arial"/>
          <w:sz w:val="24"/>
          <w:szCs w:val="24"/>
        </w:rPr>
        <w:lastRenderedPageBreak/>
        <w:t>personalizados y foliados a la ciudadanía, por los que se ofrece un pago a cambio del voto a su favor, lo cual, a su dicho, configura la infracción de coacción en la intención o preferencia del voto de las y los electores.</w:t>
      </w:r>
    </w:p>
    <w:p w14:paraId="63E39F83" w14:textId="77777777" w:rsidR="00755378" w:rsidRDefault="00755378" w:rsidP="00755378">
      <w:pPr>
        <w:pStyle w:val="Sinespaciado"/>
        <w:rPr>
          <w:rFonts w:eastAsia="Arial"/>
        </w:rPr>
      </w:pPr>
    </w:p>
    <w:p w14:paraId="4EEDA50C" w14:textId="77777777" w:rsidR="00704F58" w:rsidRDefault="0078723A">
      <w:pPr>
        <w:pBdr>
          <w:top w:val="nil"/>
          <w:left w:val="nil"/>
          <w:bottom w:val="nil"/>
          <w:right w:val="nil"/>
          <w:between w:val="nil"/>
        </w:pBdr>
        <w:tabs>
          <w:tab w:val="left" w:pos="284"/>
        </w:tabs>
        <w:spacing w:line="360" w:lineRule="auto"/>
        <w:ind w:right="36"/>
        <w:jc w:val="both"/>
        <w:rPr>
          <w:color w:val="000000"/>
        </w:rPr>
      </w:pPr>
      <w:r>
        <w:rPr>
          <w:rFonts w:ascii="Arial" w:eastAsia="Arial" w:hAnsi="Arial" w:cs="Arial"/>
          <w:b/>
          <w:sz w:val="24"/>
          <w:szCs w:val="24"/>
        </w:rPr>
        <w:t>2</w:t>
      </w:r>
      <w:r>
        <w:rPr>
          <w:rFonts w:ascii="Arial" w:eastAsia="Arial" w:hAnsi="Arial" w:cs="Arial"/>
          <w:b/>
          <w:color w:val="000000"/>
          <w:sz w:val="24"/>
          <w:szCs w:val="24"/>
        </w:rPr>
        <w:t xml:space="preserve">. Valoración </w:t>
      </w:r>
    </w:p>
    <w:p w14:paraId="0DE1A30A" w14:textId="77777777" w:rsidR="00704F58" w:rsidRDefault="0078723A">
      <w:pPr>
        <w:spacing w:before="240" w:after="240" w:line="360" w:lineRule="auto"/>
        <w:jc w:val="both"/>
        <w:rPr>
          <w:rFonts w:ascii="Arial" w:eastAsia="Arial" w:hAnsi="Arial" w:cs="Arial"/>
          <w:sz w:val="24"/>
          <w:szCs w:val="24"/>
        </w:rPr>
      </w:pPr>
      <w:r>
        <w:rPr>
          <w:rFonts w:ascii="Arial" w:eastAsia="Arial" w:hAnsi="Arial" w:cs="Arial"/>
          <w:sz w:val="24"/>
          <w:szCs w:val="24"/>
        </w:rPr>
        <w:t>Este Tribunal Electoral estima que</w:t>
      </w:r>
      <w:bookmarkStart w:id="8" w:name="_Hlk106361887"/>
      <w:r>
        <w:rPr>
          <w:rFonts w:ascii="Arial" w:eastAsia="Arial" w:hAnsi="Arial" w:cs="Arial"/>
          <w:sz w:val="24"/>
          <w:szCs w:val="24"/>
        </w:rPr>
        <w:t xml:space="preserve">, a partir del análisis probatorio que se encuentra en el expediente, es posible concluir que </w:t>
      </w:r>
      <w:r>
        <w:rPr>
          <w:rFonts w:ascii="Arial" w:eastAsia="Arial" w:hAnsi="Arial" w:cs="Arial"/>
          <w:b/>
          <w:sz w:val="24"/>
          <w:szCs w:val="24"/>
        </w:rPr>
        <w:t>no se logró acreditar de manera fehaciente la existencia de los hechos cuestionados</w:t>
      </w:r>
      <w:r>
        <w:rPr>
          <w:rFonts w:ascii="Arial" w:eastAsia="Arial" w:hAnsi="Arial" w:cs="Arial"/>
          <w:sz w:val="24"/>
          <w:szCs w:val="24"/>
        </w:rPr>
        <w:t xml:space="preserve">, consistente en la supuesta infracción de coacción ejercida por la entonces candidata María Teresa Jiménez Esquivel y los institutos políticos que conforman la coalición “Va por Aguascalientes” (PAN, PRI y PRD), en perjuicio de la ciudadanía que recibió dicha entrega, porque la parte denunciante incumplió su deber de aportar pruebas suficientes que comprobaran su dicho </w:t>
      </w:r>
      <w:bookmarkEnd w:id="8"/>
      <w:r>
        <w:rPr>
          <w:rFonts w:ascii="Arial" w:eastAsia="Arial" w:hAnsi="Arial" w:cs="Arial"/>
          <w:sz w:val="24"/>
          <w:szCs w:val="24"/>
        </w:rPr>
        <w:t>y, a su vez, omitió aportar circunstancias de tiempo, modo y lugar, que permitieran generar convicción sobre la presunta entrega que se cuestiona.</w:t>
      </w:r>
    </w:p>
    <w:p w14:paraId="24387CC5" w14:textId="77777777" w:rsidR="00704F58" w:rsidRDefault="0078723A">
      <w:pPr>
        <w:spacing w:before="240" w:after="240" w:line="360" w:lineRule="auto"/>
        <w:jc w:val="both"/>
        <w:rPr>
          <w:rFonts w:ascii="Arial" w:eastAsia="Arial" w:hAnsi="Arial" w:cs="Arial"/>
          <w:sz w:val="24"/>
          <w:szCs w:val="24"/>
        </w:rPr>
      </w:pPr>
      <w:r>
        <w:rPr>
          <w:rFonts w:ascii="Arial" w:eastAsia="Arial" w:hAnsi="Arial" w:cs="Arial"/>
          <w:sz w:val="24"/>
          <w:szCs w:val="24"/>
        </w:rPr>
        <w:t>Lo anterior se debió a que la parte denunciante se quejó de la infracción de coacción, atribuida a la candidata María Teresa Jiménez Esquivel, en atención a la supuesta entrega de un contrarrecibo que era canjeable por la emisión de un voto a favor de dicha candidata a cambio de dinero. Asimismo, cuestionó a los partidos políticos denunciantes por haber incumplido su deber de cuidado, consistente en procurar que las conductas de su candidatura no impliquen alguna infracción en materia electoral.</w:t>
      </w:r>
    </w:p>
    <w:p w14:paraId="261745A5" w14:textId="77777777" w:rsidR="00704F58" w:rsidRDefault="0078723A">
      <w:pPr>
        <w:spacing w:before="240" w:after="240" w:line="360" w:lineRule="auto"/>
        <w:jc w:val="both"/>
        <w:rPr>
          <w:rFonts w:ascii="Arial" w:eastAsia="Arial" w:hAnsi="Arial" w:cs="Arial"/>
          <w:sz w:val="24"/>
          <w:szCs w:val="24"/>
        </w:rPr>
      </w:pPr>
      <w:r>
        <w:rPr>
          <w:rFonts w:ascii="Arial" w:eastAsia="Arial" w:hAnsi="Arial" w:cs="Arial"/>
          <w:sz w:val="24"/>
          <w:szCs w:val="24"/>
        </w:rPr>
        <w:t>Para acreditar su dicho, la parte quejosa ofreció como medios de prueba la imagen del presunto cupón y la reproducción de un audio en el que supuestamente se hace referencia al condicionamiento en cuanto a cómo se podría hacer efectivo tal cupón, es decir, en el que se explicaba el método relativo a las reglas de operación con las cuales podría canjearse por dinero, una vez emitido el voto en favor de la candidata cuestionada.</w:t>
      </w:r>
    </w:p>
    <w:p w14:paraId="65D787A2" w14:textId="77777777" w:rsidR="00704F58" w:rsidRDefault="0078723A">
      <w:pPr>
        <w:spacing w:before="240" w:after="240" w:line="360" w:lineRule="auto"/>
        <w:jc w:val="both"/>
        <w:rPr>
          <w:rFonts w:ascii="Arial" w:eastAsia="Arial" w:hAnsi="Arial" w:cs="Arial"/>
          <w:sz w:val="24"/>
          <w:szCs w:val="24"/>
        </w:rPr>
      </w:pPr>
      <w:r>
        <w:rPr>
          <w:rFonts w:ascii="Arial" w:eastAsia="Arial" w:hAnsi="Arial" w:cs="Arial"/>
          <w:sz w:val="24"/>
          <w:szCs w:val="24"/>
        </w:rPr>
        <w:t>Por su parte, la parte denunciada únicamente ofreció como datos de pruebas los escritos de deslinde presentados ante el Instituto Nacional Electoral e Instituto Local, con el objetivo de desvincularse de una publicación difundida a través de Facebook en la cual se hacía mención de las irregularidades ocurridas, -coacción al voto a través del contrarrecibo- y que le eran atribuibles a la candidata cuestionada y al PAN.</w:t>
      </w:r>
    </w:p>
    <w:p w14:paraId="187B30A3" w14:textId="77777777" w:rsidR="00704F58" w:rsidRDefault="0078723A">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Al respecto, este órgano jurisdiccional estima que, contrario a lo que sostiene la parte denunciante, la </w:t>
      </w:r>
      <w:r>
        <w:rPr>
          <w:rFonts w:ascii="Arial" w:eastAsia="Arial" w:hAnsi="Arial" w:cs="Arial"/>
          <w:b/>
          <w:sz w:val="24"/>
          <w:szCs w:val="24"/>
        </w:rPr>
        <w:t xml:space="preserve">imagen </w:t>
      </w:r>
      <w:r>
        <w:rPr>
          <w:rFonts w:ascii="Arial" w:eastAsia="Arial" w:hAnsi="Arial" w:cs="Arial"/>
          <w:sz w:val="24"/>
          <w:szCs w:val="24"/>
        </w:rPr>
        <w:t xml:space="preserve">del cupón cuestionado, la publicación de este y la reproducción del </w:t>
      </w:r>
      <w:r>
        <w:rPr>
          <w:rFonts w:ascii="Arial" w:eastAsia="Arial" w:hAnsi="Arial" w:cs="Arial"/>
          <w:b/>
          <w:sz w:val="24"/>
          <w:szCs w:val="24"/>
        </w:rPr>
        <w:t xml:space="preserve">audio </w:t>
      </w:r>
      <w:r>
        <w:rPr>
          <w:rFonts w:ascii="Arial" w:eastAsia="Arial" w:hAnsi="Arial" w:cs="Arial"/>
          <w:sz w:val="24"/>
          <w:szCs w:val="24"/>
        </w:rPr>
        <w:t xml:space="preserve">en cuestión, </w:t>
      </w:r>
      <w:r>
        <w:rPr>
          <w:rFonts w:ascii="Arial" w:eastAsia="Arial" w:hAnsi="Arial" w:cs="Arial"/>
          <w:b/>
          <w:sz w:val="24"/>
          <w:szCs w:val="24"/>
        </w:rPr>
        <w:t>resultan insuficientes para acreditar la existencia de una supuesta entrega</w:t>
      </w:r>
      <w:r>
        <w:rPr>
          <w:rFonts w:ascii="Arial" w:eastAsia="Arial" w:hAnsi="Arial" w:cs="Arial"/>
          <w:sz w:val="24"/>
          <w:szCs w:val="24"/>
        </w:rPr>
        <w:t xml:space="preserve"> que tuviera como efecto condicionar el voto de las y los electores, ya que tales medios probatorios únicamente demuestran que existió una imagen y una publicación en las que se hizo referencia a una presunta entrega consistente en el cupón, así como un </w:t>
      </w:r>
      <w:r>
        <w:rPr>
          <w:rFonts w:ascii="Arial" w:eastAsia="Arial" w:hAnsi="Arial" w:cs="Arial"/>
          <w:sz w:val="24"/>
          <w:szCs w:val="24"/>
        </w:rPr>
        <w:lastRenderedPageBreak/>
        <w:t xml:space="preserve">audio que aparentemente presumía la forma en la cual se realizó tal operación de compra de votos. </w:t>
      </w:r>
    </w:p>
    <w:p w14:paraId="4905AE70" w14:textId="77777777" w:rsidR="00704F58" w:rsidRDefault="0078723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Ello surge, tomando en cuenta que, por una parte, el audio que hace referencia a la supuesta entrega que se cuestiona, se trata de una prueba técnica que únicamente reproduce un audio sobre las irregularidades denunciadas, sin que de esta prueba, por sí sola, sea posible acreditar la comisión de los hechos denunciados, al no estar concatenados con otros elementos probatorios que resulten idóneos para esclarecer la presente controversia.</w:t>
      </w:r>
      <w:r>
        <w:rPr>
          <w:rFonts w:ascii="Arial" w:eastAsia="Arial" w:hAnsi="Arial" w:cs="Arial"/>
          <w:sz w:val="24"/>
          <w:szCs w:val="24"/>
          <w:vertAlign w:val="superscript"/>
        </w:rPr>
        <w:footnoteReference w:id="6"/>
      </w:r>
      <w:r>
        <w:rPr>
          <w:rFonts w:ascii="Arial" w:eastAsia="Arial" w:hAnsi="Arial" w:cs="Arial"/>
          <w:sz w:val="24"/>
          <w:szCs w:val="24"/>
        </w:rPr>
        <w:t xml:space="preserve"> Aunado a que tampoco se aportaron circunstancias de tiempo, modo y lugar que permitan generar veracidad sobre los hechos cuestionados, es decir, en qué espacio y cómo se generó la entrega del mencionado cupón, cuestión que le corresponde a la parte denunciante demostrar.</w:t>
      </w:r>
      <w:r>
        <w:rPr>
          <w:rFonts w:ascii="Arial" w:eastAsia="Arial" w:hAnsi="Arial" w:cs="Arial"/>
          <w:sz w:val="24"/>
          <w:szCs w:val="24"/>
          <w:vertAlign w:val="superscript"/>
        </w:rPr>
        <w:footnoteReference w:id="7"/>
      </w:r>
    </w:p>
    <w:p w14:paraId="7A01D4A1" w14:textId="77777777" w:rsidR="00704F58" w:rsidRDefault="0078723A">
      <w:pPr>
        <w:spacing w:before="240" w:after="240" w:line="360" w:lineRule="auto"/>
        <w:jc w:val="both"/>
        <w:rPr>
          <w:rFonts w:ascii="Arial" w:eastAsia="Arial" w:hAnsi="Arial" w:cs="Arial"/>
          <w:sz w:val="24"/>
          <w:szCs w:val="24"/>
        </w:rPr>
      </w:pPr>
      <w:r>
        <w:rPr>
          <w:rFonts w:ascii="Arial" w:eastAsia="Arial" w:hAnsi="Arial" w:cs="Arial"/>
          <w:sz w:val="24"/>
          <w:szCs w:val="24"/>
        </w:rPr>
        <w:t>Por otro lado, en cuanto a la probanza relativa a la imagen del cupón, esta autoridad jurisdiccional estima que al tratarse de una documental privada, únicamente genera el valor de indicio que necesariamente debe concatenarse con otros medios probatorios para generar veracidad, cuestión que no ocurre en el presente caso, porque la parte denunciante solamente ofreció la reproducción del referido audio, sin que ello constituya una prueba que genere convicción en cuanto a que -de la imagen del cupón y audio- efectivamente se realizó una entrega de dinero a cambio del voto, y que esto involucra a las partes denunciadas (María Teresa Jiménez Esquivel y coalición).</w:t>
      </w:r>
    </w:p>
    <w:p w14:paraId="33470B71" w14:textId="513BE3F9" w:rsidR="00704F58" w:rsidRDefault="0078723A">
      <w:pPr>
        <w:spacing w:before="240" w:after="240" w:line="360" w:lineRule="auto"/>
        <w:jc w:val="both"/>
        <w:rPr>
          <w:rFonts w:ascii="Arial" w:eastAsia="Arial" w:hAnsi="Arial" w:cs="Arial"/>
          <w:sz w:val="24"/>
          <w:szCs w:val="24"/>
        </w:rPr>
      </w:pPr>
      <w:r>
        <w:rPr>
          <w:rFonts w:ascii="Arial" w:eastAsia="Arial" w:hAnsi="Arial" w:cs="Arial"/>
          <w:sz w:val="24"/>
          <w:szCs w:val="24"/>
        </w:rPr>
        <w:t>Asimismo, en relación a la prueba aportada por la parte denunciada, consistente en los escritos de deslinde, de ninguna form</w:t>
      </w:r>
      <w:r w:rsidR="00755378">
        <w:rPr>
          <w:rFonts w:ascii="Arial" w:eastAsia="Arial" w:hAnsi="Arial" w:cs="Arial"/>
          <w:sz w:val="24"/>
          <w:szCs w:val="24"/>
        </w:rPr>
        <w:t>a</w:t>
      </w:r>
      <w:r>
        <w:rPr>
          <w:rFonts w:ascii="Arial" w:eastAsia="Arial" w:hAnsi="Arial" w:cs="Arial"/>
          <w:sz w:val="24"/>
          <w:szCs w:val="24"/>
        </w:rPr>
        <w:t xml:space="preserve"> podrían perfeccionar los medios probatorios descritos anteriormente, ya que tales escritos, en todo caso, pudieron perfeccionar la existencia de una publicación en la cual se hizo referencia a la supuesta entrega del cupón, sin que se aportaran mayores indicios sobre las circunstancias de tiempo, modo y lugar sobre las irregularidades que son materia en la presente controversia.</w:t>
      </w:r>
    </w:p>
    <w:p w14:paraId="478EB7B5" w14:textId="77777777" w:rsidR="00704F58" w:rsidRDefault="0078723A">
      <w:pPr>
        <w:spacing w:before="240" w:after="240" w:line="360" w:lineRule="auto"/>
        <w:jc w:val="both"/>
        <w:rPr>
          <w:rFonts w:ascii="Arial" w:eastAsia="Arial" w:hAnsi="Arial" w:cs="Arial"/>
          <w:sz w:val="24"/>
          <w:szCs w:val="24"/>
        </w:rPr>
      </w:pPr>
      <w:r>
        <w:rPr>
          <w:rFonts w:ascii="Arial" w:eastAsia="Arial" w:hAnsi="Arial" w:cs="Arial"/>
          <w:sz w:val="24"/>
          <w:szCs w:val="24"/>
        </w:rPr>
        <w:t>Ante ello, este órgano jurisdiccional considera que, de un análisis conjunto de todos los medios probatorios que existen en el expediente, en cuanto a su contenido y alcance, así como de las manifestaciones realizadas por las partes en el presente asunto</w:t>
      </w:r>
      <w:bookmarkStart w:id="9" w:name="_Hlk106361961"/>
      <w:r>
        <w:rPr>
          <w:rFonts w:ascii="Arial" w:eastAsia="Arial" w:hAnsi="Arial" w:cs="Arial"/>
          <w:sz w:val="24"/>
          <w:szCs w:val="24"/>
        </w:rPr>
        <w:t xml:space="preserve">, </w:t>
      </w:r>
      <w:r>
        <w:rPr>
          <w:rFonts w:ascii="Arial" w:eastAsia="Arial" w:hAnsi="Arial" w:cs="Arial"/>
          <w:b/>
          <w:sz w:val="24"/>
          <w:szCs w:val="24"/>
        </w:rPr>
        <w:t>no resulta posible advertir la existencia de la entrega del cupón,</w:t>
      </w:r>
      <w:r>
        <w:rPr>
          <w:rFonts w:ascii="Arial" w:eastAsia="Arial" w:hAnsi="Arial" w:cs="Arial"/>
          <w:sz w:val="24"/>
          <w:szCs w:val="24"/>
        </w:rPr>
        <w:t xml:space="preserve"> que tuviera como finalidad condicionar a las y los electores en favor de una entrega en dinero, que le fuera atribuible a la entonces candidata María Teresa Jiménez Esquivel.</w:t>
      </w:r>
    </w:p>
    <w:bookmarkEnd w:id="9"/>
    <w:p w14:paraId="492A636F" w14:textId="77777777" w:rsidR="00704F58" w:rsidRDefault="0078723A">
      <w:pPr>
        <w:spacing w:before="240" w:after="240" w:line="360" w:lineRule="auto"/>
        <w:jc w:val="both"/>
        <w:rPr>
          <w:rFonts w:ascii="Arial" w:eastAsia="Arial" w:hAnsi="Arial" w:cs="Arial"/>
          <w:sz w:val="24"/>
          <w:szCs w:val="24"/>
        </w:rPr>
      </w:pPr>
      <w:r>
        <w:rPr>
          <w:rFonts w:ascii="Arial" w:eastAsia="Arial" w:hAnsi="Arial" w:cs="Arial"/>
          <w:sz w:val="24"/>
          <w:szCs w:val="24"/>
        </w:rPr>
        <w:lastRenderedPageBreak/>
        <w:t>Por lo tanto, al no haberse acreditado de manera fehaciente la existencia de los hechos denunciados, este Tribunal Electoral se encuentra legalmente impedido para determinar la actualización de la presunta infracción -coacción al voto-, dada la referida insuficiencia probatoria, por lo cual debe desestimarse el escrito de queja presentado por el partido político Morena.</w:t>
      </w:r>
    </w:p>
    <w:p w14:paraId="7A357A81" w14:textId="22F68EFD" w:rsidR="00704F58" w:rsidRDefault="0078723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Concluir lo contrario, es decir, de atribuir los hechos a la ciudadana cuestionada, únicamente a partir del dicho de la parte denunciante, sin que ello pueda ser comprobado con la imagen de un supuesto cupón y con el resto del material probatorio analizado -reproducción de un audio en el que se hace referencia a las supuestas irregularidades ocurridas-, </w:t>
      </w:r>
      <w:r>
        <w:rPr>
          <w:rFonts w:ascii="Arial" w:eastAsia="Arial" w:hAnsi="Arial" w:cs="Arial"/>
          <w:b/>
          <w:sz w:val="24"/>
          <w:szCs w:val="24"/>
        </w:rPr>
        <w:t>generaría un perjuicio al derecho humano de presunción de inocencia</w:t>
      </w:r>
      <w:r>
        <w:rPr>
          <w:rFonts w:ascii="Arial" w:eastAsia="Arial" w:hAnsi="Arial" w:cs="Arial"/>
          <w:sz w:val="24"/>
          <w:szCs w:val="24"/>
        </w:rPr>
        <w:t xml:space="preserve"> en perjuicio de la entonces candidata María Teresa Jiménez Esquivel, en atención a que, como se explicó, la parte quejosa no aportó elementos probatorios suficientes para sustentar la existencia de las conductas denunciadas, de ahí que incumplió con su carga probatoria que le corresponde por haber iniciado el presente procedimiento sancionador.</w:t>
      </w:r>
      <w:r>
        <w:rPr>
          <w:rFonts w:ascii="Arial" w:eastAsia="Arial" w:hAnsi="Arial" w:cs="Arial"/>
          <w:sz w:val="24"/>
          <w:szCs w:val="24"/>
          <w:vertAlign w:val="superscript"/>
        </w:rPr>
        <w:footnoteReference w:id="8"/>
      </w:r>
    </w:p>
    <w:p w14:paraId="70A99741" w14:textId="77777777" w:rsidR="00704F58" w:rsidRDefault="00704F58" w:rsidP="00755378">
      <w:pPr>
        <w:pStyle w:val="Sinespaciado"/>
        <w:rPr>
          <w:rFonts w:eastAsia="Arial"/>
        </w:rPr>
      </w:pPr>
    </w:p>
    <w:p w14:paraId="351C8423" w14:textId="77777777" w:rsidR="00704F58" w:rsidRDefault="0078723A">
      <w:pPr>
        <w:pBdr>
          <w:top w:val="nil"/>
          <w:left w:val="nil"/>
          <w:bottom w:val="nil"/>
          <w:right w:val="nil"/>
          <w:between w:val="nil"/>
        </w:pBdr>
        <w:tabs>
          <w:tab w:val="left" w:pos="0"/>
          <w:tab w:val="left" w:pos="426"/>
        </w:tabs>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VI. Resolutivos</w:t>
      </w:r>
    </w:p>
    <w:p w14:paraId="2205FF5E" w14:textId="77777777" w:rsidR="00704F58" w:rsidRDefault="00704F58">
      <w:pPr>
        <w:pBdr>
          <w:top w:val="nil"/>
          <w:left w:val="nil"/>
          <w:bottom w:val="nil"/>
          <w:right w:val="nil"/>
          <w:between w:val="nil"/>
        </w:pBdr>
        <w:rPr>
          <w:color w:val="000000"/>
        </w:rPr>
      </w:pPr>
    </w:p>
    <w:p w14:paraId="5B228C05" w14:textId="77777777" w:rsidR="00704F58" w:rsidRDefault="0078723A">
      <w:pPr>
        <w:spacing w:line="360" w:lineRule="auto"/>
        <w:jc w:val="both"/>
        <w:rPr>
          <w:rFonts w:ascii="Arial" w:eastAsia="Arial" w:hAnsi="Arial" w:cs="Arial"/>
          <w:sz w:val="24"/>
          <w:szCs w:val="24"/>
        </w:rPr>
      </w:pPr>
      <w:r>
        <w:rPr>
          <w:rFonts w:ascii="Arial" w:eastAsia="Arial" w:hAnsi="Arial" w:cs="Arial"/>
          <w:b/>
          <w:sz w:val="24"/>
          <w:szCs w:val="24"/>
        </w:rPr>
        <w:t xml:space="preserve">Primero. </w:t>
      </w:r>
      <w:r>
        <w:rPr>
          <w:rFonts w:ascii="Arial" w:eastAsia="Arial" w:hAnsi="Arial" w:cs="Arial"/>
          <w:sz w:val="24"/>
          <w:szCs w:val="24"/>
        </w:rPr>
        <w:t>Se declara la inexistencia de</w:t>
      </w:r>
      <w:r>
        <w:rPr>
          <w:rFonts w:ascii="Arial" w:eastAsia="Arial" w:hAnsi="Arial" w:cs="Arial"/>
          <w:b/>
          <w:sz w:val="24"/>
          <w:szCs w:val="24"/>
        </w:rPr>
        <w:t xml:space="preserve"> </w:t>
      </w:r>
      <w:r>
        <w:rPr>
          <w:rFonts w:ascii="Arial" w:eastAsia="Arial" w:hAnsi="Arial" w:cs="Arial"/>
          <w:sz w:val="24"/>
          <w:szCs w:val="24"/>
        </w:rPr>
        <w:t>la infracción atribuida a la entonces candidata María Teresa Jiménez Esquivel.</w:t>
      </w:r>
    </w:p>
    <w:p w14:paraId="5762719C" w14:textId="77777777" w:rsidR="00704F58" w:rsidRDefault="00704F58">
      <w:pPr>
        <w:pBdr>
          <w:top w:val="nil"/>
          <w:left w:val="nil"/>
          <w:bottom w:val="nil"/>
          <w:right w:val="nil"/>
          <w:between w:val="nil"/>
        </w:pBdr>
        <w:rPr>
          <w:color w:val="000000"/>
        </w:rPr>
      </w:pPr>
    </w:p>
    <w:p w14:paraId="707D9FAF" w14:textId="685B5A22" w:rsidR="00704F58" w:rsidRDefault="0078723A">
      <w:pPr>
        <w:spacing w:line="360" w:lineRule="auto"/>
        <w:jc w:val="both"/>
        <w:rPr>
          <w:rFonts w:ascii="Arial" w:eastAsia="Arial" w:hAnsi="Arial" w:cs="Arial"/>
          <w:sz w:val="24"/>
          <w:szCs w:val="24"/>
        </w:rPr>
      </w:pPr>
      <w:r>
        <w:rPr>
          <w:rFonts w:ascii="Arial" w:eastAsia="Arial" w:hAnsi="Arial" w:cs="Arial"/>
          <w:b/>
          <w:sz w:val="24"/>
          <w:szCs w:val="24"/>
        </w:rPr>
        <w:t>Segundo.</w:t>
      </w:r>
      <w:r>
        <w:rPr>
          <w:rFonts w:ascii="Arial" w:eastAsia="Arial" w:hAnsi="Arial" w:cs="Arial"/>
          <w:sz w:val="24"/>
          <w:szCs w:val="24"/>
        </w:rPr>
        <w:t xml:space="preserve"> Se declara la </w:t>
      </w:r>
      <w:r>
        <w:rPr>
          <w:rFonts w:ascii="Arial" w:eastAsia="Arial" w:hAnsi="Arial" w:cs="Arial"/>
          <w:b/>
          <w:sz w:val="24"/>
          <w:szCs w:val="24"/>
        </w:rPr>
        <w:t xml:space="preserve">inexistencia </w:t>
      </w:r>
      <w:r>
        <w:rPr>
          <w:rFonts w:ascii="Arial" w:eastAsia="Arial" w:hAnsi="Arial" w:cs="Arial"/>
          <w:sz w:val="24"/>
          <w:szCs w:val="24"/>
        </w:rPr>
        <w:t xml:space="preserve">de la infracción consistente en </w:t>
      </w:r>
      <w:r>
        <w:rPr>
          <w:rFonts w:ascii="Arial" w:eastAsia="Arial" w:hAnsi="Arial" w:cs="Arial"/>
          <w:b/>
          <w:i/>
          <w:sz w:val="24"/>
          <w:szCs w:val="24"/>
        </w:rPr>
        <w:t>culpa in vigilando</w:t>
      </w:r>
      <w:r>
        <w:rPr>
          <w:rFonts w:ascii="Arial" w:eastAsia="Arial" w:hAnsi="Arial" w:cs="Arial"/>
          <w:sz w:val="24"/>
          <w:szCs w:val="24"/>
        </w:rPr>
        <w:t xml:space="preserve"> atribuida a los partidos políticos PAN, PRI y PRD.</w:t>
      </w:r>
    </w:p>
    <w:p w14:paraId="1E63DD02" w14:textId="77777777" w:rsidR="00704F58" w:rsidRDefault="00704F58">
      <w:pPr>
        <w:pBdr>
          <w:top w:val="nil"/>
          <w:left w:val="nil"/>
          <w:bottom w:val="nil"/>
          <w:right w:val="nil"/>
          <w:between w:val="nil"/>
        </w:pBdr>
        <w:rPr>
          <w:color w:val="000000"/>
          <w:sz w:val="12"/>
          <w:szCs w:val="12"/>
        </w:rPr>
      </w:pPr>
    </w:p>
    <w:p w14:paraId="782266DF" w14:textId="77777777" w:rsidR="00704F58" w:rsidRDefault="0078723A">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8"/>
          <w:szCs w:val="8"/>
        </w:rPr>
      </w:pPr>
      <w:bookmarkStart w:id="10" w:name="_heading=h.3dy6vkm" w:colFirst="0" w:colLast="0"/>
      <w:bookmarkEnd w:id="10"/>
      <w:r>
        <w:rPr>
          <w:rFonts w:ascii="Arial" w:eastAsia="Arial" w:hAnsi="Arial" w:cs="Arial"/>
          <w:b/>
          <w:color w:val="000000"/>
          <w:sz w:val="24"/>
          <w:szCs w:val="24"/>
        </w:rPr>
        <w:t xml:space="preserve">Notifíquese. </w:t>
      </w:r>
      <w:r>
        <w:rPr>
          <w:rFonts w:ascii="Arial" w:eastAsia="Arial" w:hAnsi="Arial" w:cs="Arial"/>
          <w:b/>
          <w:color w:val="000000"/>
          <w:sz w:val="24"/>
          <w:szCs w:val="24"/>
        </w:rPr>
        <w:br/>
      </w:r>
    </w:p>
    <w:p w14:paraId="5AD16E59" w14:textId="78B7AB49" w:rsidR="00704F58" w:rsidRDefault="0078723A">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Así lo resolvió el Tribunal Electoral del Estado de Aguascalientes, por unanimidad de votos de las </w:t>
      </w:r>
      <w:r>
        <w:rPr>
          <w:rFonts w:ascii="Arial" w:eastAsia="Arial" w:hAnsi="Arial" w:cs="Arial"/>
          <w:sz w:val="24"/>
          <w:szCs w:val="24"/>
        </w:rPr>
        <w:t xml:space="preserve">Magistradas y el </w:t>
      </w:r>
      <w:r>
        <w:rPr>
          <w:rFonts w:ascii="Arial" w:eastAsia="Arial" w:hAnsi="Arial" w:cs="Arial"/>
          <w:color w:val="000000"/>
          <w:sz w:val="24"/>
          <w:szCs w:val="24"/>
        </w:rPr>
        <w:t xml:space="preserve">Magistrado que lo integran, ante el </w:t>
      </w:r>
      <w:proofErr w:type="gramStart"/>
      <w:r>
        <w:rPr>
          <w:rFonts w:ascii="Arial" w:eastAsia="Arial" w:hAnsi="Arial" w:cs="Arial"/>
          <w:color w:val="000000"/>
          <w:sz w:val="24"/>
          <w:szCs w:val="24"/>
        </w:rPr>
        <w:t>Secretario General</w:t>
      </w:r>
      <w:proofErr w:type="gramEnd"/>
      <w:r>
        <w:rPr>
          <w:rFonts w:ascii="Arial" w:eastAsia="Arial" w:hAnsi="Arial" w:cs="Arial"/>
          <w:color w:val="000000"/>
          <w:sz w:val="24"/>
          <w:szCs w:val="24"/>
        </w:rPr>
        <w:t xml:space="preserve"> de Acuerdos, quien autoriza y da fe.</w:t>
      </w:r>
    </w:p>
    <w:p w14:paraId="2F83378E" w14:textId="316A00B3" w:rsidR="00704F58" w:rsidRDefault="00704F58">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p>
    <w:tbl>
      <w:tblPr>
        <w:tblStyle w:val="ae"/>
        <w:tblW w:w="9120" w:type="dxa"/>
        <w:jc w:val="center"/>
        <w:tblInd w:w="0" w:type="dxa"/>
        <w:tblLayout w:type="fixed"/>
        <w:tblLook w:val="0400" w:firstRow="0" w:lastRow="0" w:firstColumn="0" w:lastColumn="0" w:noHBand="0" w:noVBand="1"/>
      </w:tblPr>
      <w:tblGrid>
        <w:gridCol w:w="4559"/>
        <w:gridCol w:w="4561"/>
      </w:tblGrid>
      <w:tr w:rsidR="00704F58" w14:paraId="2C055A3A" w14:textId="77777777" w:rsidTr="00BD5AD9">
        <w:trPr>
          <w:trHeight w:val="1080"/>
          <w:jc w:val="center"/>
        </w:trPr>
        <w:tc>
          <w:tcPr>
            <w:tcW w:w="9120" w:type="dxa"/>
            <w:gridSpan w:val="2"/>
          </w:tcPr>
          <w:p w14:paraId="3D9FF80E" w14:textId="61EEE021" w:rsidR="00704F58" w:rsidRDefault="0078723A" w:rsidP="00BD5AD9">
            <w:pPr>
              <w:spacing w:line="360" w:lineRule="auto"/>
              <w:jc w:val="center"/>
              <w:rPr>
                <w:rFonts w:ascii="Arial" w:eastAsia="Arial" w:hAnsi="Arial" w:cs="Arial"/>
                <w:b/>
                <w:color w:val="000000"/>
                <w:sz w:val="24"/>
                <w:szCs w:val="24"/>
              </w:rPr>
            </w:pPr>
            <w:bookmarkStart w:id="11" w:name="_heading=h.1t3h5sf" w:colFirst="0" w:colLast="0"/>
            <w:bookmarkEnd w:id="11"/>
            <w:r>
              <w:rPr>
                <w:rFonts w:ascii="Arial" w:eastAsia="Arial" w:hAnsi="Arial" w:cs="Arial"/>
                <w:b/>
                <w:color w:val="000000"/>
                <w:sz w:val="24"/>
                <w:szCs w:val="24"/>
              </w:rPr>
              <w:t>MAGISTRADA PRESIDENTA</w:t>
            </w:r>
          </w:p>
          <w:p w14:paraId="4FC20C88" w14:textId="531A8FE0" w:rsidR="00BD5AD9" w:rsidRPr="00BD5AD9" w:rsidRDefault="00BD5AD9" w:rsidP="00BD5AD9">
            <w:pPr>
              <w:spacing w:line="360" w:lineRule="auto"/>
              <w:jc w:val="center"/>
              <w:rPr>
                <w:rFonts w:ascii="Arial" w:eastAsia="Arial" w:hAnsi="Arial" w:cs="Arial"/>
                <w:b/>
                <w:color w:val="000000"/>
                <w:sz w:val="8"/>
                <w:szCs w:val="8"/>
              </w:rPr>
            </w:pPr>
          </w:p>
          <w:p w14:paraId="3CFC0980" w14:textId="77777777" w:rsidR="00704F58" w:rsidRDefault="0078723A">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tc>
      </w:tr>
      <w:tr w:rsidR="00704F58" w14:paraId="1D4B21EE" w14:textId="77777777" w:rsidTr="00BD5AD9">
        <w:trPr>
          <w:trHeight w:val="1550"/>
          <w:jc w:val="center"/>
        </w:trPr>
        <w:tc>
          <w:tcPr>
            <w:tcW w:w="4559" w:type="dxa"/>
          </w:tcPr>
          <w:p w14:paraId="64633E08" w14:textId="33CD7596" w:rsidR="00704F58" w:rsidRDefault="0078723A">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4E4FA660" w14:textId="338BA5EB" w:rsidR="00704F58" w:rsidRPr="00BD5AD9" w:rsidRDefault="00704F58">
            <w:pPr>
              <w:spacing w:line="360" w:lineRule="auto"/>
              <w:jc w:val="center"/>
              <w:rPr>
                <w:rFonts w:ascii="Arial" w:eastAsia="Arial" w:hAnsi="Arial" w:cs="Arial"/>
                <w:b/>
                <w:color w:val="000000"/>
                <w:sz w:val="12"/>
                <w:szCs w:val="12"/>
              </w:rPr>
            </w:pPr>
          </w:p>
          <w:p w14:paraId="60AE992C" w14:textId="77777777" w:rsidR="00704F58" w:rsidRDefault="0078723A">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25372732" w14:textId="77777777" w:rsidR="00704F58" w:rsidRDefault="0078723A">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4FE76674" w14:textId="4ED6FC3A" w:rsidR="00704F58" w:rsidRDefault="0078723A">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7B52604E" w14:textId="3DF32C5F" w:rsidR="00704F58" w:rsidRPr="00BD5AD9" w:rsidRDefault="00704F58">
            <w:pPr>
              <w:spacing w:line="360" w:lineRule="auto"/>
              <w:jc w:val="center"/>
              <w:rPr>
                <w:rFonts w:ascii="Arial" w:eastAsia="Arial" w:hAnsi="Arial" w:cs="Arial"/>
                <w:b/>
                <w:color w:val="000000"/>
                <w:sz w:val="12"/>
                <w:szCs w:val="12"/>
              </w:rPr>
            </w:pPr>
          </w:p>
          <w:p w14:paraId="614B355D" w14:textId="66171D67" w:rsidR="00704F58" w:rsidRPr="00BD5AD9" w:rsidRDefault="0078723A" w:rsidP="00BD5AD9">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HÉCTOR SALVADOR </w:t>
            </w:r>
            <w:r>
              <w:rPr>
                <w:rFonts w:ascii="Arial" w:eastAsia="Arial" w:hAnsi="Arial" w:cs="Arial"/>
                <w:b/>
                <w:color w:val="000000"/>
                <w:sz w:val="24"/>
                <w:szCs w:val="24"/>
              </w:rPr>
              <w:br/>
              <w:t>HERNÁNDEZ GALLEGOS</w:t>
            </w:r>
          </w:p>
        </w:tc>
      </w:tr>
      <w:tr w:rsidR="00704F58" w14:paraId="6D43FF14" w14:textId="77777777">
        <w:trPr>
          <w:jc w:val="center"/>
        </w:trPr>
        <w:tc>
          <w:tcPr>
            <w:tcW w:w="9120" w:type="dxa"/>
            <w:gridSpan w:val="2"/>
          </w:tcPr>
          <w:p w14:paraId="66616593" w14:textId="5A187E71" w:rsidR="00704F58" w:rsidRDefault="0078723A">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SECRETARIO GENERAL DE ACUERDOS </w:t>
            </w:r>
          </w:p>
          <w:p w14:paraId="4182A87F" w14:textId="02C0A28B" w:rsidR="00704F58" w:rsidRPr="00BD5AD9" w:rsidRDefault="00704F58">
            <w:pPr>
              <w:spacing w:line="360" w:lineRule="auto"/>
              <w:jc w:val="center"/>
              <w:rPr>
                <w:rFonts w:ascii="Arial" w:eastAsia="Arial" w:hAnsi="Arial" w:cs="Arial"/>
                <w:b/>
                <w:color w:val="000000"/>
                <w:sz w:val="10"/>
                <w:szCs w:val="10"/>
              </w:rPr>
            </w:pPr>
          </w:p>
          <w:p w14:paraId="4C86DFC9" w14:textId="1F33012B" w:rsidR="00704F58" w:rsidRDefault="00755378">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JESÚS OCIEL BAENA </w:t>
            </w:r>
            <w:r w:rsidR="00E1781B">
              <w:rPr>
                <w:rFonts w:ascii="Arial" w:eastAsia="Arial" w:hAnsi="Arial" w:cs="Arial"/>
                <w:b/>
                <w:color w:val="000000"/>
                <w:sz w:val="24"/>
                <w:szCs w:val="24"/>
              </w:rPr>
              <w:t>SAUCEDO</w:t>
            </w:r>
          </w:p>
        </w:tc>
      </w:tr>
    </w:tbl>
    <w:p w14:paraId="649D9308" w14:textId="77777777" w:rsidR="00704F58" w:rsidRDefault="00704F58">
      <w:pPr>
        <w:spacing w:line="360" w:lineRule="auto"/>
        <w:rPr>
          <w:rFonts w:ascii="Arial" w:eastAsia="Arial" w:hAnsi="Arial" w:cs="Arial"/>
          <w:sz w:val="24"/>
          <w:szCs w:val="24"/>
        </w:rPr>
      </w:pPr>
    </w:p>
    <w:sectPr w:rsidR="00704F58">
      <w:headerReference w:type="even" r:id="rId9"/>
      <w:headerReference w:type="default" r:id="rId10"/>
      <w:footerReference w:type="even" r:id="rId11"/>
      <w:footerReference w:type="default" r:id="rId12"/>
      <w:headerReference w:type="first" r:id="rId13"/>
      <w:footerReference w:type="first" r:id="rId14"/>
      <w:pgSz w:w="12240" w:h="20160"/>
      <w:pgMar w:top="2268" w:right="1134" w:bottom="1276"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E9062" w14:textId="77777777" w:rsidR="00682DE2" w:rsidRDefault="00682DE2">
      <w:r>
        <w:separator/>
      </w:r>
    </w:p>
  </w:endnote>
  <w:endnote w:type="continuationSeparator" w:id="0">
    <w:p w14:paraId="7C1A8E89" w14:textId="77777777" w:rsidR="00682DE2" w:rsidRDefault="00682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42847" w14:textId="77777777" w:rsidR="00704F58" w:rsidRDefault="00704F58">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D3C5A" w14:textId="77777777" w:rsidR="00704F58" w:rsidRDefault="00704F58">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43640" w14:textId="77777777" w:rsidR="00704F58" w:rsidRDefault="00704F58">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929F2" w14:textId="77777777" w:rsidR="00682DE2" w:rsidRDefault="00682DE2">
      <w:r>
        <w:separator/>
      </w:r>
    </w:p>
  </w:footnote>
  <w:footnote w:type="continuationSeparator" w:id="0">
    <w:p w14:paraId="267695FB" w14:textId="77777777" w:rsidR="00682DE2" w:rsidRDefault="00682DE2">
      <w:r>
        <w:continuationSeparator/>
      </w:r>
    </w:p>
  </w:footnote>
  <w:footnote w:id="1">
    <w:p w14:paraId="5E42EB77" w14:textId="77777777" w:rsidR="00704F58" w:rsidRDefault="0078723A">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Encargado de despacho de la secretaría de estudio de la ponencia II.</w:t>
      </w:r>
    </w:p>
  </w:footnote>
  <w:footnote w:id="2">
    <w:p w14:paraId="48502B4B" w14:textId="77777777" w:rsidR="00704F58" w:rsidRDefault="0078723A">
      <w:pPr>
        <w:pBdr>
          <w:top w:val="nil"/>
          <w:left w:val="nil"/>
          <w:bottom w:val="nil"/>
          <w:right w:val="nil"/>
          <w:between w:val="nil"/>
        </w:pBdr>
        <w:tabs>
          <w:tab w:val="left" w:pos="567"/>
        </w:tabs>
        <w:ind w:right="36"/>
        <w:jc w:val="both"/>
        <w:rPr>
          <w:rFonts w:ascii="Arial" w:eastAsia="Arial" w:hAnsi="Arial" w:cs="Arial"/>
        </w:rPr>
      </w:pPr>
      <w:r>
        <w:rPr>
          <w:vertAlign w:val="superscript"/>
        </w:rPr>
        <w:footnoteRef/>
      </w:r>
      <w:r>
        <w:rPr>
          <w:rFonts w:ascii="Arial" w:eastAsia="Arial" w:hAnsi="Arial" w:cs="Arial"/>
        </w:rPr>
        <w:t xml:space="preserve"> Todas las fechas corresponden al 2022, salvo precisión en contrario.</w:t>
      </w:r>
    </w:p>
  </w:footnote>
  <w:footnote w:id="3">
    <w:p w14:paraId="4699A7C6" w14:textId="77777777" w:rsidR="00704F58" w:rsidRDefault="0078723A">
      <w:pPr>
        <w:jc w:val="both"/>
        <w:rPr>
          <w:rFonts w:ascii="Arial" w:eastAsia="Arial" w:hAnsi="Arial" w:cs="Arial"/>
        </w:rPr>
      </w:pPr>
      <w:r>
        <w:rPr>
          <w:vertAlign w:val="superscript"/>
        </w:rPr>
        <w:footnoteRef/>
      </w:r>
      <w:r>
        <w:rPr>
          <w:rFonts w:ascii="Arial" w:eastAsia="Arial" w:hAnsi="Arial" w:cs="Arial"/>
        </w:rPr>
        <w:t xml:space="preserve"> </w:t>
      </w:r>
      <w:r>
        <w:rPr>
          <w:rFonts w:ascii="Arial" w:eastAsia="Arial" w:hAnsi="Arial" w:cs="Arial"/>
          <w:i/>
        </w:rPr>
        <w:t>Precampaña</w:t>
      </w:r>
      <w:r>
        <w:rPr>
          <w:rFonts w:ascii="Arial" w:eastAsia="Arial" w:hAnsi="Arial" w:cs="Arial"/>
        </w:rPr>
        <w:t xml:space="preserve">: Del 2 de enero al 10 de febrero; </w:t>
      </w:r>
      <w:proofErr w:type="spellStart"/>
      <w:r>
        <w:rPr>
          <w:rFonts w:ascii="Arial" w:eastAsia="Arial" w:hAnsi="Arial" w:cs="Arial"/>
        </w:rPr>
        <w:t>Intercampaña</w:t>
      </w:r>
      <w:proofErr w:type="spellEnd"/>
      <w:r>
        <w:rPr>
          <w:rFonts w:ascii="Arial" w:eastAsia="Arial" w:hAnsi="Arial" w:cs="Arial"/>
        </w:rPr>
        <w:t xml:space="preserve">: Del 11 de febrero al 2 de abril; </w:t>
      </w:r>
      <w:r>
        <w:rPr>
          <w:rFonts w:ascii="Arial" w:eastAsia="Arial" w:hAnsi="Arial" w:cs="Arial"/>
          <w:i/>
        </w:rPr>
        <w:t>Campaña</w:t>
      </w:r>
      <w:r>
        <w:rPr>
          <w:rFonts w:ascii="Arial" w:eastAsia="Arial" w:hAnsi="Arial" w:cs="Arial"/>
        </w:rPr>
        <w:t xml:space="preserve">: Del 3 de abril al 1 de junio; </w:t>
      </w:r>
      <w:r>
        <w:rPr>
          <w:rFonts w:ascii="Arial" w:eastAsia="Arial" w:hAnsi="Arial" w:cs="Arial"/>
          <w:i/>
        </w:rPr>
        <w:t>Veda Electoral</w:t>
      </w:r>
      <w:r>
        <w:rPr>
          <w:rFonts w:ascii="Arial" w:eastAsia="Arial" w:hAnsi="Arial" w:cs="Arial"/>
        </w:rPr>
        <w:t xml:space="preserve">: Tres días antes de la Jornada Electoral; </w:t>
      </w:r>
      <w:r>
        <w:rPr>
          <w:rFonts w:ascii="Arial" w:eastAsia="Arial" w:hAnsi="Arial" w:cs="Arial"/>
          <w:i/>
        </w:rPr>
        <w:t>Jornada Electoral</w:t>
      </w:r>
      <w:r>
        <w:rPr>
          <w:rFonts w:ascii="Arial" w:eastAsia="Arial" w:hAnsi="Arial" w:cs="Arial"/>
        </w:rPr>
        <w:t>: El 5 de junio.</w:t>
      </w:r>
    </w:p>
  </w:footnote>
  <w:footnote w:id="4">
    <w:p w14:paraId="0FC6345E" w14:textId="77777777" w:rsidR="00704F58" w:rsidRDefault="0078723A">
      <w:pPr>
        <w:jc w:val="both"/>
        <w:rPr>
          <w:rFonts w:ascii="Arial" w:eastAsia="Arial" w:hAnsi="Arial" w:cs="Arial"/>
        </w:rPr>
      </w:pPr>
      <w:r>
        <w:rPr>
          <w:vertAlign w:val="superscript"/>
        </w:rPr>
        <w:footnoteRef/>
      </w:r>
      <w:r>
        <w:rPr>
          <w:rFonts w:ascii="Arial" w:eastAsia="Arial" w:hAnsi="Arial" w:cs="Arial"/>
        </w:rPr>
        <w:t xml:space="preserve"> Artículo 270.- La denuncia deberá ser presentada ante la Secretaría Ejecutiva, para que ésta la examine junto con las pruebas aportadas. La denuncia será desechada de plano por la Secretaría Ejecutiva, sin prevención alguna, cuando: […]</w:t>
      </w:r>
    </w:p>
    <w:p w14:paraId="41D3C108" w14:textId="77777777" w:rsidR="00704F58" w:rsidRDefault="0078723A">
      <w:pPr>
        <w:jc w:val="both"/>
        <w:rPr>
          <w:rFonts w:ascii="Arial" w:eastAsia="Arial" w:hAnsi="Arial" w:cs="Arial"/>
        </w:rPr>
      </w:pPr>
      <w:r>
        <w:rPr>
          <w:rFonts w:ascii="Arial" w:eastAsia="Arial" w:hAnsi="Arial" w:cs="Arial"/>
        </w:rPr>
        <w:t>II. Los hechos denunciados no constituyan una violación en materia de propaganda político-electivo;</w:t>
      </w:r>
    </w:p>
    <w:p w14:paraId="73A1234C" w14:textId="77777777" w:rsidR="00704F58" w:rsidRDefault="0078723A">
      <w:pPr>
        <w:jc w:val="both"/>
        <w:rPr>
          <w:rFonts w:ascii="Arial" w:eastAsia="Arial" w:hAnsi="Arial" w:cs="Arial"/>
        </w:rPr>
      </w:pPr>
      <w:r>
        <w:rPr>
          <w:rFonts w:ascii="Arial" w:eastAsia="Arial" w:hAnsi="Arial" w:cs="Arial"/>
        </w:rPr>
        <w:t>III. El denunciante no aporte ni ofrezca prueba alguna de sus dichos; […]</w:t>
      </w:r>
    </w:p>
    <w:p w14:paraId="07D4212F" w14:textId="77777777" w:rsidR="00704F58" w:rsidRDefault="0078723A">
      <w:pPr>
        <w:jc w:val="both"/>
        <w:rPr>
          <w:rFonts w:ascii="Arial" w:eastAsia="Arial" w:hAnsi="Arial" w:cs="Arial"/>
        </w:rPr>
      </w:pPr>
      <w:r>
        <w:rPr>
          <w:rFonts w:ascii="Arial" w:eastAsia="Arial" w:hAnsi="Arial" w:cs="Arial"/>
        </w:rPr>
        <w:t>V. La denuncia sea evidentemente frívola. […]</w:t>
      </w:r>
    </w:p>
    <w:p w14:paraId="7009C43D" w14:textId="77777777" w:rsidR="00704F58" w:rsidRDefault="00704F58">
      <w:pPr>
        <w:rPr>
          <w:rFonts w:ascii="Arial" w:eastAsia="Arial" w:hAnsi="Arial" w:cs="Arial"/>
        </w:rPr>
      </w:pPr>
    </w:p>
  </w:footnote>
  <w:footnote w:id="5">
    <w:p w14:paraId="41BA52E5" w14:textId="77777777" w:rsidR="00704F58" w:rsidRDefault="0078723A">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 </w:t>
      </w:r>
      <w:r>
        <w:rPr>
          <w:rFonts w:ascii="Arial" w:eastAsia="Arial" w:hAnsi="Arial" w:cs="Arial"/>
          <w:i/>
          <w:color w:val="000000"/>
        </w:rPr>
        <w:t>Documental privada:</w:t>
      </w:r>
      <w:r>
        <w:rPr>
          <w:rFonts w:ascii="Arial" w:eastAsia="Arial" w:hAnsi="Arial" w:cs="Arial"/>
          <w:color w:val="000000"/>
        </w:rPr>
        <w:t xml:space="preserve"> De acuerdo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p w14:paraId="240AE30D" w14:textId="77777777" w:rsidR="00704F58" w:rsidRDefault="0078723A">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Documental pública:</w:t>
      </w:r>
      <w:r>
        <w:rPr>
          <w:rFonts w:ascii="Arial" w:eastAsia="Arial" w:hAnsi="Arial" w:cs="Arial"/>
          <w:color w:val="000000"/>
        </w:rPr>
        <w:t xml:space="preserve"> De conformidad con el artículo 256, segundo párrafo del Código Electoral; Las documentales públicas tendrán valor probatorio pleno, salvo prueba en contrario respecto de su autenticidad o de la veracidad de los hechos a que se refieran.</w:t>
      </w:r>
    </w:p>
    <w:p w14:paraId="50B5249E" w14:textId="77777777" w:rsidR="00704F58" w:rsidRDefault="0078723A">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 </w:t>
      </w:r>
      <w:r>
        <w:rPr>
          <w:rFonts w:ascii="Arial" w:eastAsia="Arial" w:hAnsi="Arial" w:cs="Arial"/>
          <w:i/>
          <w:color w:val="000000"/>
        </w:rPr>
        <w:t>Técnica:</w:t>
      </w:r>
      <w:r>
        <w:rPr>
          <w:rFonts w:ascii="Arial" w:eastAsia="Arial" w:hAnsi="Arial" w:cs="Arial"/>
          <w:color w:val="000000"/>
        </w:rPr>
        <w:t xml:space="preserve"> Atendiendo a su naturaleza, acorde con el artículo 256, del Código Electoral; tienen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p w14:paraId="57DF1417" w14:textId="02D18ABE" w:rsidR="00704F58" w:rsidRPr="00755378" w:rsidRDefault="0078723A" w:rsidP="00755378">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Presuncional e instrumental de actuaciones:</w:t>
      </w:r>
      <w:r>
        <w:rPr>
          <w:rFonts w:ascii="Arial" w:eastAsia="Arial" w:hAnsi="Arial" w:cs="Arial"/>
          <w:color w:val="000000"/>
        </w:rPr>
        <w:t xml:space="preserve"> En relación con las pruebas ofrecidas como </w:t>
      </w:r>
      <w:proofErr w:type="spellStart"/>
      <w:r>
        <w:rPr>
          <w:rFonts w:ascii="Arial" w:eastAsia="Arial" w:hAnsi="Arial" w:cs="Arial"/>
          <w:color w:val="000000"/>
        </w:rPr>
        <w:t>presuncional</w:t>
      </w:r>
      <w:proofErr w:type="spellEnd"/>
      <w:r>
        <w:rPr>
          <w:rFonts w:ascii="Arial" w:eastAsia="Arial" w:hAnsi="Arial" w:cs="Arial"/>
          <w:color w:val="000000"/>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footnote>
  <w:footnote w:id="6">
    <w:p w14:paraId="2412A9AC" w14:textId="19D88F84" w:rsidR="00704F58" w:rsidRDefault="0078723A">
      <w:r>
        <w:rPr>
          <w:vertAlign w:val="superscript"/>
        </w:rPr>
        <w:footnoteRef/>
      </w:r>
      <w:r>
        <w:t xml:space="preserve"> </w:t>
      </w:r>
      <w:r>
        <w:rPr>
          <w:rFonts w:ascii="Arial" w:eastAsia="Arial" w:hAnsi="Arial" w:cs="Arial"/>
        </w:rPr>
        <w:t>Jurisprudencia 4/2014</w:t>
      </w:r>
      <w:r w:rsidR="00755378">
        <w:rPr>
          <w:rFonts w:ascii="Arial" w:eastAsia="Arial" w:hAnsi="Arial" w:cs="Arial"/>
        </w:rPr>
        <w:t xml:space="preserve">, de rubro: </w:t>
      </w:r>
      <w:r w:rsidR="00755378" w:rsidRPr="00755378">
        <w:rPr>
          <w:rFonts w:ascii="Arial" w:eastAsia="Arial" w:hAnsi="Arial" w:cs="Arial"/>
          <w:i/>
          <w:iCs/>
        </w:rPr>
        <w:t>“</w:t>
      </w:r>
      <w:r w:rsidRPr="00755378">
        <w:rPr>
          <w:rFonts w:ascii="Arial" w:eastAsia="Arial" w:hAnsi="Arial" w:cs="Arial"/>
          <w:i/>
          <w:iCs/>
        </w:rPr>
        <w:t>PRUEBAS TÉCNICAS. SON INSUFICIENTES, POR SÍ SOLAS, PARA ACREDITAR DE MANERA FEHACIENTE LOS HECHOS QUE CONTIENEN</w:t>
      </w:r>
      <w:r w:rsidR="00755378">
        <w:rPr>
          <w:rFonts w:ascii="Arial" w:eastAsia="Arial" w:hAnsi="Arial" w:cs="Arial"/>
          <w:i/>
          <w:iCs/>
        </w:rPr>
        <w:t>.</w:t>
      </w:r>
      <w:r w:rsidR="00755378" w:rsidRPr="00755378">
        <w:rPr>
          <w:rFonts w:ascii="Arial" w:eastAsia="Arial" w:hAnsi="Arial" w:cs="Arial"/>
          <w:i/>
          <w:iCs/>
        </w:rPr>
        <w:t>”,</w:t>
      </w:r>
      <w:r w:rsidR="00755378">
        <w:rPr>
          <w:rFonts w:ascii="Arial" w:eastAsia="Arial" w:hAnsi="Arial" w:cs="Arial"/>
        </w:rPr>
        <w:t xml:space="preserve"> visible en la</w:t>
      </w:r>
      <w:r>
        <w:rPr>
          <w:rFonts w:ascii="Arial" w:eastAsia="Arial" w:hAnsi="Arial" w:cs="Arial"/>
        </w:rPr>
        <w:t xml:space="preserve"> Gaceta de Jurisprudencia y Tesis en materia electoral</w:t>
      </w:r>
      <w:r w:rsidR="00755378">
        <w:rPr>
          <w:rFonts w:ascii="Arial" w:eastAsia="Arial" w:hAnsi="Arial" w:cs="Arial"/>
        </w:rPr>
        <w:t xml:space="preserve"> del</w:t>
      </w:r>
      <w:r>
        <w:rPr>
          <w:rFonts w:ascii="Arial" w:eastAsia="Arial" w:hAnsi="Arial" w:cs="Arial"/>
        </w:rPr>
        <w:t xml:space="preserve"> Tribunal Electoral del Poder Judicial de la Federación, </w:t>
      </w:r>
      <w:r w:rsidR="00755378">
        <w:rPr>
          <w:rFonts w:ascii="Arial" w:eastAsia="Arial" w:hAnsi="Arial" w:cs="Arial"/>
        </w:rPr>
        <w:t>a</w:t>
      </w:r>
      <w:r>
        <w:rPr>
          <w:rFonts w:ascii="Arial" w:eastAsia="Arial" w:hAnsi="Arial" w:cs="Arial"/>
        </w:rPr>
        <w:t xml:space="preserve">ño 7, </w:t>
      </w:r>
      <w:r w:rsidR="00755378">
        <w:rPr>
          <w:rFonts w:ascii="Arial" w:eastAsia="Arial" w:hAnsi="Arial" w:cs="Arial"/>
        </w:rPr>
        <w:t>n</w:t>
      </w:r>
      <w:r>
        <w:rPr>
          <w:rFonts w:ascii="Arial" w:eastAsia="Arial" w:hAnsi="Arial" w:cs="Arial"/>
        </w:rPr>
        <w:t>úmero 14, 2014, páginas 23 y 24.</w:t>
      </w:r>
    </w:p>
  </w:footnote>
  <w:footnote w:id="7">
    <w:p w14:paraId="7B03F3DD" w14:textId="0B781C0B" w:rsidR="00704F58" w:rsidRDefault="0078723A">
      <w:pPr>
        <w:rPr>
          <w:rFonts w:ascii="Arial" w:eastAsia="Arial" w:hAnsi="Arial" w:cs="Arial"/>
        </w:rPr>
      </w:pPr>
      <w:r>
        <w:rPr>
          <w:vertAlign w:val="superscript"/>
        </w:rPr>
        <w:footnoteRef/>
      </w:r>
      <w:r>
        <w:t xml:space="preserve"> </w:t>
      </w:r>
      <w:r>
        <w:rPr>
          <w:rFonts w:ascii="Arial" w:eastAsia="Arial" w:hAnsi="Arial" w:cs="Arial"/>
        </w:rPr>
        <w:t>Jurisprudencia 36/2014</w:t>
      </w:r>
      <w:r w:rsidR="00755378">
        <w:rPr>
          <w:rFonts w:ascii="Arial" w:eastAsia="Arial" w:hAnsi="Arial" w:cs="Arial"/>
        </w:rPr>
        <w:t>, de rubro:</w:t>
      </w:r>
      <w:r>
        <w:rPr>
          <w:rFonts w:ascii="Arial" w:eastAsia="Arial" w:hAnsi="Arial" w:cs="Arial"/>
        </w:rPr>
        <w:t xml:space="preserve"> </w:t>
      </w:r>
      <w:r w:rsidR="00755378">
        <w:rPr>
          <w:rFonts w:ascii="Arial" w:eastAsia="Arial" w:hAnsi="Arial" w:cs="Arial"/>
        </w:rPr>
        <w:t>“</w:t>
      </w:r>
      <w:r w:rsidRPr="00755378">
        <w:rPr>
          <w:rFonts w:ascii="Arial" w:eastAsia="Arial" w:hAnsi="Arial" w:cs="Arial"/>
          <w:i/>
          <w:iCs/>
        </w:rPr>
        <w:t>PRUEBAS TÉCNICAS. POR SU NATURALEZA REQUIEREN DE LA DESCRIPCIÓN PRECISA DE LOS HECHOS Y CIRCUNSTANCIAS QUE SE PRETENDEN DEMOSTRAR</w:t>
      </w:r>
      <w:r>
        <w:rPr>
          <w:rFonts w:ascii="Arial" w:eastAsia="Arial" w:hAnsi="Arial" w:cs="Arial"/>
        </w:rPr>
        <w:t>.</w:t>
      </w:r>
      <w:r w:rsidR="00755378">
        <w:rPr>
          <w:rFonts w:ascii="Arial" w:eastAsia="Arial" w:hAnsi="Arial" w:cs="Arial"/>
        </w:rPr>
        <w:t xml:space="preserve">”, visible en la </w:t>
      </w:r>
      <w:r>
        <w:rPr>
          <w:rFonts w:ascii="Arial" w:eastAsia="Arial" w:hAnsi="Arial" w:cs="Arial"/>
        </w:rPr>
        <w:t xml:space="preserve">Gaceta de Jurisprudencia y Tesis en materia </w:t>
      </w:r>
      <w:r w:rsidR="00755378">
        <w:rPr>
          <w:rFonts w:ascii="Arial" w:eastAsia="Arial" w:hAnsi="Arial" w:cs="Arial"/>
        </w:rPr>
        <w:t>electoral del</w:t>
      </w:r>
      <w:r>
        <w:rPr>
          <w:rFonts w:ascii="Arial" w:eastAsia="Arial" w:hAnsi="Arial" w:cs="Arial"/>
        </w:rPr>
        <w:t xml:space="preserve"> Tribunal Electoral del Poder Judicial de la Federación, </w:t>
      </w:r>
      <w:r w:rsidR="00755378">
        <w:rPr>
          <w:rFonts w:ascii="Arial" w:eastAsia="Arial" w:hAnsi="Arial" w:cs="Arial"/>
        </w:rPr>
        <w:t>a</w:t>
      </w:r>
      <w:r>
        <w:rPr>
          <w:rFonts w:ascii="Arial" w:eastAsia="Arial" w:hAnsi="Arial" w:cs="Arial"/>
        </w:rPr>
        <w:t xml:space="preserve">ño 7, </w:t>
      </w:r>
      <w:r w:rsidR="00755378">
        <w:rPr>
          <w:rFonts w:ascii="Arial" w:eastAsia="Arial" w:hAnsi="Arial" w:cs="Arial"/>
        </w:rPr>
        <w:t>n</w:t>
      </w:r>
      <w:r>
        <w:rPr>
          <w:rFonts w:ascii="Arial" w:eastAsia="Arial" w:hAnsi="Arial" w:cs="Arial"/>
        </w:rPr>
        <w:t>úmero 15, 2014, páginas 59 y 60.</w:t>
      </w:r>
    </w:p>
    <w:p w14:paraId="61AF50F5" w14:textId="77777777" w:rsidR="00704F58" w:rsidRDefault="00704F58"/>
  </w:footnote>
  <w:footnote w:id="8">
    <w:p w14:paraId="1DC1A198" w14:textId="048AC0F1" w:rsidR="00704F58" w:rsidRPr="00755378" w:rsidRDefault="0078723A" w:rsidP="00755378">
      <w:pPr>
        <w:jc w:val="both"/>
        <w:rPr>
          <w:rFonts w:ascii="Arial" w:eastAsia="Arial" w:hAnsi="Arial" w:cs="Arial"/>
          <w:sz w:val="22"/>
          <w:szCs w:val="22"/>
          <w:highlight w:val="white"/>
        </w:rPr>
      </w:pPr>
      <w:r>
        <w:rPr>
          <w:vertAlign w:val="superscript"/>
        </w:rPr>
        <w:footnoteRef/>
      </w:r>
      <w:r>
        <w:t xml:space="preserve"> </w:t>
      </w:r>
      <w:r w:rsidRPr="00755378">
        <w:rPr>
          <w:rFonts w:ascii="Arial" w:eastAsia="Arial" w:hAnsi="Arial" w:cs="Arial"/>
          <w:highlight w:val="white"/>
        </w:rPr>
        <w:t xml:space="preserve">Véase la Jurisprudencia 21/2013, de rubro: </w:t>
      </w:r>
      <w:r w:rsidR="00755378" w:rsidRPr="00755378">
        <w:rPr>
          <w:rFonts w:ascii="Arial" w:eastAsia="Arial" w:hAnsi="Arial" w:cs="Arial"/>
          <w:highlight w:val="white"/>
        </w:rPr>
        <w:t>“</w:t>
      </w:r>
      <w:r w:rsidRPr="00755378">
        <w:rPr>
          <w:rFonts w:ascii="Arial" w:eastAsia="Arial" w:hAnsi="Arial" w:cs="Arial"/>
          <w:highlight w:val="white"/>
        </w:rPr>
        <w:t>PRESUNCIÓN DE INOCENCIA. DEBE OBSERVARSE EN LOS PROCEDIMIENTOS SANCIONADORES ELECTORALES.</w:t>
      </w:r>
      <w:r w:rsidR="00755378" w:rsidRPr="00755378">
        <w:rPr>
          <w:rFonts w:ascii="Arial" w:eastAsia="Arial" w:hAnsi="Arial" w:cs="Arial"/>
          <w:highlight w:val="white"/>
        </w:rPr>
        <w:t>”, visible</w:t>
      </w:r>
      <w:r w:rsidRPr="00755378">
        <w:rPr>
          <w:rFonts w:ascii="Arial" w:eastAsia="Arial" w:hAnsi="Arial" w:cs="Arial"/>
          <w:highlight w:val="white"/>
        </w:rPr>
        <w:t xml:space="preserve"> en la Gaceta de Jurisprudencia y Tesis en materia electoral</w:t>
      </w:r>
      <w:r w:rsidR="00755378" w:rsidRPr="00755378">
        <w:rPr>
          <w:rFonts w:ascii="Arial" w:eastAsia="Arial" w:hAnsi="Arial" w:cs="Arial"/>
          <w:highlight w:val="white"/>
        </w:rPr>
        <w:t xml:space="preserve"> del </w:t>
      </w:r>
      <w:r w:rsidRPr="00755378">
        <w:rPr>
          <w:rFonts w:ascii="Arial" w:eastAsia="Arial" w:hAnsi="Arial" w:cs="Arial"/>
          <w:highlight w:val="white"/>
        </w:rPr>
        <w:t xml:space="preserve">Tribunal Electoral del Poder Judicial de la Federación, </w:t>
      </w:r>
      <w:r w:rsidR="00755378" w:rsidRPr="00755378">
        <w:rPr>
          <w:rFonts w:ascii="Arial" w:eastAsia="Arial" w:hAnsi="Arial" w:cs="Arial"/>
          <w:highlight w:val="white"/>
        </w:rPr>
        <w:t>a</w:t>
      </w:r>
      <w:r w:rsidRPr="00755378">
        <w:rPr>
          <w:rFonts w:ascii="Arial" w:eastAsia="Arial" w:hAnsi="Arial" w:cs="Arial"/>
          <w:highlight w:val="white"/>
        </w:rPr>
        <w:t xml:space="preserve">ño 6, </w:t>
      </w:r>
      <w:r w:rsidR="00755378" w:rsidRPr="00755378">
        <w:rPr>
          <w:rFonts w:ascii="Arial" w:eastAsia="Arial" w:hAnsi="Arial" w:cs="Arial"/>
          <w:highlight w:val="white"/>
        </w:rPr>
        <w:t>n</w:t>
      </w:r>
      <w:r w:rsidRPr="00755378">
        <w:rPr>
          <w:rFonts w:ascii="Arial" w:eastAsia="Arial" w:hAnsi="Arial" w:cs="Arial"/>
          <w:highlight w:val="white"/>
        </w:rPr>
        <w:t>úmero 13, 2013, páginas 59 y 60.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32059" w14:textId="558FFA6A" w:rsidR="00704F58" w:rsidRDefault="00682DE2">
    <w:pPr>
      <w:pBdr>
        <w:top w:val="nil"/>
        <w:left w:val="nil"/>
        <w:bottom w:val="nil"/>
        <w:right w:val="nil"/>
        <w:between w:val="nil"/>
      </w:pBdr>
      <w:tabs>
        <w:tab w:val="center" w:pos="4419"/>
        <w:tab w:val="right" w:pos="8838"/>
      </w:tabs>
      <w:rPr>
        <w:color w:val="000000"/>
      </w:rPr>
    </w:pPr>
    <w:r>
      <w:rPr>
        <w:noProof/>
      </w:rPr>
      <w:pict w14:anchorId="1FE2A9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8542938" o:spid="_x0000_s1026" type="#_x0000_t136" style="position:absolute;margin-left:0;margin-top:0;width:591.85pt;height:91.0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78723A">
      <w:rPr>
        <w:noProof/>
        <w:color w:val="000000"/>
      </w:rPr>
      <mc:AlternateContent>
        <mc:Choice Requires="wps">
          <w:drawing>
            <wp:anchor distT="0" distB="0" distL="0" distR="0" simplePos="0" relativeHeight="251658240" behindDoc="1" locked="0" layoutInCell="1" hidden="0" allowOverlap="1" wp14:anchorId="29353F33" wp14:editId="7AC64723">
              <wp:simplePos x="0" y="0"/>
              <wp:positionH relativeFrom="margin">
                <wp:align>center</wp:align>
              </wp:positionH>
              <wp:positionV relativeFrom="margin">
                <wp:align>center</wp:align>
              </wp:positionV>
              <wp:extent cx="7944619" cy="7944619"/>
              <wp:effectExtent l="0" t="0" r="0" b="0"/>
              <wp:wrapNone/>
              <wp:docPr id="14" name="Rectángulo 14"/>
              <wp:cNvGraphicFramePr/>
              <a:graphic xmlns:a="http://schemas.openxmlformats.org/drawingml/2006/main">
                <a:graphicData uri="http://schemas.microsoft.com/office/word/2010/wordprocessingShape">
                  <wps:wsp>
                    <wps:cNvSpPr/>
                    <wps:spPr>
                      <a:xfrm rot="-2700000">
                        <a:off x="1917318" y="3252633"/>
                        <a:ext cx="6857365" cy="1054735"/>
                      </a:xfrm>
                      <a:prstGeom prst="rect">
                        <a:avLst/>
                      </a:prstGeom>
                      <a:noFill/>
                      <a:ln>
                        <a:noFill/>
                      </a:ln>
                    </wps:spPr>
                    <wps:txbx>
                      <w:txbxContent>
                        <w:p w14:paraId="2E837160" w14:textId="77777777" w:rsidR="00704F58" w:rsidRDefault="0078723A">
                          <w:pPr>
                            <w:jc w:val="center"/>
                            <w:textDirection w:val="btLr"/>
                          </w:pPr>
                          <w:r>
                            <w:rPr>
                              <w:rFonts w:ascii="Arial" w:eastAsia="Arial" w:hAnsi="Arial" w:cs="Arial"/>
                              <w:color w:val="C0C0C0"/>
                              <w:sz w:val="144"/>
                            </w:rPr>
                            <w:t>PARA CONSULTA</w:t>
                          </w:r>
                        </w:p>
                      </w:txbxContent>
                    </wps:txbx>
                    <wps:bodyPr spcFirstLastPara="1" wrap="square" lIns="91425" tIns="91425" rIns="91425" bIns="91425" anchor="ctr" anchorCtr="0">
                      <a:noAutofit/>
                    </wps:bodyPr>
                  </wps:wsp>
                </a:graphicData>
              </a:graphic>
            </wp:anchor>
          </w:drawing>
        </mc:Choice>
        <mc:Fallback>
          <w:pict>
            <v:rect w14:anchorId="29353F33" id="Rectángulo 14" o:spid="_x0000_s1026" style="position:absolute;margin-left:0;margin-top:0;width:625.55pt;height:625.55pt;rotation:-45;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" filled="f" stroked="f">
              <v:textbox inset="2.53958mm,2.53958mm,2.53958mm,2.53958mm">
                <w:txbxContent>
                  <w:p w14:paraId="2E837160" w14:textId="77777777" w:rsidR="00704F58" w:rsidRDefault="0078723A">
                    <w:pPr>
                      <w:jc w:val="center"/>
                      <w:textDirection w:val="btLr"/>
                    </w:pPr>
                    <w:r>
                      <w:rPr>
                        <w:rFonts w:ascii="Arial" w:eastAsia="Arial" w:hAnsi="Arial" w:cs="Arial"/>
                        <w:color w:val="C0C0C0"/>
                        <w:sz w:val="144"/>
                      </w:rPr>
                      <w:t>PARA CONSULTA</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BE3C2" w14:textId="1AA92638" w:rsidR="00704F58" w:rsidRDefault="00682DE2">
    <w:pPr>
      <w:pBdr>
        <w:top w:val="nil"/>
        <w:left w:val="nil"/>
        <w:bottom w:val="nil"/>
        <w:right w:val="nil"/>
        <w:between w:val="nil"/>
      </w:pBdr>
      <w:tabs>
        <w:tab w:val="center" w:pos="4419"/>
        <w:tab w:val="right" w:pos="8838"/>
      </w:tabs>
      <w:rPr>
        <w:color w:val="000000"/>
      </w:rPr>
    </w:pPr>
    <w:r>
      <w:rPr>
        <w:noProof/>
      </w:rPr>
      <w:pict w14:anchorId="25C1E6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8542939" o:spid="_x0000_s1027" type="#_x0000_t136" style="position:absolute;margin-left:0;margin-top:0;width:591.85pt;height:91.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sdt>
      <w:sdtPr>
        <w:rPr>
          <w:color w:val="000000"/>
        </w:rPr>
        <w:id w:val="463471535"/>
        <w:docPartObj>
          <w:docPartGallery w:val="Page Numbers (Margins)"/>
          <w:docPartUnique/>
        </w:docPartObj>
      </w:sdtPr>
      <w:sdtEndPr/>
      <w:sdtContent>
        <w:r w:rsidR="00755378" w:rsidRPr="00755378">
          <w:rPr>
            <w:noProof/>
            <w:color w:val="000000"/>
          </w:rPr>
          <mc:AlternateContent>
            <mc:Choice Requires="wps">
              <w:drawing>
                <wp:anchor distT="0" distB="0" distL="114300" distR="114300" simplePos="0" relativeHeight="251660288" behindDoc="0" locked="0" layoutInCell="0" allowOverlap="1" wp14:anchorId="1AE73A19" wp14:editId="611A9BCA">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33AC8946" w14:textId="77777777" w:rsidR="00755378" w:rsidRDefault="00755378">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E73A19" id="Rectángulo 1" o:spid="_x0000_s1027"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33AC8946" w14:textId="77777777" w:rsidR="00755378" w:rsidRDefault="00755378">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78723A">
      <w:rPr>
        <w:noProof/>
        <w:color w:val="000000"/>
      </w:rPr>
      <w:drawing>
        <wp:inline distT="0" distB="0" distL="0" distR="0" wp14:anchorId="23A41216" wp14:editId="68569FF2">
          <wp:extent cx="995527" cy="1154534"/>
          <wp:effectExtent l="0" t="0" r="0" b="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7A7F3" w14:textId="5D3981D3" w:rsidR="00704F58" w:rsidRDefault="00682DE2">
    <w:pPr>
      <w:pBdr>
        <w:top w:val="nil"/>
        <w:left w:val="nil"/>
        <w:bottom w:val="nil"/>
        <w:right w:val="nil"/>
        <w:between w:val="nil"/>
      </w:pBdr>
      <w:tabs>
        <w:tab w:val="center" w:pos="4419"/>
        <w:tab w:val="right" w:pos="8838"/>
      </w:tabs>
      <w:rPr>
        <w:color w:val="000000"/>
      </w:rPr>
    </w:pPr>
    <w:r>
      <w:rPr>
        <w:noProof/>
      </w:rPr>
      <w:pict w14:anchorId="125EE3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8542937" o:spid="_x0000_s1025" type="#_x0000_t136" style="position:absolute;margin-left:0;margin-top:0;width:591.85pt;height:91.0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92027"/>
    <w:multiLevelType w:val="multilevel"/>
    <w:tmpl w:val="6BBA1B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57A3EAE"/>
    <w:multiLevelType w:val="multilevel"/>
    <w:tmpl w:val="AB20A0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8FD626A"/>
    <w:multiLevelType w:val="multilevel"/>
    <w:tmpl w:val="B1B4FB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EE55456"/>
    <w:multiLevelType w:val="multilevel"/>
    <w:tmpl w:val="4502AC98"/>
    <w:lvl w:ilvl="0">
      <w:start w:val="1"/>
      <w:numFmt w:val="upperRoman"/>
      <w:lvlText w:val="%1."/>
      <w:lvlJc w:val="left"/>
      <w:pPr>
        <w:ind w:left="862" w:hanging="720"/>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16cid:durableId="850030763">
    <w:abstractNumId w:val="3"/>
  </w:num>
  <w:num w:numId="2" w16cid:durableId="1195774876">
    <w:abstractNumId w:val="0"/>
  </w:num>
  <w:num w:numId="3" w16cid:durableId="1795438965">
    <w:abstractNumId w:val="2"/>
  </w:num>
  <w:num w:numId="4" w16cid:durableId="15416261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F58"/>
    <w:rsid w:val="000F553D"/>
    <w:rsid w:val="001A7E1B"/>
    <w:rsid w:val="002035AD"/>
    <w:rsid w:val="00296BE5"/>
    <w:rsid w:val="00381C5A"/>
    <w:rsid w:val="003C3EA4"/>
    <w:rsid w:val="00682DE2"/>
    <w:rsid w:val="00704F58"/>
    <w:rsid w:val="00755378"/>
    <w:rsid w:val="0078723A"/>
    <w:rsid w:val="009E4D06"/>
    <w:rsid w:val="00A142A0"/>
    <w:rsid w:val="00BD5AD9"/>
    <w:rsid w:val="00BE4EA7"/>
    <w:rsid w:val="00D44FCC"/>
    <w:rsid w:val="00E1781B"/>
    <w:rsid w:val="00EC494D"/>
    <w:rsid w:val="00ED577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72BEE2"/>
  <w15:docId w15:val="{9D1AC135-20FF-4C6B-9772-C90095FFA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rPr>
      <w:color w:val="000000"/>
    </w:rPr>
    <w:tblPr>
      <w:tblStyleRowBandSize w:val="1"/>
      <w:tblStyleColBandSize w:val="1"/>
      <w:tblCellMar>
        <w:left w:w="108" w:type="dxa"/>
        <w:right w:w="108" w:type="dxa"/>
      </w:tblCellMar>
    </w:tblPr>
  </w:style>
  <w:style w:type="table" w:customStyle="1" w:styleId="a0">
    <w:basedOn w:val="TableNormal1"/>
    <w:rPr>
      <w:color w:val="000000"/>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1">
    <w:basedOn w:val="TableNormal1"/>
    <w:rPr>
      <w:color w:val="000000"/>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2">
    <w:basedOn w:val="TableNormal1"/>
    <w:rPr>
      <w:color w:val="000000"/>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3">
    <w:basedOn w:val="TableNormal1"/>
    <w:tblPr>
      <w:tblStyleRowBandSize w:val="1"/>
      <w:tblStyleColBandSize w:val="1"/>
      <w:tblCellMar>
        <w:left w:w="115" w:type="dxa"/>
        <w:right w:w="115" w:type="dxa"/>
      </w:tblCellMar>
    </w:tblPr>
  </w:style>
  <w:style w:type="paragraph" w:styleId="Sinespaciado">
    <w:name w:val="No Spacing"/>
    <w:uiPriority w:val="1"/>
    <w:qFormat/>
    <w:rsid w:val="00424E9E"/>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AD65B3"/>
    <w:pPr>
      <w:ind w:left="720"/>
      <w:contextualSpacing/>
    </w:p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4E11D2"/>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4E11D2"/>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4E11D2"/>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4E11D2"/>
    <w:pPr>
      <w:jc w:val="both"/>
    </w:pPr>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E70665"/>
  </w:style>
  <w:style w:type="character" w:styleId="Hipervnculo">
    <w:name w:val="Hyperlink"/>
    <w:basedOn w:val="Fuentedeprrafopredeter"/>
    <w:uiPriority w:val="99"/>
    <w:unhideWhenUsed/>
    <w:rsid w:val="00C655DE"/>
    <w:rPr>
      <w:color w:val="0000FF" w:themeColor="hyperlink"/>
      <w:u w:val="single"/>
    </w:rPr>
  </w:style>
  <w:style w:type="table" w:customStyle="1" w:styleId="a4">
    <w:basedOn w:val="TableNormal1"/>
    <w:rPr>
      <w:color w:val="000000"/>
    </w:rPr>
    <w:tblPr>
      <w:tblStyleRowBandSize w:val="1"/>
      <w:tblStyleColBandSize w:val="1"/>
      <w:tblCellMar>
        <w:left w:w="115" w:type="dxa"/>
        <w:right w:w="115" w:type="dxa"/>
      </w:tblCellMar>
    </w:tblPr>
  </w:style>
  <w:style w:type="table" w:customStyle="1" w:styleId="a5">
    <w:basedOn w:val="TableNormal1"/>
    <w:rPr>
      <w:color w:val="000000"/>
    </w:rPr>
    <w:tblPr>
      <w:tblStyleRowBandSize w:val="1"/>
      <w:tblStyleColBandSize w:val="1"/>
      <w:tblCellMar>
        <w:left w:w="115" w:type="dxa"/>
        <w:right w:w="115"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6">
    <w:basedOn w:val="TableNormal1"/>
    <w:rPr>
      <w:color w:val="000000"/>
    </w:rPr>
    <w:tblPr>
      <w:tblStyleRowBandSize w:val="1"/>
      <w:tblStyleColBandSize w:val="1"/>
      <w:tblCellMar>
        <w:left w:w="115" w:type="dxa"/>
        <w:right w:w="115"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7">
    <w:basedOn w:val="TableNormal1"/>
    <w:rPr>
      <w:color w:val="000000"/>
    </w:rPr>
    <w:tblPr>
      <w:tblStyleRowBandSize w:val="1"/>
      <w:tblStyleColBandSize w:val="1"/>
      <w:tblCellMar>
        <w:left w:w="115" w:type="dxa"/>
        <w:right w:w="115"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8">
    <w:basedOn w:val="TableNormal1"/>
    <w:rPr>
      <w:color w:val="000000"/>
    </w:rPr>
    <w:tblPr>
      <w:tblStyleRowBandSize w:val="1"/>
      <w:tblStyleColBandSize w:val="1"/>
      <w:tblCellMar>
        <w:left w:w="115" w:type="dxa"/>
        <w:right w:w="115" w:type="dxa"/>
      </w:tblCellMar>
    </w:tblPr>
  </w:style>
  <w:style w:type="table" w:styleId="Tablaconcuadrcula">
    <w:name w:val="Table Grid"/>
    <w:basedOn w:val="Tablanormal"/>
    <w:uiPriority w:val="39"/>
    <w:rsid w:val="008559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9">
    <w:basedOn w:val="TableNormal0"/>
    <w:rPr>
      <w:color w:val="000000"/>
    </w:rPr>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08" w:type="dxa"/>
        <w:right w:w="108" w:type="dxa"/>
      </w:tblCellMar>
    </w:tblPr>
  </w:style>
  <w:style w:type="table" w:customStyle="1" w:styleId="ab">
    <w:basedOn w:val="TableNormal0"/>
    <w:rPr>
      <w:color w:val="000000"/>
    </w:rPr>
    <w:tblPr>
      <w:tblStyleRowBandSize w:val="1"/>
      <w:tblStyleColBandSize w:val="1"/>
      <w:tblCellMar>
        <w:left w:w="115" w:type="dxa"/>
        <w:right w:w="115"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c">
    <w:basedOn w:val="TableNormal0"/>
    <w:rPr>
      <w:color w:val="000000"/>
    </w:rPr>
    <w:tblPr>
      <w:tblStyleRowBandSize w:val="1"/>
      <w:tblStyleColBandSize w:val="1"/>
      <w:tblCellMar>
        <w:left w:w="115" w:type="dxa"/>
        <w:right w:w="115"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d">
    <w:basedOn w:val="TableNormal0"/>
    <w:rPr>
      <w:color w:val="000000"/>
    </w:rPr>
    <w:tblPr>
      <w:tblStyleRowBandSize w:val="1"/>
      <w:tblStyleColBandSize w:val="1"/>
      <w:tblCellMar>
        <w:left w:w="115" w:type="dxa"/>
        <w:right w:w="115"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e">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OkZc3WleEord5BJJqqaqShIUhA==">AMUW2mUdsguIOh/A3a9/rpNi9IC3uk4vcXJidftY/n52Ba/utXpGDUKv8aakqfEPQc/VVX2IMVXzHddShxEAqsO4EEnA0WkCs1Ba2eSOziTAhhcM1QNxd1bbsQ4lh7mHW7e+IJYQtcus77fqkAJesP+nFG8OW+mcDSBh+6wpN9gZyFDuPevQ4+HvTEJke+ZvDHwG8b8/VxlZUb2fbix0mmWeQpqQauqseA==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3340</Words>
  <Characters>18370</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Auxiliar Juridico</dc:creator>
  <cp:lastModifiedBy>Secretario Gral</cp:lastModifiedBy>
  <cp:revision>2</cp:revision>
  <cp:lastPrinted>2022-06-17T17:59:00Z</cp:lastPrinted>
  <dcterms:created xsi:type="dcterms:W3CDTF">2022-06-18T19:13:00Z</dcterms:created>
  <dcterms:modified xsi:type="dcterms:W3CDTF">2022-06-18T19:13:00Z</dcterms:modified>
</cp:coreProperties>
</file>