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1A66" w14:textId="77777777" w:rsidR="00FD2E52" w:rsidRDefault="007C7D9E">
      <w:pPr>
        <w:ind w:left="3828"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08756697" w14:textId="77777777" w:rsidR="00FD2E52" w:rsidRDefault="00FD2E52">
      <w:pPr>
        <w:pBdr>
          <w:top w:val="nil"/>
          <w:left w:val="nil"/>
          <w:bottom w:val="nil"/>
          <w:right w:val="nil"/>
          <w:between w:val="nil"/>
        </w:pBdr>
        <w:ind w:left="3828"/>
        <w:rPr>
          <w:rFonts w:ascii="Arial" w:eastAsia="Arial" w:hAnsi="Arial" w:cs="Arial"/>
          <w:color w:val="000000"/>
          <w:sz w:val="14"/>
          <w:szCs w:val="14"/>
        </w:rPr>
      </w:pPr>
    </w:p>
    <w:p w14:paraId="1AED76CA" w14:textId="77777777" w:rsidR="00FD2E52" w:rsidRDefault="007C7D9E">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TEEA-PES-053/2021.</w:t>
      </w:r>
      <w:r>
        <w:rPr>
          <w:rFonts w:ascii="Arial" w:eastAsia="Arial" w:hAnsi="Arial" w:cs="Arial"/>
          <w:b/>
          <w:sz w:val="24"/>
          <w:szCs w:val="24"/>
        </w:rPr>
        <w:t xml:space="preserve"> </w:t>
      </w:r>
    </w:p>
    <w:p w14:paraId="22F2E53F" w14:textId="77777777" w:rsidR="00FD2E52" w:rsidRDefault="00FD2E52">
      <w:pPr>
        <w:ind w:left="3828" w:right="36"/>
        <w:jc w:val="both"/>
        <w:rPr>
          <w:rFonts w:ascii="Arial" w:eastAsia="Arial" w:hAnsi="Arial" w:cs="Arial"/>
          <w:b/>
          <w:sz w:val="14"/>
          <w:szCs w:val="14"/>
        </w:rPr>
      </w:pPr>
    </w:p>
    <w:p w14:paraId="5B516EC3" w14:textId="77777777" w:rsidR="00FD2E52" w:rsidRDefault="007C7D9E">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JESÚS RICARDO BARBA PARRA, REPRESENTANTE DE MORENA ANTE EL INSTITUTO LOCAL.</w:t>
      </w:r>
    </w:p>
    <w:p w14:paraId="5E13169D" w14:textId="77777777" w:rsidR="00FD2E52" w:rsidRDefault="00FD2E52">
      <w:pPr>
        <w:ind w:left="3828" w:right="36"/>
        <w:jc w:val="both"/>
        <w:rPr>
          <w:rFonts w:ascii="Arial" w:eastAsia="Arial" w:hAnsi="Arial" w:cs="Arial"/>
          <w:sz w:val="14"/>
          <w:szCs w:val="14"/>
        </w:rPr>
      </w:pPr>
    </w:p>
    <w:p w14:paraId="1D5774D5" w14:textId="77777777" w:rsidR="00FD2E52" w:rsidRDefault="007C7D9E">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NATZIELLY TERESITA RODRÍGUEZ CALZADA, ENTONCES CANDIDATA DE FUERZA POR MÉXICO AGUASCALIENTES, A LA GUBERNATURA DEL ESTADO.</w:t>
      </w:r>
    </w:p>
    <w:p w14:paraId="3F29C328" w14:textId="77777777" w:rsidR="00FD2E52" w:rsidRDefault="00FD2E52">
      <w:pPr>
        <w:pBdr>
          <w:top w:val="nil"/>
          <w:left w:val="nil"/>
          <w:bottom w:val="nil"/>
          <w:right w:val="nil"/>
          <w:between w:val="nil"/>
        </w:pBdr>
        <w:ind w:left="3828"/>
        <w:rPr>
          <w:rFonts w:ascii="Arial" w:eastAsia="Arial" w:hAnsi="Arial" w:cs="Arial"/>
          <w:color w:val="000000"/>
          <w:sz w:val="14"/>
          <w:szCs w:val="14"/>
        </w:rPr>
      </w:pPr>
    </w:p>
    <w:p w14:paraId="40309CB7" w14:textId="77777777" w:rsidR="00FD2E52" w:rsidRDefault="007C7D9E">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23F8E163" w14:textId="77777777" w:rsidR="00FD2E52" w:rsidRDefault="00FD2E52">
      <w:pPr>
        <w:pBdr>
          <w:top w:val="nil"/>
          <w:left w:val="nil"/>
          <w:bottom w:val="nil"/>
          <w:right w:val="nil"/>
          <w:between w:val="nil"/>
        </w:pBdr>
        <w:ind w:left="3828"/>
        <w:rPr>
          <w:rFonts w:ascii="Arial" w:eastAsia="Arial" w:hAnsi="Arial" w:cs="Arial"/>
          <w:color w:val="000000"/>
          <w:sz w:val="14"/>
          <w:szCs w:val="14"/>
        </w:rPr>
      </w:pPr>
    </w:p>
    <w:p w14:paraId="1DEB62B1" w14:textId="77777777" w:rsidR="00FD2E52" w:rsidRDefault="007C7D9E">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6A35DDF7" w14:textId="77777777" w:rsidR="00FD2E52" w:rsidRDefault="00FD2E52">
      <w:pPr>
        <w:ind w:left="3828" w:right="36"/>
        <w:jc w:val="both"/>
        <w:rPr>
          <w:rFonts w:ascii="Arial" w:eastAsia="Arial" w:hAnsi="Arial" w:cs="Arial"/>
          <w:sz w:val="24"/>
          <w:szCs w:val="24"/>
        </w:rPr>
      </w:pPr>
    </w:p>
    <w:p w14:paraId="2F913961" w14:textId="77777777" w:rsidR="00FD2E52" w:rsidRDefault="007C7D9E">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7153003F" w14:textId="77777777" w:rsidR="00FD2E52" w:rsidRDefault="00FD2E52">
      <w:pPr>
        <w:pBdr>
          <w:top w:val="nil"/>
          <w:left w:val="nil"/>
          <w:bottom w:val="nil"/>
          <w:right w:val="nil"/>
          <w:between w:val="nil"/>
        </w:pBdr>
        <w:rPr>
          <w:color w:val="000000"/>
        </w:rPr>
      </w:pPr>
    </w:p>
    <w:p w14:paraId="183D7211" w14:textId="2EFD6405" w:rsidR="00FD2E52" w:rsidRDefault="007C7D9E">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sidR="00061609">
        <w:rPr>
          <w:rFonts w:ascii="Arial" w:eastAsia="Arial" w:hAnsi="Arial" w:cs="Arial"/>
          <w:color w:val="000000"/>
          <w:sz w:val="24"/>
          <w:szCs w:val="24"/>
        </w:rPr>
        <w:t>11</w:t>
      </w:r>
      <w:r>
        <w:rPr>
          <w:rFonts w:ascii="Arial" w:eastAsia="Arial" w:hAnsi="Arial" w:cs="Arial"/>
          <w:color w:val="000000"/>
          <w:sz w:val="24"/>
          <w:szCs w:val="24"/>
        </w:rPr>
        <w:t xml:space="preserve"> de junio de 2022</w:t>
      </w:r>
      <w:r>
        <w:rPr>
          <w:rFonts w:ascii="Arial" w:eastAsia="Arial" w:hAnsi="Arial" w:cs="Arial"/>
          <w:sz w:val="24"/>
          <w:szCs w:val="24"/>
        </w:rPr>
        <w:t>.</w:t>
      </w:r>
    </w:p>
    <w:p w14:paraId="084DAF5A" w14:textId="77777777" w:rsidR="00FD2E52" w:rsidRDefault="00FD2E52">
      <w:pPr>
        <w:pBdr>
          <w:top w:val="nil"/>
          <w:left w:val="nil"/>
          <w:bottom w:val="nil"/>
          <w:right w:val="nil"/>
          <w:between w:val="nil"/>
        </w:pBdr>
        <w:rPr>
          <w:color w:val="000000"/>
        </w:rPr>
      </w:pPr>
    </w:p>
    <w:p w14:paraId="274CB383" w14:textId="0E22FCF5" w:rsidR="00FD2E52" w:rsidRDefault="007C7D9E">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la colocación de propaganda electoral en elementos de equipamiento urbano, </w:t>
      </w:r>
      <w:r w:rsidR="00061609">
        <w:rPr>
          <w:rFonts w:ascii="Arial" w:eastAsia="Arial" w:hAnsi="Arial" w:cs="Arial"/>
          <w:sz w:val="24"/>
          <w:szCs w:val="24"/>
        </w:rPr>
        <w:t>atribuida</w:t>
      </w:r>
      <w:r>
        <w:rPr>
          <w:rFonts w:ascii="Arial" w:eastAsia="Arial" w:hAnsi="Arial" w:cs="Arial"/>
          <w:sz w:val="24"/>
          <w:szCs w:val="24"/>
        </w:rPr>
        <w:t xml:space="preserve"> a Natzielly Teresita </w:t>
      </w:r>
      <w:r w:rsidR="00061609">
        <w:rPr>
          <w:rFonts w:ascii="Arial" w:eastAsia="Arial" w:hAnsi="Arial" w:cs="Arial"/>
          <w:sz w:val="24"/>
          <w:szCs w:val="24"/>
        </w:rPr>
        <w:t>Rodríguez</w:t>
      </w:r>
      <w:r>
        <w:rPr>
          <w:rFonts w:ascii="Arial" w:eastAsia="Arial" w:hAnsi="Arial" w:cs="Arial"/>
          <w:sz w:val="24"/>
          <w:szCs w:val="24"/>
        </w:rPr>
        <w:t xml:space="preserve"> Calzada, entonces candidata a la gubernatura del estado, por el partido político Fuerza por México Aguascalientes y, por tanto,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i/>
          <w:sz w:val="24"/>
          <w:szCs w:val="24"/>
        </w:rPr>
        <w:t>culpa in vigilando</w:t>
      </w:r>
      <w:r>
        <w:rPr>
          <w:rFonts w:ascii="Arial" w:eastAsia="Arial" w:hAnsi="Arial" w:cs="Arial"/>
          <w:sz w:val="24"/>
          <w:szCs w:val="24"/>
        </w:rPr>
        <w:t xml:space="preserve"> atribuida al referido instituto político. </w:t>
      </w:r>
    </w:p>
    <w:p w14:paraId="448F7BAF" w14:textId="77777777" w:rsidR="00FD2E52" w:rsidRDefault="00FD2E52">
      <w:pPr>
        <w:spacing w:line="360" w:lineRule="auto"/>
        <w:jc w:val="both"/>
        <w:rPr>
          <w:rFonts w:ascii="Arial" w:eastAsia="Arial" w:hAnsi="Arial" w:cs="Arial"/>
          <w:sz w:val="24"/>
          <w:szCs w:val="24"/>
        </w:rPr>
      </w:pPr>
      <w:bookmarkStart w:id="2" w:name="_heading=h.rbpa77s0c9wv" w:colFirst="0" w:colLast="0"/>
      <w:bookmarkEnd w:id="2"/>
    </w:p>
    <w:p w14:paraId="4F88D345" w14:textId="77777777" w:rsidR="00FD2E52" w:rsidRDefault="007C7D9E">
      <w:pPr>
        <w:spacing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w:t>
      </w:r>
      <w:r>
        <w:rPr>
          <w:rFonts w:ascii="Arial" w:eastAsia="Arial" w:hAnsi="Arial" w:cs="Arial"/>
          <w:b/>
          <w:sz w:val="24"/>
          <w:szCs w:val="24"/>
        </w:rPr>
        <w:t>la colocación de la propaganda denunciada se encuentra apegada a derecho</w:t>
      </w:r>
      <w:r>
        <w:rPr>
          <w:rFonts w:ascii="Arial" w:eastAsia="Arial" w:hAnsi="Arial" w:cs="Arial"/>
          <w:sz w:val="24"/>
          <w:szCs w:val="24"/>
        </w:rPr>
        <w:t xml:space="preserve">, ya que, con independencia de que tal espectacular se encontrare ubicado en un puente peatonal, </w:t>
      </w:r>
      <w:r>
        <w:rPr>
          <w:rFonts w:ascii="Arial" w:eastAsia="Arial" w:hAnsi="Arial" w:cs="Arial"/>
          <w:b/>
          <w:i/>
          <w:sz w:val="24"/>
          <w:szCs w:val="24"/>
        </w:rPr>
        <w:t>i)</w:t>
      </w:r>
      <w:r>
        <w:rPr>
          <w:rFonts w:ascii="Arial" w:eastAsia="Arial" w:hAnsi="Arial" w:cs="Arial"/>
          <w:sz w:val="24"/>
          <w:szCs w:val="24"/>
        </w:rPr>
        <w:t xml:space="preserve"> no se logró advertir que esto generara alguna contaminación visual ni ambiental, o </w:t>
      </w:r>
      <w:r>
        <w:rPr>
          <w:rFonts w:ascii="Arial" w:eastAsia="Arial" w:hAnsi="Arial" w:cs="Arial"/>
          <w:b/>
          <w:i/>
          <w:sz w:val="24"/>
          <w:szCs w:val="24"/>
        </w:rPr>
        <w:t>ii)</w:t>
      </w:r>
      <w:r>
        <w:rPr>
          <w:rFonts w:ascii="Arial" w:eastAsia="Arial" w:hAnsi="Arial" w:cs="Arial"/>
          <w:sz w:val="24"/>
          <w:szCs w:val="24"/>
        </w:rPr>
        <w:t xml:space="preserve"> que hubiese alterado la naturaleza del bien destinado a dar seguridad a los peatones al cruzar la avenida, </w:t>
      </w:r>
      <w:r>
        <w:rPr>
          <w:rFonts w:ascii="Arial" w:eastAsia="Arial" w:hAnsi="Arial" w:cs="Arial"/>
          <w:b/>
          <w:i/>
          <w:sz w:val="24"/>
          <w:szCs w:val="24"/>
        </w:rPr>
        <w:t>iii)</w:t>
      </w:r>
      <w:r>
        <w:rPr>
          <w:rFonts w:ascii="Arial" w:eastAsia="Arial" w:hAnsi="Arial" w:cs="Arial"/>
          <w:sz w:val="24"/>
          <w:szCs w:val="24"/>
        </w:rPr>
        <w:t xml:space="preserve"> tampoco obstaculiza la visibilidad de los señalamientos que permitan a las personas transitar; </w:t>
      </w:r>
      <w:r>
        <w:rPr>
          <w:rFonts w:ascii="Arial" w:eastAsia="Arial" w:hAnsi="Arial" w:cs="Arial"/>
          <w:b/>
          <w:i/>
          <w:sz w:val="24"/>
          <w:szCs w:val="24"/>
        </w:rPr>
        <w:t xml:space="preserve">iv) </w:t>
      </w:r>
      <w:r>
        <w:rPr>
          <w:rFonts w:ascii="Arial" w:eastAsia="Arial" w:hAnsi="Arial" w:cs="Arial"/>
          <w:sz w:val="24"/>
          <w:szCs w:val="24"/>
        </w:rPr>
        <w:t xml:space="preserve">ni su colocación afecta el acceso al puente peatonal.  </w:t>
      </w:r>
    </w:p>
    <w:p w14:paraId="4AB68580" w14:textId="36A74C0D" w:rsidR="00FD2E52" w:rsidRDefault="00FD2E52">
      <w:pPr>
        <w:spacing w:line="360" w:lineRule="auto"/>
        <w:jc w:val="both"/>
        <w:rPr>
          <w:rFonts w:ascii="Arial" w:eastAsia="Arial" w:hAnsi="Arial" w:cs="Arial"/>
          <w:sz w:val="24"/>
          <w:szCs w:val="24"/>
        </w:rPr>
      </w:pPr>
      <w:bookmarkStart w:id="3" w:name="_heading=h.bibk2jhbiirw" w:colFirst="0" w:colLast="0"/>
      <w:bookmarkEnd w:id="3"/>
    </w:p>
    <w:p w14:paraId="572C554B" w14:textId="77777777" w:rsidR="00FD2E52" w:rsidRDefault="007C7D9E">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Pr>
          <w:rFonts w:ascii="Arial" w:eastAsia="Arial" w:hAnsi="Arial" w:cs="Arial"/>
          <w:b/>
          <w:color w:val="000000"/>
          <w:sz w:val="16"/>
          <w:szCs w:val="16"/>
        </w:rPr>
        <w:t>Índice</w:t>
      </w:r>
    </w:p>
    <w:p w14:paraId="5AD0F742" w14:textId="77777777" w:rsidR="00FD2E52" w:rsidRDefault="007C7D9E">
      <w:pPr>
        <w:tabs>
          <w:tab w:val="left" w:pos="3402"/>
        </w:tabs>
        <w:ind w:left="1488" w:right="-518"/>
        <w:rPr>
          <w:rFonts w:ascii="Arial" w:eastAsia="Arial" w:hAnsi="Arial" w:cs="Arial"/>
          <w:sz w:val="16"/>
          <w:szCs w:val="16"/>
        </w:rPr>
      </w:pPr>
      <w:r>
        <w:rPr>
          <w:rFonts w:ascii="Arial" w:eastAsia="Arial" w:hAnsi="Arial" w:cs="Arial"/>
          <w:sz w:val="16"/>
          <w:szCs w:val="16"/>
        </w:rPr>
        <w:t>Antecedentes del caso …………………………………………………………………………...2</w:t>
      </w:r>
    </w:p>
    <w:p w14:paraId="1DAA9717" w14:textId="77777777" w:rsidR="00FD2E52" w:rsidRDefault="007C7D9E">
      <w:pPr>
        <w:tabs>
          <w:tab w:val="left" w:pos="3402"/>
        </w:tabs>
        <w:ind w:left="1488" w:right="-518"/>
        <w:rPr>
          <w:rFonts w:ascii="Arial" w:eastAsia="Arial" w:hAnsi="Arial" w:cs="Arial"/>
          <w:sz w:val="16"/>
          <w:szCs w:val="16"/>
        </w:rPr>
      </w:pPr>
      <w:r>
        <w:rPr>
          <w:rFonts w:ascii="Arial" w:eastAsia="Arial" w:hAnsi="Arial" w:cs="Arial"/>
          <w:sz w:val="16"/>
          <w:szCs w:val="16"/>
        </w:rPr>
        <w:t>Competencia ………………………………………………………………………………………2</w:t>
      </w:r>
    </w:p>
    <w:p w14:paraId="3473075A" w14:textId="77777777" w:rsidR="00FD2E52" w:rsidRDefault="007C7D9E">
      <w:pPr>
        <w:tabs>
          <w:tab w:val="left" w:pos="3402"/>
        </w:tabs>
        <w:ind w:left="1488" w:right="-518"/>
        <w:rPr>
          <w:rFonts w:ascii="Arial" w:eastAsia="Arial" w:hAnsi="Arial" w:cs="Arial"/>
          <w:sz w:val="16"/>
          <w:szCs w:val="16"/>
        </w:rPr>
      </w:pPr>
      <w:r>
        <w:rPr>
          <w:rFonts w:ascii="Arial" w:eastAsia="Arial" w:hAnsi="Arial" w:cs="Arial"/>
          <w:sz w:val="16"/>
          <w:szCs w:val="16"/>
        </w:rPr>
        <w:t>Personería …………………………………………………………………………………………2</w:t>
      </w:r>
    </w:p>
    <w:p w14:paraId="3BEDD1CD" w14:textId="77777777" w:rsidR="00FD2E52" w:rsidRDefault="007C7D9E">
      <w:pPr>
        <w:tabs>
          <w:tab w:val="left" w:pos="3402"/>
        </w:tabs>
        <w:ind w:left="1488" w:right="-518"/>
        <w:rPr>
          <w:rFonts w:ascii="Arial" w:eastAsia="Arial" w:hAnsi="Arial" w:cs="Arial"/>
          <w:sz w:val="16"/>
          <w:szCs w:val="16"/>
        </w:rPr>
      </w:pPr>
      <w:r>
        <w:rPr>
          <w:rFonts w:ascii="Arial" w:eastAsia="Arial" w:hAnsi="Arial" w:cs="Arial"/>
          <w:sz w:val="16"/>
          <w:szCs w:val="16"/>
        </w:rPr>
        <w:t>Estudio de fondo………………………………………………………………………………......3</w:t>
      </w:r>
    </w:p>
    <w:p w14:paraId="2D96719A" w14:textId="77777777" w:rsidR="00FD2E52" w:rsidRDefault="007C7D9E">
      <w:pPr>
        <w:tabs>
          <w:tab w:val="left" w:pos="3402"/>
        </w:tabs>
        <w:ind w:left="1488" w:right="-518"/>
        <w:rPr>
          <w:rFonts w:ascii="Arial" w:eastAsia="Arial" w:hAnsi="Arial" w:cs="Arial"/>
          <w:sz w:val="16"/>
          <w:szCs w:val="16"/>
        </w:rPr>
      </w:pPr>
      <w:r>
        <w:rPr>
          <w:rFonts w:ascii="Arial" w:eastAsia="Arial" w:hAnsi="Arial" w:cs="Arial"/>
          <w:sz w:val="16"/>
          <w:szCs w:val="16"/>
        </w:rPr>
        <w:t>Análisis de fondo ………………………………………………………………………………….5</w:t>
      </w:r>
    </w:p>
    <w:p w14:paraId="7F90E966" w14:textId="77777777" w:rsidR="00FD2E52" w:rsidRDefault="007C7D9E">
      <w:pPr>
        <w:tabs>
          <w:tab w:val="left" w:pos="3402"/>
          <w:tab w:val="right" w:pos="8263"/>
          <w:tab w:val="left" w:pos="8789"/>
        </w:tabs>
        <w:ind w:left="1488" w:right="-518"/>
        <w:rPr>
          <w:rFonts w:ascii="Arial" w:eastAsia="Arial" w:hAnsi="Arial" w:cs="Arial"/>
          <w:sz w:val="16"/>
          <w:szCs w:val="16"/>
        </w:rPr>
      </w:pPr>
      <w:r>
        <w:rPr>
          <w:rFonts w:ascii="Arial" w:eastAsia="Arial" w:hAnsi="Arial" w:cs="Arial"/>
          <w:sz w:val="16"/>
          <w:szCs w:val="16"/>
        </w:rPr>
        <w:t>Individualización de la sanción.…..………………………………………………………….... 11</w:t>
      </w:r>
    </w:p>
    <w:p w14:paraId="7556E0B1" w14:textId="77777777" w:rsidR="00FD2E52" w:rsidRDefault="007C7D9E">
      <w:pPr>
        <w:tabs>
          <w:tab w:val="left" w:pos="3402"/>
          <w:tab w:val="right" w:pos="8263"/>
        </w:tabs>
        <w:ind w:left="1488" w:right="-518"/>
        <w:rPr>
          <w:rFonts w:ascii="Arial" w:eastAsia="Arial" w:hAnsi="Arial" w:cs="Arial"/>
          <w:b/>
          <w:sz w:val="16"/>
          <w:szCs w:val="16"/>
        </w:rPr>
      </w:pPr>
      <w:r>
        <w:rPr>
          <w:rFonts w:ascii="Arial" w:eastAsia="Arial" w:hAnsi="Arial" w:cs="Arial"/>
          <w:sz w:val="16"/>
          <w:szCs w:val="16"/>
        </w:rPr>
        <w:t>Resolutivo ………………………………………………………………………………………...16</w:t>
      </w:r>
    </w:p>
    <w:p w14:paraId="078E8E70" w14:textId="77777777" w:rsidR="003C5B99" w:rsidRDefault="003C5B99" w:rsidP="003C5B99">
      <w:pPr>
        <w:tabs>
          <w:tab w:val="left" w:pos="4320"/>
        </w:tabs>
        <w:spacing w:line="360" w:lineRule="auto"/>
        <w:ind w:right="2324"/>
        <w:rPr>
          <w:rFonts w:ascii="Arial" w:eastAsia="Arial" w:hAnsi="Arial" w:cs="Arial"/>
          <w:b/>
          <w:sz w:val="16"/>
          <w:szCs w:val="16"/>
        </w:rPr>
      </w:pPr>
      <w:r>
        <w:rPr>
          <w:rFonts w:ascii="Arial" w:eastAsia="Arial" w:hAnsi="Arial" w:cs="Arial"/>
          <w:b/>
          <w:sz w:val="16"/>
          <w:szCs w:val="16"/>
        </w:rPr>
        <w:t xml:space="preserve">                                                                                                   </w:t>
      </w:r>
    </w:p>
    <w:p w14:paraId="76089A83" w14:textId="77777777" w:rsidR="003C5B99" w:rsidRDefault="003C5B99" w:rsidP="003C5B99">
      <w:pPr>
        <w:tabs>
          <w:tab w:val="left" w:pos="4320"/>
        </w:tabs>
        <w:spacing w:line="360" w:lineRule="auto"/>
        <w:ind w:right="2324"/>
        <w:rPr>
          <w:rFonts w:ascii="Arial" w:eastAsia="Arial" w:hAnsi="Arial" w:cs="Arial"/>
          <w:b/>
          <w:sz w:val="16"/>
          <w:szCs w:val="16"/>
        </w:rPr>
      </w:pPr>
    </w:p>
    <w:p w14:paraId="20F6E335" w14:textId="0ABF578E" w:rsidR="00FD2E52" w:rsidRDefault="003C5B99" w:rsidP="003C5B99">
      <w:pPr>
        <w:tabs>
          <w:tab w:val="left" w:pos="4320"/>
        </w:tabs>
        <w:spacing w:line="360" w:lineRule="auto"/>
        <w:ind w:right="2324"/>
        <w:rPr>
          <w:rFonts w:ascii="Arial" w:eastAsia="Arial" w:hAnsi="Arial" w:cs="Arial"/>
          <w:b/>
          <w:sz w:val="16"/>
          <w:szCs w:val="16"/>
        </w:rPr>
      </w:pPr>
      <w:r>
        <w:rPr>
          <w:rFonts w:ascii="Arial" w:eastAsia="Arial" w:hAnsi="Arial" w:cs="Arial"/>
          <w:b/>
          <w:sz w:val="16"/>
          <w:szCs w:val="16"/>
        </w:rPr>
        <w:lastRenderedPageBreak/>
        <w:t xml:space="preserve">                                                                                               </w:t>
      </w:r>
      <w:r w:rsidR="006231E6">
        <w:rPr>
          <w:rFonts w:ascii="Arial" w:eastAsia="Arial" w:hAnsi="Arial" w:cs="Arial"/>
          <w:b/>
          <w:sz w:val="16"/>
          <w:szCs w:val="16"/>
        </w:rPr>
        <w:t xml:space="preserve"> </w:t>
      </w:r>
      <w:r w:rsidR="007C7D9E">
        <w:rPr>
          <w:rFonts w:ascii="Arial" w:eastAsia="Arial" w:hAnsi="Arial" w:cs="Arial"/>
          <w:b/>
          <w:sz w:val="16"/>
          <w:szCs w:val="16"/>
        </w:rPr>
        <w:t>Glosario</w:t>
      </w:r>
    </w:p>
    <w:tbl>
      <w:tblPr>
        <w:tblStyle w:val="a9"/>
        <w:tblW w:w="6232" w:type="dxa"/>
        <w:jc w:val="center"/>
        <w:tblInd w:w="0" w:type="dxa"/>
        <w:tblLayout w:type="fixed"/>
        <w:tblLook w:val="0400" w:firstRow="0" w:lastRow="0" w:firstColumn="0" w:lastColumn="0" w:noHBand="0" w:noVBand="1"/>
      </w:tblPr>
      <w:tblGrid>
        <w:gridCol w:w="1700"/>
        <w:gridCol w:w="4532"/>
      </w:tblGrid>
      <w:tr w:rsidR="00FD2E52" w14:paraId="58BFC15F" w14:textId="77777777">
        <w:trPr>
          <w:trHeight w:val="578"/>
          <w:jc w:val="center"/>
        </w:trPr>
        <w:tc>
          <w:tcPr>
            <w:tcW w:w="1700" w:type="dxa"/>
          </w:tcPr>
          <w:p w14:paraId="3A773A4D" w14:textId="77777777" w:rsidR="00FD2E52" w:rsidRDefault="007C7D9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Denunciante:</w:t>
            </w:r>
          </w:p>
          <w:p w14:paraId="0B0471D8" w14:textId="77777777" w:rsidR="00FD2E52" w:rsidRDefault="007C7D9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44902517" w14:textId="77777777" w:rsidR="00FD2E52" w:rsidRDefault="00FD2E52">
            <w:pPr>
              <w:tabs>
                <w:tab w:val="left" w:pos="4320"/>
              </w:tabs>
              <w:spacing w:line="276" w:lineRule="auto"/>
              <w:jc w:val="both"/>
              <w:rPr>
                <w:rFonts w:ascii="Arial" w:eastAsia="Arial" w:hAnsi="Arial" w:cs="Arial"/>
                <w:b/>
                <w:sz w:val="16"/>
                <w:szCs w:val="16"/>
              </w:rPr>
            </w:pPr>
          </w:p>
          <w:p w14:paraId="68EBB0FB" w14:textId="77777777" w:rsidR="00FD2E52" w:rsidRDefault="007C7D9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Instituto local:</w:t>
            </w:r>
          </w:p>
        </w:tc>
        <w:tc>
          <w:tcPr>
            <w:tcW w:w="4532" w:type="dxa"/>
          </w:tcPr>
          <w:p w14:paraId="34F16DEB" w14:textId="77777777" w:rsidR="00FD2E52" w:rsidRDefault="007C7D9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Morena.</w:t>
            </w:r>
          </w:p>
          <w:p w14:paraId="2D1296F4" w14:textId="77777777" w:rsidR="00FD2E52" w:rsidRDefault="007C7D9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Natzielly Teresita Rodríguez Calzada, entonces candidata de FXM Aguascalientes, a la gubernatura del estado. </w:t>
            </w:r>
          </w:p>
          <w:p w14:paraId="3D35EC87" w14:textId="77777777" w:rsidR="00FD2E52" w:rsidRDefault="007C7D9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Instituto Estatal Electoral de Aguascalientes.</w:t>
            </w:r>
          </w:p>
        </w:tc>
      </w:tr>
      <w:tr w:rsidR="00FD2E52" w14:paraId="47E8AE58" w14:textId="77777777">
        <w:trPr>
          <w:trHeight w:val="129"/>
          <w:jc w:val="center"/>
        </w:trPr>
        <w:tc>
          <w:tcPr>
            <w:tcW w:w="1700" w:type="dxa"/>
          </w:tcPr>
          <w:p w14:paraId="4F6A3A8B" w14:textId="77777777" w:rsidR="00FD2E52" w:rsidRDefault="007C7D9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Comisión de Quejas y Denuncias:</w:t>
            </w:r>
          </w:p>
          <w:p w14:paraId="3954C8F4" w14:textId="77777777" w:rsidR="00FD2E52" w:rsidRDefault="007C7D9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Consejo General:</w:t>
            </w:r>
          </w:p>
        </w:tc>
        <w:tc>
          <w:tcPr>
            <w:tcW w:w="4532" w:type="dxa"/>
          </w:tcPr>
          <w:p w14:paraId="04AE060C" w14:textId="77777777" w:rsidR="00FD2E52" w:rsidRDefault="007C7D9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Comisión de Quejas y Denuncias del Instituto Estatal Electoral. </w:t>
            </w:r>
          </w:p>
          <w:p w14:paraId="232A9FD3" w14:textId="77777777" w:rsidR="00FD2E52" w:rsidRDefault="00FD2E52">
            <w:pPr>
              <w:tabs>
                <w:tab w:val="left" w:pos="4320"/>
              </w:tabs>
              <w:spacing w:line="276" w:lineRule="auto"/>
              <w:ind w:right="-95"/>
              <w:jc w:val="both"/>
              <w:rPr>
                <w:rFonts w:ascii="Arial" w:eastAsia="Arial" w:hAnsi="Arial" w:cs="Arial"/>
                <w:sz w:val="16"/>
                <w:szCs w:val="16"/>
              </w:rPr>
            </w:pPr>
          </w:p>
          <w:p w14:paraId="35423499" w14:textId="77777777" w:rsidR="00FD2E52" w:rsidRDefault="007C7D9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Consejo General del Instituto Estatal Electoral.</w:t>
            </w:r>
          </w:p>
        </w:tc>
      </w:tr>
      <w:tr w:rsidR="00FD2E52" w14:paraId="5E492C9E" w14:textId="77777777">
        <w:trPr>
          <w:trHeight w:val="184"/>
          <w:jc w:val="center"/>
        </w:trPr>
        <w:tc>
          <w:tcPr>
            <w:tcW w:w="1700" w:type="dxa"/>
          </w:tcPr>
          <w:p w14:paraId="44753ADD" w14:textId="77777777" w:rsidR="00FD2E52" w:rsidRDefault="007C7D9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tc>
        <w:tc>
          <w:tcPr>
            <w:tcW w:w="4532" w:type="dxa"/>
          </w:tcPr>
          <w:p w14:paraId="60600268" w14:textId="77777777" w:rsidR="00FD2E52" w:rsidRDefault="007C7D9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Código Electoral del Estado de Aguascalientes.</w:t>
            </w:r>
          </w:p>
        </w:tc>
      </w:tr>
      <w:tr w:rsidR="00FD2E52" w14:paraId="5AB4B576" w14:textId="77777777">
        <w:trPr>
          <w:trHeight w:val="184"/>
          <w:jc w:val="center"/>
        </w:trPr>
        <w:tc>
          <w:tcPr>
            <w:tcW w:w="1700" w:type="dxa"/>
          </w:tcPr>
          <w:p w14:paraId="38418543" w14:textId="77777777" w:rsidR="00FD2E52" w:rsidRDefault="007C7D9E">
            <w:pPr>
              <w:spacing w:line="276" w:lineRule="auto"/>
              <w:jc w:val="both"/>
              <w:rPr>
                <w:rFonts w:ascii="Arial" w:eastAsia="Arial" w:hAnsi="Arial" w:cs="Arial"/>
                <w:b/>
                <w:sz w:val="16"/>
                <w:szCs w:val="16"/>
              </w:rPr>
            </w:pPr>
            <w:r>
              <w:rPr>
                <w:rFonts w:ascii="Arial" w:eastAsia="Arial" w:hAnsi="Arial" w:cs="Arial"/>
                <w:b/>
                <w:sz w:val="16"/>
                <w:szCs w:val="16"/>
              </w:rPr>
              <w:t>FXM:</w:t>
            </w:r>
          </w:p>
          <w:p w14:paraId="44A22957" w14:textId="77777777" w:rsidR="00FD2E52" w:rsidRDefault="007C7D9E">
            <w:pPr>
              <w:spacing w:line="276" w:lineRule="auto"/>
              <w:jc w:val="both"/>
              <w:rPr>
                <w:rFonts w:ascii="Arial" w:eastAsia="Arial" w:hAnsi="Arial" w:cs="Arial"/>
                <w:b/>
                <w:sz w:val="16"/>
                <w:szCs w:val="16"/>
              </w:rPr>
            </w:pPr>
            <w:r>
              <w:rPr>
                <w:rFonts w:ascii="Arial" w:eastAsia="Arial" w:hAnsi="Arial" w:cs="Arial"/>
                <w:b/>
                <w:sz w:val="16"/>
                <w:szCs w:val="16"/>
              </w:rPr>
              <w:t>LEGIPE:</w:t>
            </w:r>
          </w:p>
        </w:tc>
        <w:tc>
          <w:tcPr>
            <w:tcW w:w="4532" w:type="dxa"/>
          </w:tcPr>
          <w:p w14:paraId="1C18CBD2" w14:textId="77777777" w:rsidR="00FD2E52" w:rsidRDefault="007C7D9E">
            <w:pPr>
              <w:spacing w:line="276" w:lineRule="auto"/>
              <w:ind w:right="-95"/>
              <w:jc w:val="both"/>
              <w:rPr>
                <w:rFonts w:ascii="Arial" w:eastAsia="Arial" w:hAnsi="Arial" w:cs="Arial"/>
                <w:sz w:val="16"/>
                <w:szCs w:val="16"/>
              </w:rPr>
            </w:pPr>
            <w:r>
              <w:rPr>
                <w:rFonts w:ascii="Arial" w:eastAsia="Arial" w:hAnsi="Arial" w:cs="Arial"/>
                <w:sz w:val="16"/>
                <w:szCs w:val="16"/>
              </w:rPr>
              <w:t xml:space="preserve">Fuerza por México Aguascalientes. </w:t>
            </w:r>
          </w:p>
          <w:p w14:paraId="7E4FE943" w14:textId="77777777" w:rsidR="00FD2E52" w:rsidRDefault="007C7D9E">
            <w:pPr>
              <w:spacing w:line="276" w:lineRule="auto"/>
              <w:ind w:right="-95"/>
              <w:jc w:val="both"/>
              <w:rPr>
                <w:rFonts w:ascii="Arial" w:eastAsia="Arial" w:hAnsi="Arial" w:cs="Arial"/>
                <w:sz w:val="16"/>
                <w:szCs w:val="16"/>
              </w:rPr>
            </w:pPr>
            <w:r>
              <w:rPr>
                <w:rFonts w:ascii="Arial" w:eastAsia="Arial" w:hAnsi="Arial" w:cs="Arial"/>
                <w:sz w:val="16"/>
                <w:szCs w:val="16"/>
              </w:rPr>
              <w:t>Ley General de Instituciones y Procedimientos Electorales.</w:t>
            </w:r>
          </w:p>
        </w:tc>
      </w:tr>
      <w:tr w:rsidR="00FD2E52" w14:paraId="07D6E10A" w14:textId="77777777">
        <w:trPr>
          <w:trHeight w:val="184"/>
          <w:jc w:val="center"/>
        </w:trPr>
        <w:tc>
          <w:tcPr>
            <w:tcW w:w="1700" w:type="dxa"/>
          </w:tcPr>
          <w:p w14:paraId="61A24F19" w14:textId="77777777" w:rsidR="00FD2E52" w:rsidRDefault="007C7D9E">
            <w:pPr>
              <w:spacing w:line="276" w:lineRule="auto"/>
              <w:jc w:val="both"/>
              <w:rPr>
                <w:rFonts w:ascii="Arial" w:eastAsia="Arial" w:hAnsi="Arial" w:cs="Arial"/>
                <w:b/>
                <w:sz w:val="16"/>
                <w:szCs w:val="16"/>
              </w:rPr>
            </w:pPr>
            <w:r>
              <w:rPr>
                <w:rFonts w:ascii="Arial" w:eastAsia="Arial" w:hAnsi="Arial" w:cs="Arial"/>
                <w:b/>
                <w:sz w:val="16"/>
                <w:szCs w:val="16"/>
              </w:rPr>
              <w:t>Morena:</w:t>
            </w:r>
          </w:p>
          <w:p w14:paraId="2AC16D1E" w14:textId="77777777" w:rsidR="00FD2E52" w:rsidRDefault="007C7D9E">
            <w:pPr>
              <w:spacing w:line="276" w:lineRule="auto"/>
              <w:jc w:val="both"/>
              <w:rPr>
                <w:rFonts w:ascii="Arial" w:eastAsia="Arial" w:hAnsi="Arial" w:cs="Arial"/>
                <w:b/>
                <w:sz w:val="16"/>
                <w:szCs w:val="16"/>
              </w:rPr>
            </w:pPr>
            <w:r>
              <w:rPr>
                <w:rFonts w:ascii="Arial" w:eastAsia="Arial" w:hAnsi="Arial" w:cs="Arial"/>
                <w:b/>
                <w:sz w:val="16"/>
                <w:szCs w:val="16"/>
              </w:rPr>
              <w:t>Secretario Ejecutivo:</w:t>
            </w:r>
          </w:p>
        </w:tc>
        <w:tc>
          <w:tcPr>
            <w:tcW w:w="4532" w:type="dxa"/>
          </w:tcPr>
          <w:p w14:paraId="5983D51D" w14:textId="77777777" w:rsidR="00FD2E52" w:rsidRDefault="007C7D9E">
            <w:pPr>
              <w:spacing w:line="276" w:lineRule="auto"/>
              <w:ind w:right="-95"/>
              <w:jc w:val="both"/>
              <w:rPr>
                <w:rFonts w:ascii="Arial" w:eastAsia="Arial" w:hAnsi="Arial" w:cs="Arial"/>
                <w:sz w:val="16"/>
                <w:szCs w:val="16"/>
              </w:rPr>
            </w:pPr>
            <w:r>
              <w:rPr>
                <w:rFonts w:ascii="Arial" w:eastAsia="Arial" w:hAnsi="Arial" w:cs="Arial"/>
                <w:sz w:val="16"/>
                <w:szCs w:val="16"/>
              </w:rPr>
              <w:t xml:space="preserve">Movimiento de Regeneración Nacional. </w:t>
            </w:r>
          </w:p>
          <w:p w14:paraId="3193A2BC" w14:textId="77777777" w:rsidR="00FD2E52" w:rsidRDefault="007C7D9E">
            <w:pPr>
              <w:spacing w:line="276" w:lineRule="auto"/>
              <w:ind w:right="-95"/>
              <w:jc w:val="both"/>
              <w:rPr>
                <w:rFonts w:ascii="Arial" w:eastAsia="Arial" w:hAnsi="Arial" w:cs="Arial"/>
                <w:sz w:val="16"/>
                <w:szCs w:val="16"/>
              </w:rPr>
            </w:pPr>
            <w:r>
              <w:rPr>
                <w:rFonts w:ascii="Arial" w:eastAsia="Arial" w:hAnsi="Arial" w:cs="Arial"/>
                <w:sz w:val="16"/>
                <w:szCs w:val="16"/>
              </w:rPr>
              <w:t xml:space="preserve">Secretario Ejecutivo del Instituto Estatal Electoral. </w:t>
            </w:r>
          </w:p>
        </w:tc>
      </w:tr>
    </w:tbl>
    <w:p w14:paraId="5983EED5" w14:textId="77777777" w:rsidR="00FD2E52" w:rsidRDefault="00FD2E52">
      <w:pPr>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356E560B" w14:textId="77777777" w:rsidR="00FD2E52" w:rsidRDefault="007C7D9E">
      <w:pPr>
        <w:numPr>
          <w:ilvl w:val="0"/>
          <w:numId w:val="2"/>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t>Antecedentes del caso</w:t>
      </w:r>
      <w:r>
        <w:rPr>
          <w:rFonts w:ascii="Arial" w:eastAsia="Arial" w:hAnsi="Arial" w:cs="Arial"/>
          <w:b/>
          <w:color w:val="000000"/>
          <w:sz w:val="24"/>
          <w:szCs w:val="24"/>
          <w:vertAlign w:val="superscript"/>
        </w:rPr>
        <w:footnoteReference w:id="2"/>
      </w:r>
    </w:p>
    <w:p w14:paraId="64E7B6B7" w14:textId="77777777" w:rsidR="00FD2E52" w:rsidRDefault="00FD2E52">
      <w:pPr>
        <w:pBdr>
          <w:top w:val="nil"/>
          <w:left w:val="nil"/>
          <w:bottom w:val="nil"/>
          <w:right w:val="nil"/>
          <w:between w:val="nil"/>
        </w:pBdr>
        <w:rPr>
          <w:color w:val="000000"/>
        </w:rPr>
      </w:pPr>
    </w:p>
    <w:p w14:paraId="285978B4" w14:textId="77777777" w:rsidR="00FD2E52" w:rsidRDefault="007C7D9E">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0B784C4A" w14:textId="77777777" w:rsidR="00FD2E52" w:rsidRDefault="00FD2E52">
      <w:pPr>
        <w:pBdr>
          <w:top w:val="nil"/>
          <w:left w:val="nil"/>
          <w:bottom w:val="nil"/>
          <w:right w:val="nil"/>
          <w:between w:val="nil"/>
        </w:pBdr>
        <w:rPr>
          <w:color w:val="000000"/>
        </w:rPr>
      </w:pPr>
    </w:p>
    <w:p w14:paraId="21135D85" w14:textId="77777777" w:rsidR="00FD2E52" w:rsidRDefault="007C7D9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4" w:name="_heading=h.1fob9te" w:colFirst="0" w:colLast="0"/>
      <w:bookmarkEnd w:id="4"/>
      <w:r>
        <w:rPr>
          <w:rFonts w:ascii="Arial" w:eastAsia="Arial" w:hAnsi="Arial" w:cs="Arial"/>
          <w:b/>
          <w:sz w:val="24"/>
          <w:szCs w:val="24"/>
        </w:rPr>
        <w:t xml:space="preserve">2. Denuncia. </w:t>
      </w:r>
      <w:r>
        <w:rPr>
          <w:rFonts w:ascii="Arial" w:eastAsia="Arial" w:hAnsi="Arial" w:cs="Arial"/>
          <w:sz w:val="24"/>
          <w:szCs w:val="24"/>
        </w:rPr>
        <w:t xml:space="preserve">El 27 de mayo, Morena presentó una queja ante el Instituto Local, en contra de Natzielly Teresita Rodríguez Calzada, entonces candidata de FXM Aguascalientes, a la gubernatura del estado, por la supuesta colocación de propaganda electoral tipo lona, en elementos de equipamiento urbano, específicamente en puentes peatonales, lo cual implica una vulneración a la normativa electoral en cuanto al principio de equidad en la contienda y contra del instituto político postulante, por </w:t>
      </w:r>
      <w:r>
        <w:rPr>
          <w:rFonts w:ascii="Arial" w:eastAsia="Arial" w:hAnsi="Arial" w:cs="Arial"/>
          <w:i/>
          <w:sz w:val="24"/>
          <w:szCs w:val="24"/>
        </w:rPr>
        <w:t>culpa in vigilando</w:t>
      </w:r>
      <w:r>
        <w:rPr>
          <w:rFonts w:ascii="Arial" w:eastAsia="Arial" w:hAnsi="Arial" w:cs="Arial"/>
          <w:sz w:val="24"/>
          <w:szCs w:val="24"/>
        </w:rPr>
        <w:t>. También solicitó la adopción de medidas cautelares.</w:t>
      </w:r>
    </w:p>
    <w:p w14:paraId="7EF7785A" w14:textId="77777777" w:rsidR="00FD2E52" w:rsidRDefault="00FD2E52">
      <w:pPr>
        <w:pBdr>
          <w:top w:val="nil"/>
          <w:left w:val="nil"/>
          <w:bottom w:val="nil"/>
          <w:right w:val="nil"/>
          <w:between w:val="nil"/>
        </w:pBdr>
        <w:rPr>
          <w:color w:val="000000"/>
        </w:rPr>
      </w:pPr>
    </w:p>
    <w:p w14:paraId="76D10802" w14:textId="77777777" w:rsidR="00FD2E52" w:rsidRDefault="007C7D9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Radicación y admisión (IEE/PES/068/2022).</w:t>
      </w:r>
      <w:r>
        <w:rPr>
          <w:rFonts w:ascii="Arial" w:eastAsia="Arial" w:hAnsi="Arial" w:cs="Arial"/>
          <w:sz w:val="24"/>
          <w:szCs w:val="24"/>
        </w:rPr>
        <w:t xml:space="preserve"> Al día siguiente, el Secretario Ejecutivo radicó la queja, asignándole el número de expediente IEE/PES/068/2022. El 1 de junio, admitió a trámite la denuncia y, además, fijó fecha para la celebración de la audiencia de pruebas y alegatos. </w:t>
      </w:r>
    </w:p>
    <w:p w14:paraId="4C2D238C" w14:textId="77777777" w:rsidR="00FD2E52" w:rsidRDefault="00FD2E52">
      <w:pPr>
        <w:pBdr>
          <w:top w:val="nil"/>
          <w:left w:val="nil"/>
          <w:bottom w:val="nil"/>
          <w:right w:val="nil"/>
          <w:between w:val="nil"/>
        </w:pBdr>
        <w:rPr>
          <w:color w:val="000000"/>
        </w:rPr>
      </w:pPr>
    </w:p>
    <w:p w14:paraId="7AB97E35" w14:textId="77777777" w:rsidR="00FD2E52" w:rsidRDefault="007C7D9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 Valoración de las medidas cautelares.</w:t>
      </w:r>
      <w:r>
        <w:rPr>
          <w:rFonts w:ascii="Arial" w:eastAsia="Arial" w:hAnsi="Arial" w:cs="Arial"/>
          <w:sz w:val="24"/>
          <w:szCs w:val="24"/>
        </w:rPr>
        <w:t xml:space="preserve"> El 3 consecuente, el Secretario Ejecutivo determinó no proponer la adopción de las medidas cautelares a la Comisión de Quejas y Denuncias, solicitadas por el quejoso. Lo anterior, lo consideró así, porque derivado de la oficialía electoral (IEE/OE/098/2022), se logró comprobar que si bien se colocó propaganda electoral en equipamiento urbano, esta no atenta contra la funcionalidad del bien. </w:t>
      </w:r>
    </w:p>
    <w:p w14:paraId="392BBAFB" w14:textId="77777777" w:rsidR="00FD2E52" w:rsidRDefault="00FD2E52">
      <w:pPr>
        <w:pBdr>
          <w:top w:val="nil"/>
          <w:left w:val="nil"/>
          <w:bottom w:val="nil"/>
          <w:right w:val="nil"/>
          <w:between w:val="nil"/>
        </w:pBdr>
        <w:rPr>
          <w:color w:val="000000"/>
        </w:rPr>
      </w:pPr>
    </w:p>
    <w:p w14:paraId="5DB0EF3F" w14:textId="77777777" w:rsidR="00FD2E52" w:rsidRDefault="007C7D9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Audiencia de pruebas y alegatos, y remisión del expediente.</w:t>
      </w:r>
      <w:r>
        <w:rPr>
          <w:rFonts w:ascii="Arial" w:eastAsia="Arial" w:hAnsi="Arial" w:cs="Arial"/>
          <w:sz w:val="24"/>
          <w:szCs w:val="24"/>
        </w:rPr>
        <w:t xml:space="preserve"> El 5 del mismo mes, la Secretaría Ejecutiva celebró la audiencia de pruebas y alegatos, y a su vez, </w:t>
      </w:r>
      <w:r>
        <w:rPr>
          <w:rFonts w:ascii="Arial" w:eastAsia="Arial" w:hAnsi="Arial" w:cs="Arial"/>
          <w:sz w:val="24"/>
          <w:szCs w:val="24"/>
        </w:rPr>
        <w:lastRenderedPageBreak/>
        <w:t xml:space="preserve">rindió el informe circunstanciado. Al día siguiente, remitió el expediente a este Tribunal. </w:t>
      </w:r>
    </w:p>
    <w:p w14:paraId="67D72956" w14:textId="77777777" w:rsidR="00FD2E52" w:rsidRDefault="00FD2E52">
      <w:pPr>
        <w:pBdr>
          <w:top w:val="nil"/>
          <w:left w:val="nil"/>
          <w:bottom w:val="nil"/>
          <w:right w:val="nil"/>
          <w:between w:val="nil"/>
        </w:pBdr>
        <w:rPr>
          <w:color w:val="000000"/>
        </w:rPr>
      </w:pPr>
    </w:p>
    <w:p w14:paraId="4459C632" w14:textId="77777777" w:rsidR="00FD2E52" w:rsidRDefault="007C7D9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 Turno y radicación del expediente TEEA-PES-050/2022.</w:t>
      </w:r>
      <w:r>
        <w:rPr>
          <w:rFonts w:ascii="Arial" w:eastAsia="Arial" w:hAnsi="Arial" w:cs="Arial"/>
          <w:sz w:val="24"/>
          <w:szCs w:val="24"/>
        </w:rPr>
        <w:t xml:space="preserve"> En misma fecha, la Magistrada Presidenta ordenó el registro del asunto con el número de expediente TEEA-PES-053/2022 y lo turnó a la Ponencia de la Magistrada Laura Hortensia Llamas Hernández, quien en su oportunidad lo radicó, y al no existir ningún trámite pendiente, ordenó la formulación del proyecto.</w:t>
      </w:r>
      <w:r>
        <w:rPr>
          <w:rFonts w:ascii="Arial" w:eastAsia="Arial" w:hAnsi="Arial" w:cs="Arial"/>
          <w:sz w:val="24"/>
          <w:szCs w:val="24"/>
          <w:vertAlign w:val="superscript"/>
        </w:rPr>
        <w:footnoteReference w:id="4"/>
      </w:r>
    </w:p>
    <w:p w14:paraId="431552F7" w14:textId="77777777" w:rsidR="00FD2E52" w:rsidRDefault="00FD2E52">
      <w:pPr>
        <w:pBdr>
          <w:top w:val="nil"/>
          <w:left w:val="nil"/>
          <w:bottom w:val="nil"/>
          <w:right w:val="nil"/>
          <w:between w:val="nil"/>
        </w:pBdr>
        <w:rPr>
          <w:color w:val="000000"/>
        </w:rPr>
      </w:pPr>
    </w:p>
    <w:p w14:paraId="241CAFAA" w14:textId="77777777" w:rsidR="00FD2E52" w:rsidRDefault="007C7D9E">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II. Competencia. </w:t>
      </w:r>
      <w:r>
        <w:rPr>
          <w:rFonts w:ascii="Arial" w:eastAsia="Arial" w:hAnsi="Arial" w:cs="Arial"/>
          <w:sz w:val="24"/>
          <w:szCs w:val="24"/>
        </w:rPr>
        <w:t xml:space="preserve">Este Tribunal Electoral es competente para resolver el presente procedimiento especial sancionador, porque se relaciona con la posible vulneración a la normativa electoral en materia de propaganda electoral, derivado de la colocación de esta en elementos del equipamiento urbano, prohibición que se encuentra prevista en el artículo 163, fracción I, del Código Electoral. Lo anterior, de conformidad con los artículos 252, fracción II, 268, fracción II, 274 y 275 del Código Electoral. </w:t>
      </w:r>
    </w:p>
    <w:p w14:paraId="7B8BCFBE" w14:textId="77777777" w:rsidR="00FD2E52" w:rsidRDefault="00FD2E52">
      <w:pPr>
        <w:pBdr>
          <w:top w:val="nil"/>
          <w:left w:val="nil"/>
          <w:bottom w:val="nil"/>
          <w:right w:val="nil"/>
          <w:between w:val="nil"/>
        </w:pBdr>
        <w:rPr>
          <w:color w:val="000000"/>
        </w:rPr>
      </w:pPr>
    </w:p>
    <w:p w14:paraId="3DAD94B3" w14:textId="77777777" w:rsidR="00FD2E52" w:rsidRDefault="007C7D9E">
      <w:pPr>
        <w:numPr>
          <w:ilvl w:val="0"/>
          <w:numId w:val="3"/>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r>
        <w:rPr>
          <w:rFonts w:ascii="Arial" w:eastAsia="Arial" w:hAnsi="Arial" w:cs="Arial"/>
          <w:b/>
          <w:color w:val="000000"/>
          <w:sz w:val="24"/>
          <w:szCs w:val="24"/>
        </w:rPr>
        <w:t xml:space="preserve"> Personería. </w:t>
      </w:r>
      <w:r>
        <w:rPr>
          <w:rFonts w:ascii="Arial" w:eastAsia="Arial" w:hAnsi="Arial" w:cs="Arial"/>
          <w:color w:val="000000"/>
          <w:sz w:val="24"/>
          <w:szCs w:val="24"/>
        </w:rPr>
        <w:t>La autoridad instructora tuvo por acreditada la personería del denunciante y los denunciados.</w:t>
      </w:r>
    </w:p>
    <w:p w14:paraId="472E676D" w14:textId="77777777" w:rsidR="00FD2E52" w:rsidRDefault="00FD2E52">
      <w:pPr>
        <w:pBdr>
          <w:top w:val="nil"/>
          <w:left w:val="nil"/>
          <w:bottom w:val="nil"/>
          <w:right w:val="nil"/>
          <w:between w:val="nil"/>
        </w:pBdr>
        <w:rPr>
          <w:color w:val="000000"/>
        </w:rPr>
      </w:pPr>
    </w:p>
    <w:p w14:paraId="5A42969D" w14:textId="77777777" w:rsidR="00FD2E52" w:rsidRDefault="007C7D9E">
      <w:pPr>
        <w:numPr>
          <w:ilvl w:val="0"/>
          <w:numId w:val="3"/>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r>
        <w:rPr>
          <w:rFonts w:ascii="Arial" w:eastAsia="Arial" w:hAnsi="Arial" w:cs="Arial"/>
          <w:b/>
          <w:color w:val="000000"/>
          <w:sz w:val="24"/>
          <w:szCs w:val="24"/>
        </w:rPr>
        <w:t xml:space="preserve">Causales de improcedencia. </w:t>
      </w:r>
      <w:r>
        <w:rPr>
          <w:rFonts w:ascii="Arial" w:eastAsia="Arial" w:hAnsi="Arial" w:cs="Arial"/>
          <w:color w:val="000000"/>
          <w:sz w:val="24"/>
          <w:szCs w:val="24"/>
        </w:rPr>
        <w:t xml:space="preserve">La ciudadana Natzielly Teresita Rodríguez Calzada y el partido FXM Aguascalientes, en sus escritos de contestación, refieren que la denuncia presentada en su contra es </w:t>
      </w:r>
      <w:r>
        <w:rPr>
          <w:rFonts w:ascii="Arial" w:eastAsia="Arial" w:hAnsi="Arial" w:cs="Arial"/>
          <w:b/>
          <w:color w:val="000000"/>
          <w:sz w:val="24"/>
          <w:szCs w:val="24"/>
        </w:rPr>
        <w:t>frívola</w:t>
      </w:r>
      <w:r>
        <w:rPr>
          <w:rFonts w:ascii="Arial" w:eastAsia="Arial" w:hAnsi="Arial" w:cs="Arial"/>
          <w:color w:val="000000"/>
          <w:sz w:val="24"/>
          <w:szCs w:val="24"/>
        </w:rPr>
        <w:t>, ya que no se ofrecieron elementos de prueba que permitan acreditar los hechos denunciados.</w:t>
      </w:r>
    </w:p>
    <w:p w14:paraId="4798F2F4" w14:textId="77777777" w:rsidR="00FD2E52" w:rsidRDefault="00FD2E52">
      <w:pPr>
        <w:pBdr>
          <w:top w:val="nil"/>
          <w:left w:val="nil"/>
          <w:bottom w:val="nil"/>
          <w:right w:val="nil"/>
          <w:between w:val="nil"/>
        </w:pBdr>
        <w:rPr>
          <w:color w:val="000000"/>
        </w:rPr>
      </w:pPr>
    </w:p>
    <w:p w14:paraId="51AD6663" w14:textId="77777777" w:rsidR="00FD2E52" w:rsidRDefault="007C7D9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El artículo 270, fracción V, del Código Electoral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043DC573" w14:textId="77777777" w:rsidR="00FD2E52" w:rsidRDefault="00FD2E52">
      <w:pPr>
        <w:pBdr>
          <w:top w:val="nil"/>
          <w:left w:val="nil"/>
          <w:bottom w:val="nil"/>
          <w:right w:val="nil"/>
          <w:between w:val="nil"/>
        </w:pBdr>
        <w:rPr>
          <w:color w:val="000000"/>
        </w:rPr>
      </w:pPr>
    </w:p>
    <w:p w14:paraId="50CC8C51" w14:textId="77777777" w:rsidR="00FD2E52" w:rsidRDefault="007C7D9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522FDA76" w14:textId="77777777" w:rsidR="00FD2E52" w:rsidRDefault="00FD2E52" w:rsidP="00061609">
      <w:pPr>
        <w:pStyle w:val="Sinespaciado"/>
        <w:rPr>
          <w:rFonts w:eastAsia="Arial"/>
        </w:rPr>
      </w:pPr>
    </w:p>
    <w:p w14:paraId="10DCD54F" w14:textId="77777777" w:rsidR="00FD2E52" w:rsidRDefault="007C7D9E">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Ahora bien, en cuanto a los argumentos encaminados a desacreditar que los hechos cuestionados no constituyen una violación en materia de propaganda </w:t>
      </w:r>
      <w:r>
        <w:rPr>
          <w:rFonts w:ascii="Arial" w:eastAsia="Arial" w:hAnsi="Arial" w:cs="Arial"/>
          <w:sz w:val="24"/>
          <w:szCs w:val="24"/>
        </w:rPr>
        <w:lastRenderedPageBreak/>
        <w:t xml:space="preserve">político-electoral, este órgano jurisdiccional estima que dado que se denuncia la colocación de lonas que promueven la candidatura de la denunciada en puentes peatonales, ello constituye la posible vulneración al artículo 163, fracción I, del Código Electoral. Por lo anterior, la conducta denunciada sí se encuentra prevista en la normativa electoral, y por ello, la posible inobservancia a tal prohibición debe ser materia de estudio por este Tribunal Electoral. </w:t>
      </w:r>
    </w:p>
    <w:p w14:paraId="02EFF585" w14:textId="77777777" w:rsidR="00FD2E52" w:rsidRDefault="00FD2E52">
      <w:pPr>
        <w:pBdr>
          <w:top w:val="nil"/>
          <w:left w:val="nil"/>
          <w:bottom w:val="nil"/>
          <w:right w:val="nil"/>
          <w:between w:val="nil"/>
        </w:pBdr>
        <w:rPr>
          <w:color w:val="000000"/>
        </w:rPr>
      </w:pPr>
    </w:p>
    <w:p w14:paraId="4AAA9D2C" w14:textId="77777777" w:rsidR="00FD2E52" w:rsidRDefault="007C7D9E">
      <w:pPr>
        <w:numPr>
          <w:ilvl w:val="0"/>
          <w:numId w:val="3"/>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 xml:space="preserve">Estudio de fondo </w:t>
      </w:r>
    </w:p>
    <w:p w14:paraId="0E5C8120" w14:textId="77777777" w:rsidR="00FD2E52" w:rsidRDefault="00FD2E52">
      <w:pPr>
        <w:pBdr>
          <w:top w:val="nil"/>
          <w:left w:val="nil"/>
          <w:bottom w:val="nil"/>
          <w:right w:val="nil"/>
          <w:between w:val="nil"/>
        </w:pBdr>
        <w:rPr>
          <w:color w:val="000000"/>
          <w:sz w:val="14"/>
          <w:szCs w:val="14"/>
        </w:rPr>
      </w:pPr>
    </w:p>
    <w:p w14:paraId="0DD24E78" w14:textId="77777777" w:rsidR="00FD2E52" w:rsidRDefault="007C7D9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5818FAA7" w14:textId="77777777" w:rsidR="00FD2E52" w:rsidRDefault="00FD2E52">
      <w:pPr>
        <w:pBdr>
          <w:top w:val="nil"/>
          <w:left w:val="nil"/>
          <w:bottom w:val="nil"/>
          <w:right w:val="nil"/>
          <w:between w:val="nil"/>
        </w:pBdr>
        <w:rPr>
          <w:color w:val="000000"/>
          <w:sz w:val="16"/>
          <w:szCs w:val="16"/>
        </w:rPr>
      </w:pPr>
    </w:p>
    <w:p w14:paraId="5154C730" w14:textId="77777777" w:rsidR="00FD2E52" w:rsidRDefault="007C7D9E">
      <w:pPr>
        <w:numPr>
          <w:ilvl w:val="1"/>
          <w:numId w:val="6"/>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5" w:name="_heading=h.3znysh7" w:colFirst="0" w:colLast="0"/>
      <w:bookmarkEnd w:id="5"/>
      <w:r>
        <w:rPr>
          <w:rFonts w:ascii="Arial" w:eastAsia="Arial" w:hAnsi="Arial" w:cs="Arial"/>
          <w:b/>
          <w:i/>
          <w:sz w:val="24"/>
          <w:szCs w:val="24"/>
        </w:rPr>
        <w:t xml:space="preserve"> </w:t>
      </w:r>
      <w:r>
        <w:rPr>
          <w:rFonts w:ascii="Arial" w:eastAsia="Arial" w:hAnsi="Arial" w:cs="Arial"/>
          <w:b/>
          <w:sz w:val="24"/>
          <w:szCs w:val="24"/>
        </w:rPr>
        <w:t xml:space="preserve">En contra de Natzielly Teresita Rodríguez Calzada. </w:t>
      </w:r>
      <w:r>
        <w:rPr>
          <w:rFonts w:ascii="Arial" w:eastAsia="Arial" w:hAnsi="Arial" w:cs="Arial"/>
          <w:color w:val="000000"/>
          <w:sz w:val="24"/>
          <w:szCs w:val="24"/>
        </w:rPr>
        <w:t>Morena refiere que la candidata denunciada, vulneró la normativa en materia de propaganda electoral derivado de la colocación de esta, en elementos del equipamiento urbano, específicamente, en puentes peatonales, con lo cual buscó un mejor posicionamiento frente a la ciudadanía, violentando, además, el principio de equidad en la contienda</w:t>
      </w:r>
      <w:r>
        <w:rPr>
          <w:rFonts w:ascii="Arial" w:eastAsia="Arial" w:hAnsi="Arial" w:cs="Arial"/>
          <w:sz w:val="24"/>
          <w:szCs w:val="24"/>
        </w:rPr>
        <w:t xml:space="preserve">. </w:t>
      </w:r>
    </w:p>
    <w:p w14:paraId="3C6A5334" w14:textId="77777777" w:rsidR="00FD2E52" w:rsidRDefault="00FD2E52">
      <w:pPr>
        <w:pBdr>
          <w:top w:val="nil"/>
          <w:left w:val="nil"/>
          <w:bottom w:val="nil"/>
          <w:right w:val="nil"/>
          <w:between w:val="nil"/>
        </w:pBdr>
        <w:rPr>
          <w:color w:val="000000"/>
        </w:rPr>
      </w:pPr>
    </w:p>
    <w:p w14:paraId="5606D8C4" w14:textId="77777777" w:rsidR="00FD2E52" w:rsidRDefault="007C7D9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sz w:val="24"/>
          <w:szCs w:val="24"/>
        </w:rPr>
        <w:t>La colocación de la propaganda denunciada se realizó de la siguiente manera</w:t>
      </w:r>
      <w:r>
        <w:rPr>
          <w:rFonts w:ascii="Arial" w:eastAsia="Arial" w:hAnsi="Arial" w:cs="Arial"/>
          <w:color w:val="000000"/>
          <w:sz w:val="24"/>
          <w:szCs w:val="24"/>
        </w:rPr>
        <w:t xml:space="preserve">: </w:t>
      </w:r>
    </w:p>
    <w:p w14:paraId="5FB6C01A" w14:textId="77777777" w:rsidR="00FD2E52" w:rsidRDefault="00FD2E52">
      <w:pPr>
        <w:pBdr>
          <w:top w:val="nil"/>
          <w:left w:val="nil"/>
          <w:bottom w:val="nil"/>
          <w:right w:val="nil"/>
          <w:between w:val="nil"/>
        </w:pBdr>
        <w:rPr>
          <w:color w:val="000000"/>
        </w:rPr>
      </w:pPr>
    </w:p>
    <w:tbl>
      <w:tblPr>
        <w:tblStyle w:val="aa"/>
        <w:tblW w:w="9634"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00" w:firstRow="0" w:lastRow="0" w:firstColumn="0" w:lastColumn="0" w:noHBand="0" w:noVBand="1"/>
      </w:tblPr>
      <w:tblGrid>
        <w:gridCol w:w="5098"/>
        <w:gridCol w:w="4536"/>
      </w:tblGrid>
      <w:tr w:rsidR="00FD2E52" w14:paraId="760B4192" w14:textId="77777777" w:rsidTr="00FD2E52">
        <w:trPr>
          <w:cnfStyle w:val="000000100000" w:firstRow="0" w:lastRow="0" w:firstColumn="0" w:lastColumn="0" w:oddVBand="0" w:evenVBand="0" w:oddHBand="1" w:evenHBand="0" w:firstRowFirstColumn="0" w:firstRowLastColumn="0" w:lastRowFirstColumn="0" w:lastRowLastColumn="0"/>
        </w:trPr>
        <w:tc>
          <w:tcPr>
            <w:tcW w:w="5098" w:type="dxa"/>
          </w:tcPr>
          <w:p w14:paraId="00F48AAD" w14:textId="77777777" w:rsidR="00FD2E52" w:rsidRDefault="007C7D9E">
            <w:pPr>
              <w:tabs>
                <w:tab w:val="left" w:pos="426"/>
              </w:tabs>
              <w:spacing w:line="360" w:lineRule="auto"/>
              <w:ind w:right="36"/>
              <w:jc w:val="center"/>
              <w:rPr>
                <w:rFonts w:ascii="Arial" w:eastAsia="Arial" w:hAnsi="Arial" w:cs="Arial"/>
                <w:b/>
                <w:sz w:val="24"/>
                <w:szCs w:val="24"/>
              </w:rPr>
            </w:pPr>
            <w:r>
              <w:rPr>
                <w:rFonts w:ascii="Arial" w:eastAsia="Arial" w:hAnsi="Arial" w:cs="Arial"/>
                <w:b/>
                <w:sz w:val="24"/>
                <w:szCs w:val="24"/>
              </w:rPr>
              <w:t xml:space="preserve">Imagen </w:t>
            </w:r>
          </w:p>
        </w:tc>
        <w:tc>
          <w:tcPr>
            <w:tcW w:w="4536" w:type="dxa"/>
          </w:tcPr>
          <w:p w14:paraId="4078D189" w14:textId="77777777" w:rsidR="00FD2E52" w:rsidRDefault="007C7D9E">
            <w:pPr>
              <w:tabs>
                <w:tab w:val="left" w:pos="426"/>
              </w:tabs>
              <w:spacing w:line="360" w:lineRule="auto"/>
              <w:ind w:right="36"/>
              <w:jc w:val="center"/>
              <w:rPr>
                <w:rFonts w:ascii="Arial" w:eastAsia="Arial" w:hAnsi="Arial" w:cs="Arial"/>
                <w:b/>
                <w:sz w:val="24"/>
                <w:szCs w:val="24"/>
              </w:rPr>
            </w:pPr>
            <w:r>
              <w:rPr>
                <w:rFonts w:ascii="Arial" w:eastAsia="Arial" w:hAnsi="Arial" w:cs="Arial"/>
                <w:b/>
                <w:sz w:val="24"/>
                <w:szCs w:val="24"/>
              </w:rPr>
              <w:t>Descripción</w:t>
            </w:r>
          </w:p>
        </w:tc>
      </w:tr>
      <w:tr w:rsidR="00FD2E52" w14:paraId="23455620" w14:textId="77777777" w:rsidTr="00FD2E52">
        <w:trPr>
          <w:trHeight w:val="699"/>
        </w:trPr>
        <w:tc>
          <w:tcPr>
            <w:tcW w:w="5098" w:type="dxa"/>
          </w:tcPr>
          <w:p w14:paraId="28DF6A50" w14:textId="77777777" w:rsidR="00FD2E52" w:rsidRDefault="007C7D9E">
            <w:pPr>
              <w:tabs>
                <w:tab w:val="left" w:pos="426"/>
              </w:tabs>
              <w:spacing w:line="360" w:lineRule="auto"/>
              <w:ind w:right="36"/>
              <w:jc w:val="center"/>
              <w:rPr>
                <w:rFonts w:ascii="Arial" w:eastAsia="Arial" w:hAnsi="Arial" w:cs="Arial"/>
                <w:sz w:val="24"/>
                <w:szCs w:val="24"/>
              </w:rPr>
            </w:pPr>
            <w:r>
              <w:rPr>
                <w:noProof/>
              </w:rPr>
              <w:drawing>
                <wp:inline distT="0" distB="0" distL="0" distR="0" wp14:anchorId="6C868EB2" wp14:editId="011D275F">
                  <wp:extent cx="2141660" cy="1641013"/>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4579" t="43262" r="56493" b="30954"/>
                          <a:stretch>
                            <a:fillRect/>
                          </a:stretch>
                        </pic:blipFill>
                        <pic:spPr>
                          <a:xfrm>
                            <a:off x="0" y="0"/>
                            <a:ext cx="2141660" cy="1641013"/>
                          </a:xfrm>
                          <a:prstGeom prst="rect">
                            <a:avLst/>
                          </a:prstGeom>
                          <a:ln/>
                        </pic:spPr>
                      </pic:pic>
                    </a:graphicData>
                  </a:graphic>
                </wp:inline>
              </w:drawing>
            </w:r>
          </w:p>
        </w:tc>
        <w:tc>
          <w:tcPr>
            <w:tcW w:w="4536" w:type="dxa"/>
          </w:tcPr>
          <w:p w14:paraId="1DFE44AC" w14:textId="77777777" w:rsidR="00FD2E52" w:rsidRDefault="007C7D9E">
            <w:pPr>
              <w:pBdr>
                <w:top w:val="nil"/>
                <w:left w:val="nil"/>
                <w:bottom w:val="nil"/>
                <w:right w:val="nil"/>
                <w:between w:val="nil"/>
              </w:pBdr>
              <w:ind w:left="179" w:right="174"/>
              <w:jc w:val="both"/>
              <w:rPr>
                <w:rFonts w:ascii="Arial" w:eastAsia="Arial" w:hAnsi="Arial" w:cs="Arial"/>
                <w:sz w:val="24"/>
                <w:szCs w:val="24"/>
              </w:rPr>
            </w:pPr>
            <w:r>
              <w:rPr>
                <w:rFonts w:ascii="Arial" w:eastAsia="Arial" w:hAnsi="Arial" w:cs="Arial"/>
                <w:sz w:val="24"/>
                <w:szCs w:val="24"/>
                <w:u w:val="single"/>
              </w:rPr>
              <w:t>Localización</w:t>
            </w:r>
            <w:r>
              <w:rPr>
                <w:rFonts w:ascii="Arial" w:eastAsia="Arial" w:hAnsi="Arial" w:cs="Arial"/>
                <w:sz w:val="24"/>
                <w:szCs w:val="24"/>
              </w:rPr>
              <w:t xml:space="preserve">: </w:t>
            </w:r>
          </w:p>
          <w:p w14:paraId="3E9D4A82" w14:textId="77777777" w:rsidR="00FD2E52" w:rsidRDefault="007C7D9E">
            <w:pPr>
              <w:pBdr>
                <w:top w:val="nil"/>
                <w:left w:val="nil"/>
                <w:bottom w:val="nil"/>
                <w:right w:val="nil"/>
                <w:between w:val="nil"/>
              </w:pBdr>
              <w:ind w:left="179" w:right="174"/>
              <w:jc w:val="both"/>
              <w:rPr>
                <w:rFonts w:ascii="Arial" w:eastAsia="Arial" w:hAnsi="Arial" w:cs="Arial"/>
                <w:sz w:val="24"/>
                <w:szCs w:val="24"/>
              </w:rPr>
            </w:pPr>
            <w:r>
              <w:rPr>
                <w:rFonts w:ascii="Arial" w:eastAsia="Arial" w:hAnsi="Arial" w:cs="Arial"/>
                <w:sz w:val="24"/>
                <w:szCs w:val="24"/>
              </w:rPr>
              <w:t>Boulevard José María Chávez, entre la calle Jardín del Estudiante y la avenida de la Convención de 1914 Sur, fraccionamiento Boulevard, Aguascalientes, Ags.</w:t>
            </w:r>
          </w:p>
          <w:p w14:paraId="334036C4" w14:textId="77777777" w:rsidR="00FD2E52" w:rsidRDefault="00FD2E52">
            <w:pPr>
              <w:pBdr>
                <w:top w:val="nil"/>
                <w:left w:val="nil"/>
                <w:bottom w:val="nil"/>
                <w:right w:val="nil"/>
                <w:between w:val="nil"/>
              </w:pBdr>
              <w:ind w:left="179" w:right="174"/>
              <w:jc w:val="both"/>
              <w:rPr>
                <w:rFonts w:ascii="Arial" w:eastAsia="Arial" w:hAnsi="Arial" w:cs="Arial"/>
                <w:sz w:val="24"/>
                <w:szCs w:val="24"/>
              </w:rPr>
            </w:pPr>
          </w:p>
          <w:p w14:paraId="4181D95D" w14:textId="77777777" w:rsidR="00FD2E52" w:rsidRDefault="007C7D9E">
            <w:pPr>
              <w:pBdr>
                <w:top w:val="nil"/>
                <w:left w:val="nil"/>
                <w:bottom w:val="nil"/>
                <w:right w:val="nil"/>
                <w:between w:val="nil"/>
              </w:pBdr>
              <w:ind w:left="179" w:right="174"/>
              <w:jc w:val="both"/>
              <w:rPr>
                <w:rFonts w:ascii="Arial" w:eastAsia="Arial" w:hAnsi="Arial" w:cs="Arial"/>
                <w:sz w:val="24"/>
                <w:szCs w:val="24"/>
              </w:rPr>
            </w:pPr>
            <w:r>
              <w:rPr>
                <w:rFonts w:ascii="Arial" w:eastAsia="Arial" w:hAnsi="Arial" w:cs="Arial"/>
                <w:sz w:val="24"/>
                <w:szCs w:val="24"/>
                <w:u w:val="single"/>
              </w:rPr>
              <w:t>Colocación</w:t>
            </w:r>
            <w:r>
              <w:rPr>
                <w:rFonts w:ascii="Arial" w:eastAsia="Arial" w:hAnsi="Arial" w:cs="Arial"/>
                <w:sz w:val="24"/>
                <w:szCs w:val="24"/>
              </w:rPr>
              <w:t xml:space="preserve">: </w:t>
            </w:r>
          </w:p>
          <w:p w14:paraId="2D7CAEA9" w14:textId="77777777" w:rsidR="00FD2E52" w:rsidRDefault="007C7D9E">
            <w:pPr>
              <w:pBdr>
                <w:top w:val="nil"/>
                <w:left w:val="nil"/>
                <w:bottom w:val="nil"/>
                <w:right w:val="nil"/>
                <w:between w:val="nil"/>
              </w:pBdr>
              <w:ind w:left="179" w:right="174"/>
              <w:jc w:val="both"/>
              <w:rPr>
                <w:rFonts w:ascii="Arial" w:eastAsia="Arial" w:hAnsi="Arial" w:cs="Arial"/>
                <w:sz w:val="24"/>
                <w:szCs w:val="24"/>
              </w:rPr>
            </w:pPr>
            <w:r>
              <w:rPr>
                <w:rFonts w:ascii="Arial" w:eastAsia="Arial" w:hAnsi="Arial" w:cs="Arial"/>
                <w:sz w:val="24"/>
                <w:szCs w:val="24"/>
              </w:rPr>
              <w:t xml:space="preserve">Costado derecho del puente peatonal, en su lado visible de norte a sur. </w:t>
            </w:r>
          </w:p>
        </w:tc>
      </w:tr>
    </w:tbl>
    <w:p w14:paraId="3605BD1A" w14:textId="77777777" w:rsidR="00FD2E52" w:rsidRDefault="00FD2E52">
      <w:pPr>
        <w:pBdr>
          <w:top w:val="nil"/>
          <w:left w:val="nil"/>
          <w:bottom w:val="nil"/>
          <w:right w:val="nil"/>
          <w:between w:val="nil"/>
        </w:pBdr>
        <w:tabs>
          <w:tab w:val="left" w:pos="426"/>
        </w:tabs>
        <w:spacing w:line="360" w:lineRule="auto"/>
        <w:ind w:right="36"/>
        <w:jc w:val="both"/>
      </w:pPr>
    </w:p>
    <w:p w14:paraId="1534601F" w14:textId="77777777" w:rsidR="00FD2E52" w:rsidRDefault="007C7D9E">
      <w:pPr>
        <w:tabs>
          <w:tab w:val="left" w:pos="426"/>
        </w:tabs>
        <w:spacing w:line="360" w:lineRule="auto"/>
        <w:jc w:val="both"/>
        <w:rPr>
          <w:rFonts w:ascii="Arial" w:eastAsia="Arial" w:hAnsi="Arial" w:cs="Arial"/>
          <w:sz w:val="24"/>
          <w:szCs w:val="24"/>
        </w:rPr>
      </w:pPr>
      <w:r>
        <w:rPr>
          <w:rFonts w:ascii="Arial" w:eastAsia="Arial" w:hAnsi="Arial" w:cs="Arial"/>
          <w:b/>
          <w:sz w:val="24"/>
          <w:szCs w:val="24"/>
        </w:rPr>
        <w:t xml:space="preserve">1.2. En contra de FXM Aguascalientes. </w:t>
      </w:r>
      <w:r>
        <w:rPr>
          <w:rFonts w:ascii="Arial" w:eastAsia="Arial" w:hAnsi="Arial" w:cs="Arial"/>
          <w:sz w:val="24"/>
          <w:szCs w:val="24"/>
        </w:rPr>
        <w:t xml:space="preserve">El denunciante menciona que dicho partido </w:t>
      </w:r>
      <w:r>
        <w:rPr>
          <w:rFonts w:ascii="Arial" w:eastAsia="Arial" w:hAnsi="Arial" w:cs="Arial"/>
          <w:b/>
          <w:sz w:val="24"/>
          <w:szCs w:val="24"/>
        </w:rPr>
        <w:t xml:space="preserve">incumplió su deber de cuidar </w:t>
      </w:r>
      <w:r>
        <w:rPr>
          <w:rFonts w:ascii="Arial" w:eastAsia="Arial" w:hAnsi="Arial" w:cs="Arial"/>
          <w:sz w:val="24"/>
          <w:szCs w:val="24"/>
        </w:rPr>
        <w:t>que la candidata que postularon no vulnerara la normativa electoral.</w:t>
      </w:r>
    </w:p>
    <w:p w14:paraId="1558384A" w14:textId="77777777" w:rsidR="00FD2E52" w:rsidRDefault="00FD2E52">
      <w:pPr>
        <w:pBdr>
          <w:top w:val="nil"/>
          <w:left w:val="nil"/>
          <w:bottom w:val="nil"/>
          <w:right w:val="nil"/>
          <w:between w:val="nil"/>
        </w:pBdr>
        <w:rPr>
          <w:color w:val="000000"/>
          <w:sz w:val="16"/>
          <w:szCs w:val="16"/>
        </w:rPr>
      </w:pPr>
    </w:p>
    <w:p w14:paraId="74743D1B" w14:textId="77777777" w:rsidR="00FD2E52" w:rsidRDefault="007C7D9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w:t>
      </w:r>
      <w:r>
        <w:rPr>
          <w:rFonts w:ascii="Arial" w:eastAsia="Arial" w:hAnsi="Arial" w:cs="Arial"/>
          <w:sz w:val="24"/>
          <w:szCs w:val="24"/>
        </w:rPr>
        <w:t xml:space="preserve">argumentaron </w:t>
      </w:r>
      <w:r>
        <w:rPr>
          <w:rFonts w:ascii="Arial" w:eastAsia="Arial" w:hAnsi="Arial" w:cs="Arial"/>
          <w:color w:val="000000"/>
          <w:sz w:val="24"/>
          <w:szCs w:val="24"/>
        </w:rPr>
        <w:t>lo siguiente:</w:t>
      </w:r>
    </w:p>
    <w:p w14:paraId="2A5926ED" w14:textId="77777777" w:rsidR="00FD2E52" w:rsidRDefault="007C7D9E">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Afirman que la colocación de la propaganda electoral denunciada no constituye una vulneración a la normativa electoral, ya que se trata de un espacio destinado a fines publicitarios y, además, no se afecta la estructura ni la utilidad del puente peatonal. </w:t>
      </w:r>
    </w:p>
    <w:p w14:paraId="39371E27" w14:textId="77777777" w:rsidR="00FD2E52" w:rsidRDefault="007C7D9E">
      <w:pPr>
        <w:numPr>
          <w:ilvl w:val="0"/>
          <w:numId w:val="1"/>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Estiman que la lona propagandística no representa contaminación visual ni obstáculo para la orientación y visibilidad de los peatones, al realizarse en el costado del puente peatonal. </w:t>
      </w:r>
    </w:p>
    <w:p w14:paraId="128C7FA9" w14:textId="77777777" w:rsidR="00FD2E52" w:rsidRDefault="00FD2E52">
      <w:pPr>
        <w:pBdr>
          <w:top w:val="nil"/>
          <w:left w:val="nil"/>
          <w:bottom w:val="nil"/>
          <w:right w:val="nil"/>
          <w:between w:val="nil"/>
        </w:pBdr>
        <w:rPr>
          <w:color w:val="000000"/>
          <w:sz w:val="16"/>
          <w:szCs w:val="16"/>
        </w:rPr>
      </w:pPr>
    </w:p>
    <w:p w14:paraId="330A206E" w14:textId="77777777" w:rsidR="00FD2E52" w:rsidRDefault="007C7D9E">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 parte denunciante le fueron admitidas las siguientes probanzas:</w:t>
      </w:r>
    </w:p>
    <w:p w14:paraId="268AF1FB" w14:textId="77777777" w:rsidR="00FD2E52" w:rsidRDefault="00FD2E52" w:rsidP="00061609">
      <w:pPr>
        <w:pStyle w:val="Sinespaciado"/>
        <w:rPr>
          <w:rFonts w:eastAsia="Arial"/>
        </w:rPr>
      </w:pPr>
    </w:p>
    <w:p w14:paraId="3B71F1BE" w14:textId="77777777" w:rsidR="00FD2E52" w:rsidRDefault="007C7D9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partido político denunciante: </w:t>
      </w:r>
    </w:p>
    <w:p w14:paraId="1D53CB69" w14:textId="77777777" w:rsidR="00FD2E52" w:rsidRDefault="00FD2E52">
      <w:pPr>
        <w:pBdr>
          <w:top w:val="nil"/>
          <w:left w:val="nil"/>
          <w:bottom w:val="nil"/>
          <w:right w:val="nil"/>
          <w:between w:val="nil"/>
        </w:pBdr>
        <w:rPr>
          <w:color w:val="000000"/>
        </w:rPr>
      </w:pPr>
    </w:p>
    <w:tbl>
      <w:tblPr>
        <w:tblStyle w:val="ab"/>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21"/>
        <w:gridCol w:w="2145"/>
        <w:gridCol w:w="6250"/>
      </w:tblGrid>
      <w:tr w:rsidR="00FD2E52" w14:paraId="617A5163" w14:textId="77777777" w:rsidTr="00FD2E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2AF3644" w14:textId="77777777" w:rsidR="00FD2E52" w:rsidRDefault="007C7D9E">
            <w:pPr>
              <w:jc w:val="center"/>
              <w:rPr>
                <w:rFonts w:ascii="Arial" w:eastAsia="Arial" w:hAnsi="Arial" w:cs="Arial"/>
                <w:sz w:val="16"/>
                <w:szCs w:val="16"/>
              </w:rPr>
            </w:pPr>
            <w:r>
              <w:rPr>
                <w:rFonts w:ascii="Arial" w:eastAsia="Arial" w:hAnsi="Arial" w:cs="Arial"/>
                <w:color w:val="000000"/>
                <w:sz w:val="16"/>
                <w:szCs w:val="16"/>
              </w:rPr>
              <w:t>#</w:t>
            </w:r>
          </w:p>
        </w:tc>
        <w:tc>
          <w:tcPr>
            <w:tcW w:w="2145" w:type="dxa"/>
          </w:tcPr>
          <w:p w14:paraId="06C18E3F" w14:textId="77777777" w:rsidR="00FD2E52" w:rsidRDefault="007C7D9E">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4A7ABB90" w14:textId="77777777" w:rsidR="00FD2E52" w:rsidRDefault="007C7D9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FD2E52" w14:paraId="4070F79B" w14:textId="77777777" w:rsidTr="00FD2E5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1" w:type="dxa"/>
          </w:tcPr>
          <w:p w14:paraId="2C912725" w14:textId="77777777" w:rsidR="00FD2E52" w:rsidRDefault="007C7D9E">
            <w:pPr>
              <w:jc w:val="center"/>
              <w:rPr>
                <w:rFonts w:ascii="Arial" w:eastAsia="Arial" w:hAnsi="Arial" w:cs="Arial"/>
                <w:sz w:val="16"/>
                <w:szCs w:val="16"/>
              </w:rPr>
            </w:pPr>
            <w:r>
              <w:rPr>
                <w:rFonts w:ascii="Arial" w:eastAsia="Arial" w:hAnsi="Arial" w:cs="Arial"/>
                <w:sz w:val="16"/>
                <w:szCs w:val="16"/>
              </w:rPr>
              <w:t>1</w:t>
            </w:r>
          </w:p>
        </w:tc>
        <w:tc>
          <w:tcPr>
            <w:tcW w:w="2145" w:type="dxa"/>
          </w:tcPr>
          <w:p w14:paraId="57978AA9" w14:textId="77777777" w:rsidR="00FD2E52" w:rsidRDefault="007C7D9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6BAF5586" w14:textId="77777777" w:rsidR="00FD2E52" w:rsidRDefault="007C7D9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Fotografías de las lonas denunciadas, colocadas en equipamiento urbano. </w:t>
            </w:r>
          </w:p>
        </w:tc>
      </w:tr>
      <w:tr w:rsidR="00FD2E52" w14:paraId="2BC6F41A" w14:textId="77777777" w:rsidTr="00FD2E52">
        <w:trPr>
          <w:trHeight w:val="409"/>
        </w:trPr>
        <w:tc>
          <w:tcPr>
            <w:cnfStyle w:val="001000000000" w:firstRow="0" w:lastRow="0" w:firstColumn="1" w:lastColumn="0" w:oddVBand="0" w:evenVBand="0" w:oddHBand="0" w:evenHBand="0" w:firstRowFirstColumn="0" w:firstRowLastColumn="0" w:lastRowFirstColumn="0" w:lastRowLastColumn="0"/>
            <w:tcW w:w="421" w:type="dxa"/>
          </w:tcPr>
          <w:p w14:paraId="48D7CDF3" w14:textId="77777777" w:rsidR="00FD2E52" w:rsidRDefault="007C7D9E">
            <w:pPr>
              <w:jc w:val="center"/>
              <w:rPr>
                <w:rFonts w:ascii="Arial" w:eastAsia="Arial" w:hAnsi="Arial" w:cs="Arial"/>
                <w:sz w:val="16"/>
                <w:szCs w:val="16"/>
              </w:rPr>
            </w:pPr>
            <w:r>
              <w:rPr>
                <w:rFonts w:ascii="Arial" w:eastAsia="Arial" w:hAnsi="Arial" w:cs="Arial"/>
                <w:sz w:val="16"/>
                <w:szCs w:val="16"/>
              </w:rPr>
              <w:t>2</w:t>
            </w:r>
          </w:p>
        </w:tc>
        <w:tc>
          <w:tcPr>
            <w:tcW w:w="2145" w:type="dxa"/>
          </w:tcPr>
          <w:p w14:paraId="1A04B88C" w14:textId="77777777" w:rsidR="00FD2E52" w:rsidRDefault="007C7D9E">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 xml:space="preserve">Documental pública </w:t>
            </w:r>
          </w:p>
        </w:tc>
        <w:tc>
          <w:tcPr>
            <w:tcW w:w="6250" w:type="dxa"/>
          </w:tcPr>
          <w:p w14:paraId="4228A176" w14:textId="77777777" w:rsidR="00FD2E52" w:rsidRDefault="007C7D9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Oficialía Electoral IEE/OE/098/2022.</w:t>
            </w:r>
          </w:p>
        </w:tc>
      </w:tr>
      <w:tr w:rsidR="00FD2E52" w14:paraId="649616C0" w14:textId="77777777" w:rsidTr="00FD2E5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21" w:type="dxa"/>
          </w:tcPr>
          <w:p w14:paraId="0A8F40D2" w14:textId="77777777" w:rsidR="00FD2E52" w:rsidRDefault="007C7D9E">
            <w:pPr>
              <w:jc w:val="center"/>
              <w:rPr>
                <w:rFonts w:ascii="Arial" w:eastAsia="Arial" w:hAnsi="Arial" w:cs="Arial"/>
                <w:sz w:val="16"/>
                <w:szCs w:val="16"/>
              </w:rPr>
            </w:pPr>
            <w:r>
              <w:rPr>
                <w:rFonts w:ascii="Arial" w:eastAsia="Arial" w:hAnsi="Arial" w:cs="Arial"/>
                <w:sz w:val="16"/>
                <w:szCs w:val="16"/>
              </w:rPr>
              <w:t>3</w:t>
            </w:r>
          </w:p>
        </w:tc>
        <w:tc>
          <w:tcPr>
            <w:tcW w:w="2145" w:type="dxa"/>
          </w:tcPr>
          <w:p w14:paraId="34B674AF" w14:textId="77777777" w:rsidR="00FD2E52" w:rsidRDefault="007C7D9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56A7207C" w14:textId="77777777" w:rsidR="00FD2E52" w:rsidRDefault="007C7D9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FD2E52" w14:paraId="6CB1E081" w14:textId="77777777" w:rsidTr="00FD2E52">
        <w:tc>
          <w:tcPr>
            <w:cnfStyle w:val="001000000000" w:firstRow="0" w:lastRow="0" w:firstColumn="1" w:lastColumn="0" w:oddVBand="0" w:evenVBand="0" w:oddHBand="0" w:evenHBand="0" w:firstRowFirstColumn="0" w:firstRowLastColumn="0" w:lastRowFirstColumn="0" w:lastRowLastColumn="0"/>
            <w:tcW w:w="421" w:type="dxa"/>
          </w:tcPr>
          <w:p w14:paraId="6CF3BE8E" w14:textId="77777777" w:rsidR="00FD2E52" w:rsidRDefault="007C7D9E">
            <w:pPr>
              <w:jc w:val="center"/>
              <w:rPr>
                <w:rFonts w:ascii="Arial" w:eastAsia="Arial" w:hAnsi="Arial" w:cs="Arial"/>
                <w:sz w:val="16"/>
                <w:szCs w:val="16"/>
              </w:rPr>
            </w:pPr>
            <w:r>
              <w:rPr>
                <w:rFonts w:ascii="Arial" w:eastAsia="Arial" w:hAnsi="Arial" w:cs="Arial"/>
                <w:sz w:val="16"/>
                <w:szCs w:val="16"/>
              </w:rPr>
              <w:t>4</w:t>
            </w:r>
          </w:p>
        </w:tc>
        <w:tc>
          <w:tcPr>
            <w:tcW w:w="2145" w:type="dxa"/>
          </w:tcPr>
          <w:p w14:paraId="5DE2429F" w14:textId="77777777" w:rsidR="00FD2E52" w:rsidRDefault="007C7D9E">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4C22C379" w14:textId="77777777" w:rsidR="00FD2E52" w:rsidRDefault="007C7D9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7EFEB61C" w14:textId="77777777" w:rsidR="00FD2E52" w:rsidRDefault="00FD2E52"/>
    <w:p w14:paraId="0C9D5D1E" w14:textId="77777777" w:rsidR="00FD2E52" w:rsidRDefault="00FD2E52">
      <w:pPr>
        <w:pBdr>
          <w:top w:val="nil"/>
          <w:left w:val="nil"/>
          <w:bottom w:val="nil"/>
          <w:right w:val="nil"/>
          <w:between w:val="nil"/>
        </w:pBdr>
        <w:rPr>
          <w:color w:val="000000"/>
        </w:rPr>
      </w:pPr>
    </w:p>
    <w:p w14:paraId="0C09EEA4" w14:textId="77777777" w:rsidR="00FD2E52" w:rsidRDefault="007C7D9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3.2 Pruebas aportadas por la candidata y el partido político denunciados:</w:t>
      </w:r>
    </w:p>
    <w:tbl>
      <w:tblPr>
        <w:tblStyle w:val="ac"/>
        <w:tblW w:w="8816"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421"/>
        <w:gridCol w:w="2145"/>
        <w:gridCol w:w="6250"/>
      </w:tblGrid>
      <w:tr w:rsidR="00FD2E52" w14:paraId="2DD20337" w14:textId="77777777" w:rsidTr="00FD2E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414B988" w14:textId="77777777" w:rsidR="00FD2E52" w:rsidRDefault="007C7D9E">
            <w:pPr>
              <w:jc w:val="center"/>
              <w:rPr>
                <w:rFonts w:ascii="Arial" w:eastAsia="Arial" w:hAnsi="Arial" w:cs="Arial"/>
                <w:sz w:val="16"/>
                <w:szCs w:val="16"/>
              </w:rPr>
            </w:pPr>
            <w:r>
              <w:rPr>
                <w:rFonts w:ascii="Arial" w:eastAsia="Arial" w:hAnsi="Arial" w:cs="Arial"/>
                <w:color w:val="000000"/>
                <w:sz w:val="16"/>
                <w:szCs w:val="16"/>
              </w:rPr>
              <w:t>#</w:t>
            </w:r>
          </w:p>
        </w:tc>
        <w:tc>
          <w:tcPr>
            <w:tcW w:w="2145" w:type="dxa"/>
          </w:tcPr>
          <w:p w14:paraId="5A1E79D6" w14:textId="77777777" w:rsidR="00FD2E52" w:rsidRDefault="007C7D9E">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5E34E214" w14:textId="77777777" w:rsidR="00FD2E52" w:rsidRDefault="007C7D9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FD2E52" w14:paraId="0B808514" w14:textId="77777777" w:rsidTr="00FD2E5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1" w:type="dxa"/>
          </w:tcPr>
          <w:p w14:paraId="6CD228AC" w14:textId="77777777" w:rsidR="00FD2E52" w:rsidRDefault="007C7D9E">
            <w:pPr>
              <w:jc w:val="center"/>
              <w:rPr>
                <w:rFonts w:ascii="Arial" w:eastAsia="Arial" w:hAnsi="Arial" w:cs="Arial"/>
                <w:sz w:val="16"/>
                <w:szCs w:val="16"/>
              </w:rPr>
            </w:pPr>
            <w:r>
              <w:rPr>
                <w:rFonts w:ascii="Arial" w:eastAsia="Arial" w:hAnsi="Arial" w:cs="Arial"/>
                <w:sz w:val="16"/>
                <w:szCs w:val="16"/>
              </w:rPr>
              <w:t>1</w:t>
            </w:r>
          </w:p>
        </w:tc>
        <w:tc>
          <w:tcPr>
            <w:tcW w:w="2145" w:type="dxa"/>
          </w:tcPr>
          <w:p w14:paraId="556F4A91" w14:textId="77777777" w:rsidR="00FD2E52" w:rsidRDefault="007C7D9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privada</w:t>
            </w:r>
          </w:p>
        </w:tc>
        <w:tc>
          <w:tcPr>
            <w:tcW w:w="6250" w:type="dxa"/>
          </w:tcPr>
          <w:p w14:paraId="298C6EB9" w14:textId="77777777" w:rsidR="00FD2E52" w:rsidRDefault="007C7D9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Contrato de prestación de Servicios Publicitarios en Espectaculares de Campaña, con la empresa Gráfica Espectaculares S.A. de C.V. </w:t>
            </w:r>
          </w:p>
        </w:tc>
      </w:tr>
      <w:tr w:rsidR="00FD2E52" w14:paraId="239B6EF1" w14:textId="77777777" w:rsidTr="00FD2E52">
        <w:trPr>
          <w:trHeight w:val="225"/>
        </w:trPr>
        <w:tc>
          <w:tcPr>
            <w:cnfStyle w:val="001000000000" w:firstRow="0" w:lastRow="0" w:firstColumn="1" w:lastColumn="0" w:oddVBand="0" w:evenVBand="0" w:oddHBand="0" w:evenHBand="0" w:firstRowFirstColumn="0" w:firstRowLastColumn="0" w:lastRowFirstColumn="0" w:lastRowLastColumn="0"/>
            <w:tcW w:w="421" w:type="dxa"/>
          </w:tcPr>
          <w:p w14:paraId="5C7E09E2" w14:textId="77777777" w:rsidR="00FD2E52" w:rsidRDefault="007C7D9E">
            <w:pPr>
              <w:jc w:val="center"/>
              <w:rPr>
                <w:rFonts w:ascii="Arial" w:eastAsia="Arial" w:hAnsi="Arial" w:cs="Arial"/>
                <w:sz w:val="16"/>
                <w:szCs w:val="16"/>
              </w:rPr>
            </w:pPr>
            <w:r>
              <w:rPr>
                <w:rFonts w:ascii="Arial" w:eastAsia="Arial" w:hAnsi="Arial" w:cs="Arial"/>
                <w:sz w:val="16"/>
                <w:szCs w:val="16"/>
              </w:rPr>
              <w:t>2</w:t>
            </w:r>
          </w:p>
        </w:tc>
        <w:tc>
          <w:tcPr>
            <w:tcW w:w="2145" w:type="dxa"/>
          </w:tcPr>
          <w:p w14:paraId="6A4E1717" w14:textId="77777777" w:rsidR="00FD2E52" w:rsidRDefault="007C7D9E">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lógica, legal y humana</w:t>
            </w:r>
          </w:p>
        </w:tc>
        <w:tc>
          <w:tcPr>
            <w:tcW w:w="6250" w:type="dxa"/>
          </w:tcPr>
          <w:p w14:paraId="50D8AE16" w14:textId="77777777" w:rsidR="00FD2E52" w:rsidRDefault="007C7D9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FD2E52" w14:paraId="2B7381B1" w14:textId="77777777" w:rsidTr="00FD2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CFBCB13" w14:textId="77777777" w:rsidR="00FD2E52" w:rsidRDefault="007C7D9E">
            <w:pPr>
              <w:jc w:val="center"/>
              <w:rPr>
                <w:rFonts w:ascii="Arial" w:eastAsia="Arial" w:hAnsi="Arial" w:cs="Arial"/>
                <w:sz w:val="16"/>
                <w:szCs w:val="16"/>
              </w:rPr>
            </w:pPr>
            <w:r>
              <w:rPr>
                <w:rFonts w:ascii="Arial" w:eastAsia="Arial" w:hAnsi="Arial" w:cs="Arial"/>
                <w:sz w:val="16"/>
                <w:szCs w:val="16"/>
              </w:rPr>
              <w:t>3</w:t>
            </w:r>
          </w:p>
        </w:tc>
        <w:tc>
          <w:tcPr>
            <w:tcW w:w="2145" w:type="dxa"/>
          </w:tcPr>
          <w:p w14:paraId="02AA623C" w14:textId="77777777" w:rsidR="00FD2E52" w:rsidRDefault="007C7D9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5D875277" w14:textId="77777777" w:rsidR="00FD2E52" w:rsidRDefault="007C7D9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6F62EFBA" w14:textId="77777777" w:rsidR="00FD2E52" w:rsidRDefault="00FD2E52">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4193ACB4" w14:textId="77777777" w:rsidR="00FD2E52" w:rsidRDefault="007C7D9E">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3.4 Valoración de pruebas. </w:t>
      </w:r>
      <w:r>
        <w:rPr>
          <w:rFonts w:ascii="Arial" w:eastAsia="Arial" w:hAnsi="Arial" w:cs="Arial"/>
          <w:color w:val="000000"/>
          <w:sz w:val="24"/>
          <w:szCs w:val="24"/>
        </w:rPr>
        <w:t xml:space="preserve">Las pruebas antes descritas, </w:t>
      </w:r>
      <w:r>
        <w:rPr>
          <w:rFonts w:ascii="Arial" w:eastAsia="Arial" w:hAnsi="Arial" w:cs="Arial"/>
          <w:sz w:val="24"/>
          <w:szCs w:val="24"/>
        </w:rPr>
        <w:t>serán</w:t>
      </w:r>
      <w:r>
        <w:rPr>
          <w:rFonts w:ascii="Arial" w:eastAsia="Arial" w:hAnsi="Arial" w:cs="Arial"/>
          <w:color w:val="000000"/>
          <w:sz w:val="24"/>
          <w:szCs w:val="24"/>
        </w:rPr>
        <w:t xml:space="preserve"> </w:t>
      </w:r>
      <w:r>
        <w:rPr>
          <w:rFonts w:ascii="Arial" w:eastAsia="Arial" w:hAnsi="Arial" w:cs="Arial"/>
          <w:sz w:val="24"/>
          <w:szCs w:val="24"/>
        </w:rPr>
        <w:t>valoradas</w:t>
      </w:r>
      <w:r>
        <w:rPr>
          <w:rFonts w:ascii="Arial" w:eastAsia="Arial" w:hAnsi="Arial" w:cs="Arial"/>
          <w:color w:val="000000"/>
          <w:sz w:val="24"/>
          <w:szCs w:val="24"/>
        </w:rPr>
        <w:t xml:space="preserve"> conforme al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5"/>
      </w:r>
    </w:p>
    <w:p w14:paraId="5955523A" w14:textId="77777777" w:rsidR="00FD2E52" w:rsidRDefault="00FD2E52">
      <w:pPr>
        <w:pBdr>
          <w:top w:val="nil"/>
          <w:left w:val="nil"/>
          <w:bottom w:val="nil"/>
          <w:right w:val="nil"/>
          <w:between w:val="nil"/>
        </w:pBdr>
        <w:rPr>
          <w:color w:val="000000"/>
        </w:rPr>
      </w:pPr>
    </w:p>
    <w:p w14:paraId="394056EF" w14:textId="77777777" w:rsidR="00FD2E52" w:rsidRDefault="007C7D9E">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453DCD2" w14:textId="77777777" w:rsidR="00FD2E52" w:rsidRDefault="00FD2E52" w:rsidP="00061609">
      <w:pPr>
        <w:pStyle w:val="Sinespaciado"/>
        <w:rPr>
          <w:rFonts w:eastAsia="Arial"/>
        </w:rPr>
      </w:pPr>
    </w:p>
    <w:p w14:paraId="504B67DD" w14:textId="77777777" w:rsidR="00FD2E52" w:rsidRDefault="007C7D9E">
      <w:pPr>
        <w:numPr>
          <w:ilvl w:val="0"/>
          <w:numId w:val="4"/>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calidad de Natzielly Teresita Rodríguez Calzada, como entonces candidata de FXM Aguascalientes, a la gubernatura del estado.</w:t>
      </w:r>
    </w:p>
    <w:p w14:paraId="77DC619F" w14:textId="1E548A3B" w:rsidR="00061609" w:rsidRDefault="007C7D9E">
      <w:pPr>
        <w:numPr>
          <w:ilvl w:val="0"/>
          <w:numId w:val="4"/>
        </w:numPr>
        <w:pBdr>
          <w:top w:val="nil"/>
          <w:left w:val="nil"/>
          <w:bottom w:val="nil"/>
          <w:right w:val="nil"/>
          <w:between w:val="nil"/>
        </w:pBdr>
        <w:tabs>
          <w:tab w:val="left" w:pos="284"/>
        </w:tabs>
        <w:spacing w:line="360" w:lineRule="auto"/>
        <w:ind w:left="0" w:right="36" w:firstLine="0"/>
        <w:jc w:val="both"/>
        <w:rPr>
          <w:rFonts w:ascii="Arial" w:eastAsia="Arial" w:hAnsi="Arial" w:cs="Arial"/>
          <w:color w:val="000000"/>
          <w:sz w:val="24"/>
          <w:szCs w:val="24"/>
        </w:rPr>
      </w:pPr>
      <w:r>
        <w:rPr>
          <w:rFonts w:ascii="Arial" w:eastAsia="Arial" w:hAnsi="Arial" w:cs="Arial"/>
          <w:color w:val="000000"/>
          <w:sz w:val="24"/>
          <w:szCs w:val="24"/>
        </w:rPr>
        <w:t xml:space="preserve">La existencia de propaganda electoral de tipo lona, colocada en un puente peatonal de esta ciudad. </w:t>
      </w:r>
    </w:p>
    <w:p w14:paraId="57CAE8DF" w14:textId="57399BDD" w:rsidR="00FD2E52" w:rsidRPr="00061609" w:rsidRDefault="00061609" w:rsidP="00061609">
      <w:pPr>
        <w:rPr>
          <w:rFonts w:ascii="Arial" w:eastAsia="Arial" w:hAnsi="Arial" w:cs="Arial"/>
          <w:color w:val="000000"/>
          <w:sz w:val="24"/>
          <w:szCs w:val="24"/>
        </w:rPr>
      </w:pPr>
      <w:r>
        <w:rPr>
          <w:rFonts w:ascii="Arial" w:eastAsia="Arial" w:hAnsi="Arial" w:cs="Arial"/>
          <w:color w:val="000000"/>
          <w:sz w:val="24"/>
          <w:szCs w:val="24"/>
        </w:rPr>
        <w:br w:type="page"/>
      </w:r>
    </w:p>
    <w:p w14:paraId="5C9A16E2" w14:textId="77777777" w:rsidR="00FD2E52" w:rsidRDefault="00FD2E52">
      <w:pPr>
        <w:pBdr>
          <w:top w:val="nil"/>
          <w:left w:val="nil"/>
          <w:bottom w:val="nil"/>
          <w:right w:val="nil"/>
          <w:between w:val="nil"/>
        </w:pBdr>
        <w:rPr>
          <w:color w:val="000000"/>
        </w:rPr>
      </w:pPr>
    </w:p>
    <w:p w14:paraId="1E6CBB56" w14:textId="77777777" w:rsidR="00FD2E52" w:rsidRDefault="007C7D9E">
      <w:pPr>
        <w:numPr>
          <w:ilvl w:val="0"/>
          <w:numId w:val="3"/>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Análisis de fondo</w:t>
      </w:r>
    </w:p>
    <w:p w14:paraId="4C5BA6E9" w14:textId="77777777" w:rsidR="00FD2E52" w:rsidRDefault="00FD2E52">
      <w:pPr>
        <w:pBdr>
          <w:top w:val="nil"/>
          <w:left w:val="nil"/>
          <w:bottom w:val="nil"/>
          <w:right w:val="nil"/>
          <w:between w:val="nil"/>
        </w:pBdr>
        <w:rPr>
          <w:color w:val="000000"/>
        </w:rPr>
      </w:pPr>
    </w:p>
    <w:p w14:paraId="731F1C39" w14:textId="77777777" w:rsidR="00FD2E52" w:rsidRDefault="007C7D9E">
      <w:pPr>
        <w:numPr>
          <w:ilvl w:val="0"/>
          <w:numId w:val="5"/>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0B8A9FE9" w14:textId="77777777" w:rsidR="00FD2E52" w:rsidRDefault="00FD2E52">
      <w:pPr>
        <w:pBdr>
          <w:top w:val="nil"/>
          <w:left w:val="nil"/>
          <w:bottom w:val="nil"/>
          <w:right w:val="nil"/>
          <w:between w:val="nil"/>
        </w:pBdr>
        <w:rPr>
          <w:color w:val="000000"/>
        </w:rPr>
      </w:pPr>
    </w:p>
    <w:p w14:paraId="60256205" w14:textId="77777777" w:rsidR="00FD2E52" w:rsidRDefault="007C7D9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la colocación en un puente peatonal de</w:t>
      </w:r>
      <w:r>
        <w:rPr>
          <w:rFonts w:ascii="Arial" w:eastAsia="Arial" w:hAnsi="Arial" w:cs="Arial"/>
          <w:sz w:val="24"/>
          <w:szCs w:val="24"/>
        </w:rPr>
        <w:t xml:space="preserve"> </w:t>
      </w:r>
      <w:r>
        <w:rPr>
          <w:rFonts w:ascii="Arial" w:eastAsia="Arial" w:hAnsi="Arial" w:cs="Arial"/>
          <w:color w:val="000000"/>
          <w:sz w:val="24"/>
          <w:szCs w:val="24"/>
        </w:rPr>
        <w:t xml:space="preserve">propaganda electoral tipo lona, en favor de la candidata denunciada, constituye una infracción a la normativa por </w:t>
      </w:r>
      <w:r>
        <w:rPr>
          <w:rFonts w:ascii="Arial" w:eastAsia="Arial" w:hAnsi="Arial" w:cs="Arial"/>
          <w:sz w:val="24"/>
          <w:szCs w:val="24"/>
        </w:rPr>
        <w:t xml:space="preserve">haberse situado </w:t>
      </w:r>
      <w:r>
        <w:rPr>
          <w:rFonts w:ascii="Arial" w:eastAsia="Arial" w:hAnsi="Arial" w:cs="Arial"/>
          <w:color w:val="000000"/>
          <w:sz w:val="24"/>
          <w:szCs w:val="24"/>
        </w:rPr>
        <w:t>en elementos de equipamiento urbano?</w:t>
      </w:r>
    </w:p>
    <w:p w14:paraId="152E3262" w14:textId="77777777" w:rsidR="00FD2E52" w:rsidRDefault="00FD2E52">
      <w:pPr>
        <w:pBdr>
          <w:top w:val="nil"/>
          <w:left w:val="nil"/>
          <w:bottom w:val="nil"/>
          <w:right w:val="nil"/>
          <w:between w:val="nil"/>
        </w:pBdr>
        <w:rPr>
          <w:color w:val="000000"/>
        </w:rPr>
      </w:pPr>
    </w:p>
    <w:p w14:paraId="284FA7E7" w14:textId="65F1A434" w:rsidR="00FD2E52" w:rsidRDefault="007C7D9E">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u w:val="single"/>
        </w:rPr>
        <w:t>Apartado I.</w:t>
      </w:r>
      <w:r>
        <w:rPr>
          <w:rFonts w:ascii="Arial" w:eastAsia="Arial" w:hAnsi="Arial" w:cs="Arial"/>
          <w:b/>
          <w:sz w:val="24"/>
          <w:szCs w:val="24"/>
        </w:rPr>
        <w:t xml:space="preserve"> Decisión. </w:t>
      </w:r>
      <w:r>
        <w:rPr>
          <w:rFonts w:ascii="Arial" w:eastAsia="Arial" w:hAnsi="Arial" w:cs="Arial"/>
          <w:sz w:val="24"/>
          <w:szCs w:val="24"/>
        </w:rPr>
        <w:t xml:space="preserve">Este Tribunal considera que debe declarase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la colocación de propaganda electoral en elementos de equipamiento urbano, </w:t>
      </w:r>
      <w:r w:rsidR="00061609">
        <w:rPr>
          <w:rFonts w:ascii="Arial" w:eastAsia="Arial" w:hAnsi="Arial" w:cs="Arial"/>
          <w:sz w:val="24"/>
          <w:szCs w:val="24"/>
        </w:rPr>
        <w:t>atribuida</w:t>
      </w:r>
      <w:r>
        <w:rPr>
          <w:rFonts w:ascii="Arial" w:eastAsia="Arial" w:hAnsi="Arial" w:cs="Arial"/>
          <w:sz w:val="24"/>
          <w:szCs w:val="24"/>
        </w:rPr>
        <w:t xml:space="preserve"> a Natzielly Teresita </w:t>
      </w:r>
      <w:r w:rsidR="00061609">
        <w:rPr>
          <w:rFonts w:ascii="Arial" w:eastAsia="Arial" w:hAnsi="Arial" w:cs="Arial"/>
          <w:sz w:val="24"/>
          <w:szCs w:val="24"/>
        </w:rPr>
        <w:t>Rodríguez</w:t>
      </w:r>
      <w:r>
        <w:rPr>
          <w:rFonts w:ascii="Arial" w:eastAsia="Arial" w:hAnsi="Arial" w:cs="Arial"/>
          <w:sz w:val="24"/>
          <w:szCs w:val="24"/>
        </w:rPr>
        <w:t xml:space="preserve"> Calzada, entonces candidata a la gubernatura del estado, por el partido político Fuerza por México Aguascalientes y, por tanto,</w:t>
      </w:r>
      <w:r>
        <w:rPr>
          <w:rFonts w:ascii="Arial" w:eastAsia="Arial" w:hAnsi="Arial" w:cs="Arial"/>
          <w:b/>
          <w:i/>
          <w:sz w:val="24"/>
          <w:szCs w:val="24"/>
        </w:rPr>
        <w:t xml:space="preserve"> </w:t>
      </w:r>
      <w:r>
        <w:rPr>
          <w:rFonts w:ascii="Arial" w:eastAsia="Arial" w:hAnsi="Arial" w:cs="Arial"/>
          <w:sz w:val="24"/>
          <w:szCs w:val="24"/>
        </w:rPr>
        <w:t xml:space="preserve">la inexistencia de la infracción de </w:t>
      </w:r>
      <w:r>
        <w:rPr>
          <w:rFonts w:ascii="Arial" w:eastAsia="Arial" w:hAnsi="Arial" w:cs="Arial"/>
          <w:i/>
          <w:sz w:val="24"/>
          <w:szCs w:val="24"/>
        </w:rPr>
        <w:t>culpa in vigilando</w:t>
      </w:r>
      <w:r>
        <w:rPr>
          <w:rFonts w:ascii="Arial" w:eastAsia="Arial" w:hAnsi="Arial" w:cs="Arial"/>
          <w:sz w:val="24"/>
          <w:szCs w:val="24"/>
        </w:rPr>
        <w:t xml:space="preserve"> atribuida al referido instituto político. </w:t>
      </w:r>
    </w:p>
    <w:p w14:paraId="12E91BA4" w14:textId="77777777" w:rsidR="00FD2E52" w:rsidRDefault="00FD2E52" w:rsidP="00061609">
      <w:pPr>
        <w:pStyle w:val="Sinespaciado"/>
        <w:rPr>
          <w:rFonts w:eastAsia="Arial"/>
        </w:rPr>
      </w:pPr>
    </w:p>
    <w:p w14:paraId="13D62A70" w14:textId="77777777" w:rsidR="00FD2E52" w:rsidRDefault="007C7D9E">
      <w:pPr>
        <w:spacing w:line="360" w:lineRule="auto"/>
        <w:jc w:val="both"/>
        <w:rPr>
          <w:rFonts w:ascii="Arial" w:eastAsia="Arial" w:hAnsi="Arial" w:cs="Arial"/>
          <w:sz w:val="24"/>
          <w:szCs w:val="24"/>
        </w:rPr>
      </w:pPr>
      <w:bookmarkStart w:id="7" w:name="_heading=h.jnw344tlqevz" w:colFirst="0" w:colLast="0"/>
      <w:bookmarkEnd w:id="7"/>
      <w:r>
        <w:rPr>
          <w:rFonts w:ascii="Arial" w:eastAsia="Arial" w:hAnsi="Arial" w:cs="Arial"/>
          <w:sz w:val="24"/>
          <w:szCs w:val="24"/>
        </w:rPr>
        <w:t xml:space="preserve">Ello, porque este órgano jurisdiccional considera que la colocación de la propaganda denunciada se encuentra apegada a derecho, ya que, con independencia de que tal espectacular se encontrare ubicado en un puente peatonal, </w:t>
      </w:r>
      <w:r>
        <w:rPr>
          <w:rFonts w:ascii="Arial" w:eastAsia="Arial" w:hAnsi="Arial" w:cs="Arial"/>
          <w:b/>
          <w:i/>
          <w:sz w:val="24"/>
          <w:szCs w:val="24"/>
        </w:rPr>
        <w:t>i)</w:t>
      </w:r>
      <w:r>
        <w:rPr>
          <w:rFonts w:ascii="Arial" w:eastAsia="Arial" w:hAnsi="Arial" w:cs="Arial"/>
          <w:sz w:val="24"/>
          <w:szCs w:val="24"/>
        </w:rPr>
        <w:t xml:space="preserve"> no se logró advertir que esto generara alguna contaminación visual ni ambiental, o </w:t>
      </w:r>
      <w:r>
        <w:rPr>
          <w:rFonts w:ascii="Arial" w:eastAsia="Arial" w:hAnsi="Arial" w:cs="Arial"/>
          <w:b/>
          <w:i/>
          <w:sz w:val="24"/>
          <w:szCs w:val="24"/>
        </w:rPr>
        <w:t>ii)</w:t>
      </w:r>
      <w:r>
        <w:rPr>
          <w:rFonts w:ascii="Arial" w:eastAsia="Arial" w:hAnsi="Arial" w:cs="Arial"/>
          <w:sz w:val="24"/>
          <w:szCs w:val="24"/>
        </w:rPr>
        <w:t xml:space="preserve"> que hubiese alterado la naturaleza del bien destinado a dar seguridad a los peatones al cruzar la avenida, </w:t>
      </w:r>
      <w:r>
        <w:rPr>
          <w:rFonts w:ascii="Arial" w:eastAsia="Arial" w:hAnsi="Arial" w:cs="Arial"/>
          <w:b/>
          <w:i/>
          <w:sz w:val="24"/>
          <w:szCs w:val="24"/>
        </w:rPr>
        <w:t>iii)</w:t>
      </w:r>
      <w:r>
        <w:rPr>
          <w:rFonts w:ascii="Arial" w:eastAsia="Arial" w:hAnsi="Arial" w:cs="Arial"/>
          <w:sz w:val="24"/>
          <w:szCs w:val="24"/>
        </w:rPr>
        <w:t xml:space="preserve"> tampoco obstaculiza la visibilidad de los señalamientos que permitan a las personas transitar; </w:t>
      </w:r>
      <w:r>
        <w:rPr>
          <w:rFonts w:ascii="Arial" w:eastAsia="Arial" w:hAnsi="Arial" w:cs="Arial"/>
          <w:b/>
          <w:i/>
          <w:sz w:val="24"/>
          <w:szCs w:val="24"/>
        </w:rPr>
        <w:t xml:space="preserve">iv) </w:t>
      </w:r>
      <w:r>
        <w:rPr>
          <w:rFonts w:ascii="Arial" w:eastAsia="Arial" w:hAnsi="Arial" w:cs="Arial"/>
          <w:sz w:val="24"/>
          <w:szCs w:val="24"/>
        </w:rPr>
        <w:t>ni su colocación afecta el acceso al puente peatonal.</w:t>
      </w:r>
    </w:p>
    <w:p w14:paraId="1A26C595" w14:textId="77777777" w:rsidR="00FD2E52" w:rsidRDefault="00FD2E52">
      <w:pPr>
        <w:pBdr>
          <w:top w:val="nil"/>
          <w:left w:val="nil"/>
          <w:bottom w:val="nil"/>
          <w:right w:val="nil"/>
          <w:between w:val="nil"/>
        </w:pBdr>
        <w:rPr>
          <w:color w:val="000000"/>
          <w:sz w:val="18"/>
          <w:szCs w:val="18"/>
        </w:rPr>
      </w:pPr>
    </w:p>
    <w:p w14:paraId="5C76B620" w14:textId="77777777" w:rsidR="00FD2E52" w:rsidRDefault="007C7D9E">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135D106" w14:textId="77777777" w:rsidR="00FD2E52" w:rsidRDefault="00FD2E52">
      <w:pPr>
        <w:pBdr>
          <w:top w:val="nil"/>
          <w:left w:val="nil"/>
          <w:bottom w:val="nil"/>
          <w:right w:val="nil"/>
          <w:between w:val="nil"/>
        </w:pBdr>
        <w:rPr>
          <w:color w:val="000000"/>
        </w:rPr>
      </w:pPr>
    </w:p>
    <w:p w14:paraId="18A0C67F" w14:textId="77777777" w:rsidR="00FD2E52" w:rsidRDefault="007C7D9E">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1. Marco normativo </w:t>
      </w:r>
    </w:p>
    <w:p w14:paraId="6AEBBE84" w14:textId="77777777" w:rsidR="00FD2E52" w:rsidRDefault="00FD2E52" w:rsidP="00061609">
      <w:pPr>
        <w:pStyle w:val="Sinespaciado"/>
        <w:rPr>
          <w:rFonts w:eastAsia="Arial"/>
          <w:highlight w:val="white"/>
        </w:rPr>
      </w:pPr>
    </w:p>
    <w:p w14:paraId="70F8B99F" w14:textId="77777777" w:rsidR="00FD2E52" w:rsidRDefault="007C7D9E">
      <w:pPr>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Las fracciones I y II del artículo 163 del Código Electoral, </w:t>
      </w:r>
      <w:r>
        <w:rPr>
          <w:rFonts w:ascii="Arial" w:eastAsia="Arial" w:hAnsi="Arial" w:cs="Arial"/>
          <w:sz w:val="24"/>
          <w:szCs w:val="24"/>
          <w:highlight w:val="white"/>
        </w:rPr>
        <w:t>establecen</w:t>
      </w:r>
      <w:r>
        <w:rPr>
          <w:rFonts w:ascii="Arial" w:eastAsia="Arial" w:hAnsi="Arial" w:cs="Arial"/>
          <w:color w:val="000000"/>
          <w:sz w:val="24"/>
          <w:szCs w:val="24"/>
          <w:highlight w:val="white"/>
        </w:rPr>
        <w:t xml:space="preserve"> que la propaganda electoral no podrá colgarse ni fijarse en elementos de equipamiento urbano, ni obstaculizar en forma alguna la visibilidad de los señalamientos que permiten a las personas transitar y orientarse dentro de los centros de población. </w:t>
      </w:r>
    </w:p>
    <w:p w14:paraId="10F609B7" w14:textId="77777777" w:rsidR="00FD2E52" w:rsidRDefault="00FD2E52" w:rsidP="00061609">
      <w:pPr>
        <w:pStyle w:val="Sinespaciado"/>
        <w:rPr>
          <w:rFonts w:eastAsia="Arial"/>
        </w:rPr>
      </w:pPr>
    </w:p>
    <w:p w14:paraId="49DF7C2F" w14:textId="77777777" w:rsidR="00FD2E52" w:rsidRDefault="007C7D9E">
      <w:pPr>
        <w:spacing w:line="360" w:lineRule="auto"/>
        <w:jc w:val="both"/>
        <w:rPr>
          <w:rFonts w:ascii="Arial" w:eastAsia="Arial" w:hAnsi="Arial" w:cs="Arial"/>
          <w:color w:val="000000"/>
          <w:sz w:val="24"/>
          <w:szCs w:val="24"/>
        </w:rPr>
      </w:pPr>
      <w:r>
        <w:rPr>
          <w:rFonts w:ascii="Arial" w:eastAsia="Arial" w:hAnsi="Arial" w:cs="Arial"/>
          <w:color w:val="000000"/>
          <w:sz w:val="24"/>
          <w:szCs w:val="24"/>
        </w:rPr>
        <w:t>Al respecto, la Sala Superior ha considerado que la razón de restringir la posibilidad de colocar propaganda electoral en equipamiento urbano, es evitar que lo instrumentos que conforman esos diversos sistemas o conjunto</w:t>
      </w:r>
      <w:r>
        <w:rPr>
          <w:rFonts w:ascii="Arial" w:eastAsia="Arial" w:hAnsi="Arial" w:cs="Arial"/>
          <w:sz w:val="24"/>
          <w:szCs w:val="24"/>
        </w:rPr>
        <w:t xml:space="preserve">s de </w:t>
      </w:r>
      <w:r>
        <w:rPr>
          <w:rFonts w:ascii="Arial" w:eastAsia="Arial" w:hAnsi="Arial" w:cs="Arial"/>
          <w:color w:val="000000"/>
          <w:sz w:val="24"/>
          <w:szCs w:val="24"/>
        </w:rPr>
        <w:t xml:space="preserve">actividades </w:t>
      </w:r>
      <w:r>
        <w:rPr>
          <w:rFonts w:ascii="Arial" w:eastAsia="Arial" w:hAnsi="Arial" w:cs="Arial"/>
          <w:sz w:val="24"/>
          <w:szCs w:val="24"/>
        </w:rPr>
        <w:t>públicas</w:t>
      </w:r>
      <w:r>
        <w:rPr>
          <w:rFonts w:ascii="Arial" w:eastAsia="Arial" w:hAnsi="Arial" w:cs="Arial"/>
          <w:color w:val="000000"/>
          <w:sz w:val="24"/>
          <w:szCs w:val="24"/>
        </w:rPr>
        <w:t xml:space="preserve"> o servicios se utilicen para fines distintos a los que están destinados</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xml:space="preserve">. </w:t>
      </w:r>
    </w:p>
    <w:p w14:paraId="1DABF496" w14:textId="77777777" w:rsidR="00FD2E52" w:rsidRDefault="00FD2E52" w:rsidP="00061609">
      <w:pPr>
        <w:pStyle w:val="Sinespaciado"/>
        <w:rPr>
          <w:rFonts w:eastAsia="Arial"/>
        </w:rPr>
      </w:pPr>
    </w:p>
    <w:p w14:paraId="68D2EC57" w14:textId="77777777" w:rsidR="00FD2E52" w:rsidRDefault="007C7D9E">
      <w:pPr>
        <w:spacing w:line="360" w:lineRule="auto"/>
        <w:jc w:val="both"/>
        <w:rPr>
          <w:rFonts w:ascii="Arial" w:eastAsia="Arial" w:hAnsi="Arial" w:cs="Arial"/>
          <w:color w:val="000000"/>
          <w:sz w:val="24"/>
          <w:szCs w:val="24"/>
        </w:rPr>
      </w:pPr>
      <w:r>
        <w:rPr>
          <w:rFonts w:ascii="Arial" w:eastAsia="Arial" w:hAnsi="Arial" w:cs="Arial"/>
          <w:color w:val="000000"/>
          <w:sz w:val="24"/>
          <w:szCs w:val="24"/>
        </w:rPr>
        <w:t>Asimismo, ha sostenido lo siguiente:</w:t>
      </w:r>
      <w:r>
        <w:rPr>
          <w:rFonts w:ascii="Arial" w:eastAsia="Arial" w:hAnsi="Arial" w:cs="Arial"/>
          <w:b/>
          <w:i/>
          <w:color w:val="000000"/>
          <w:sz w:val="24"/>
          <w:szCs w:val="24"/>
        </w:rPr>
        <w:t xml:space="preserve"> i</w:t>
      </w:r>
      <w:r>
        <w:rPr>
          <w:rFonts w:ascii="Arial" w:eastAsia="Arial" w:hAnsi="Arial" w:cs="Arial"/>
          <w:b/>
          <w:i/>
          <w:sz w:val="24"/>
          <w:szCs w:val="24"/>
        </w:rPr>
        <w:t>)</w:t>
      </w:r>
      <w:r>
        <w:rPr>
          <w:rFonts w:ascii="Arial" w:eastAsia="Arial" w:hAnsi="Arial" w:cs="Arial"/>
          <w:sz w:val="24"/>
          <w:szCs w:val="24"/>
        </w:rPr>
        <w:t xml:space="preserve"> la </w:t>
      </w:r>
      <w:r>
        <w:rPr>
          <w:rFonts w:ascii="Arial" w:eastAsia="Arial" w:hAnsi="Arial" w:cs="Arial"/>
          <w:color w:val="000000"/>
          <w:sz w:val="24"/>
          <w:szCs w:val="24"/>
        </w:rPr>
        <w:t xml:space="preserve">sola circunstancia de que la propaganda electoral denunciada se haya colocado en elementos de equipamiento urbano, no implica que necesariamente </w:t>
      </w:r>
      <w:r>
        <w:rPr>
          <w:rFonts w:ascii="Arial" w:eastAsia="Arial" w:hAnsi="Arial" w:cs="Arial"/>
          <w:sz w:val="24"/>
          <w:szCs w:val="24"/>
        </w:rPr>
        <w:t>sea ilícita</w:t>
      </w:r>
      <w:r>
        <w:rPr>
          <w:rFonts w:ascii="Arial" w:eastAsia="Arial" w:hAnsi="Arial" w:cs="Arial"/>
          <w:color w:val="000000"/>
          <w:sz w:val="24"/>
          <w:szCs w:val="24"/>
        </w:rPr>
        <w:t xml:space="preserve">, pues ello dependerá de que la propaganda </w:t>
      </w:r>
      <w:r>
        <w:rPr>
          <w:rFonts w:ascii="Arial" w:eastAsia="Arial" w:hAnsi="Arial" w:cs="Arial"/>
          <w:color w:val="000000"/>
          <w:sz w:val="24"/>
          <w:szCs w:val="24"/>
        </w:rPr>
        <w:lastRenderedPageBreak/>
        <w:t>no contravenga la finalidad de la prohibición de que sea colocada en elementos de equipamiento urbano</w:t>
      </w:r>
      <w:r>
        <w:rPr>
          <w:rFonts w:ascii="Arial" w:eastAsia="Arial" w:hAnsi="Arial" w:cs="Arial"/>
          <w:sz w:val="24"/>
          <w:szCs w:val="24"/>
        </w:rPr>
        <w:t xml:space="preserve">, </w:t>
      </w:r>
      <w:r>
        <w:rPr>
          <w:rFonts w:ascii="Arial" w:eastAsia="Arial" w:hAnsi="Arial" w:cs="Arial"/>
          <w:b/>
          <w:i/>
          <w:sz w:val="24"/>
          <w:szCs w:val="24"/>
        </w:rPr>
        <w:t>ii)</w:t>
      </w:r>
      <w:r>
        <w:rPr>
          <w:rFonts w:ascii="Arial" w:eastAsia="Arial" w:hAnsi="Arial" w:cs="Arial"/>
          <w:sz w:val="24"/>
          <w:szCs w:val="24"/>
        </w:rPr>
        <w:t xml:space="preserve"> l</w:t>
      </w:r>
      <w:r>
        <w:rPr>
          <w:rFonts w:ascii="Arial" w:eastAsia="Arial" w:hAnsi="Arial" w:cs="Arial"/>
          <w:color w:val="000000"/>
          <w:sz w:val="24"/>
          <w:szCs w:val="24"/>
        </w:rPr>
        <w:t xml:space="preserve">a colocación de propaganda electoral en elementos de equipamiento urbano no genera, por </w:t>
      </w:r>
      <w:r>
        <w:rPr>
          <w:rFonts w:ascii="Arial" w:eastAsia="Arial" w:hAnsi="Arial" w:cs="Arial"/>
          <w:sz w:val="24"/>
          <w:szCs w:val="24"/>
        </w:rPr>
        <w:t>sí sola</w:t>
      </w:r>
      <w:r>
        <w:rPr>
          <w:rFonts w:ascii="Arial" w:eastAsia="Arial" w:hAnsi="Arial" w:cs="Arial"/>
          <w:color w:val="000000"/>
          <w:sz w:val="24"/>
          <w:szCs w:val="24"/>
        </w:rPr>
        <w:t xml:space="preserve">, una infracción, sino que resulta relevante que dicha colocación atente contra la funcionalidad </w:t>
      </w:r>
      <w:r>
        <w:rPr>
          <w:rFonts w:ascii="Arial" w:eastAsia="Arial" w:hAnsi="Arial" w:cs="Arial"/>
          <w:sz w:val="24"/>
          <w:szCs w:val="24"/>
        </w:rPr>
        <w:t>del inmueble</w:t>
      </w:r>
      <w:r>
        <w:rPr>
          <w:rFonts w:ascii="Arial" w:eastAsia="Arial" w:hAnsi="Arial" w:cs="Arial"/>
          <w:color w:val="000000"/>
          <w:sz w:val="24"/>
          <w:szCs w:val="24"/>
        </w:rPr>
        <w:t xml:space="preserve"> en el que se ubique y</w:t>
      </w:r>
      <w:r>
        <w:rPr>
          <w:rFonts w:ascii="Arial" w:eastAsia="Arial" w:hAnsi="Arial" w:cs="Arial"/>
          <w:sz w:val="24"/>
          <w:szCs w:val="24"/>
        </w:rPr>
        <w:t xml:space="preserve">; </w:t>
      </w:r>
      <w:r>
        <w:rPr>
          <w:rFonts w:ascii="Arial" w:eastAsia="Arial" w:hAnsi="Arial" w:cs="Arial"/>
          <w:b/>
          <w:i/>
          <w:sz w:val="24"/>
          <w:szCs w:val="24"/>
        </w:rPr>
        <w:t>iii)</w:t>
      </w:r>
      <w:r>
        <w:rPr>
          <w:rFonts w:ascii="Arial" w:eastAsia="Arial" w:hAnsi="Arial" w:cs="Arial"/>
          <w:sz w:val="24"/>
          <w:szCs w:val="24"/>
        </w:rPr>
        <w:t xml:space="preserve"> p</w:t>
      </w:r>
      <w:r>
        <w:rPr>
          <w:rFonts w:ascii="Arial" w:eastAsia="Arial" w:hAnsi="Arial" w:cs="Arial"/>
          <w:color w:val="000000"/>
          <w:sz w:val="24"/>
          <w:szCs w:val="24"/>
        </w:rPr>
        <w:t xml:space="preserve">or regla general, se encuentra prohibido que se coloqué propaganda electoral en elementos de equipamiento urbano, entre otros, puentes peatonales, esto obedece a que estos elementos, en la mayoría de los </w:t>
      </w:r>
      <w:r>
        <w:rPr>
          <w:rFonts w:ascii="Arial" w:eastAsia="Arial" w:hAnsi="Arial" w:cs="Arial"/>
          <w:sz w:val="24"/>
          <w:szCs w:val="24"/>
        </w:rPr>
        <w:t>casos</w:t>
      </w:r>
      <w:r>
        <w:rPr>
          <w:rFonts w:ascii="Arial" w:eastAsia="Arial" w:hAnsi="Arial" w:cs="Arial"/>
          <w:color w:val="000000"/>
          <w:sz w:val="24"/>
          <w:szCs w:val="24"/>
        </w:rPr>
        <w:t xml:space="preserve">, </w:t>
      </w:r>
      <w:r>
        <w:rPr>
          <w:rFonts w:ascii="Arial" w:eastAsia="Arial" w:hAnsi="Arial" w:cs="Arial"/>
          <w:b/>
          <w:color w:val="000000"/>
          <w:sz w:val="24"/>
          <w:szCs w:val="24"/>
        </w:rPr>
        <w:t>no tiene como finalidad fungir como espacios publicitarios</w:t>
      </w:r>
      <w:r>
        <w:rPr>
          <w:rFonts w:ascii="Arial" w:eastAsia="Arial" w:hAnsi="Arial" w:cs="Arial"/>
          <w:color w:val="000000"/>
          <w:sz w:val="24"/>
          <w:szCs w:val="24"/>
        </w:rPr>
        <w:t xml:space="preserve">. </w:t>
      </w:r>
    </w:p>
    <w:p w14:paraId="7EC1BB3D" w14:textId="77777777" w:rsidR="00FD2E52" w:rsidRDefault="00FD2E52" w:rsidP="00061609">
      <w:pPr>
        <w:pStyle w:val="Sinespaciado"/>
        <w:rPr>
          <w:rFonts w:eastAsia="Arial"/>
        </w:rPr>
      </w:pPr>
    </w:p>
    <w:p w14:paraId="69391A1B" w14:textId="698EA160" w:rsidR="00FD2E52" w:rsidRDefault="007C7D9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que resulta jurídicamente </w:t>
      </w:r>
      <w:r>
        <w:rPr>
          <w:rFonts w:ascii="Arial" w:eastAsia="Arial" w:hAnsi="Arial" w:cs="Arial"/>
          <w:sz w:val="24"/>
          <w:szCs w:val="24"/>
        </w:rPr>
        <w:t>válido</w:t>
      </w:r>
      <w:r>
        <w:rPr>
          <w:rFonts w:ascii="Arial" w:eastAsia="Arial" w:hAnsi="Arial" w:cs="Arial"/>
          <w:color w:val="000000"/>
          <w:sz w:val="24"/>
          <w:szCs w:val="24"/>
        </w:rPr>
        <w:t xml:space="preserve"> que exista la posibilidad de colocar propaganda en tales elementos, siempre que la </w:t>
      </w:r>
      <w:r>
        <w:rPr>
          <w:rFonts w:ascii="Arial" w:eastAsia="Arial" w:hAnsi="Arial" w:cs="Arial"/>
          <w:sz w:val="24"/>
          <w:szCs w:val="24"/>
        </w:rPr>
        <w:t xml:space="preserve">publicidad </w:t>
      </w:r>
      <w:r>
        <w:rPr>
          <w:rFonts w:ascii="Arial" w:eastAsia="Arial" w:hAnsi="Arial" w:cs="Arial"/>
          <w:color w:val="000000"/>
          <w:sz w:val="24"/>
          <w:szCs w:val="24"/>
        </w:rPr>
        <w:t>que se coloque en estos, no genere contaminación visual o ambiental, no altere la naturaleza de lo</w:t>
      </w:r>
      <w:r w:rsidR="006231E6">
        <w:rPr>
          <w:rFonts w:ascii="Arial" w:eastAsia="Arial" w:hAnsi="Arial" w:cs="Arial"/>
          <w:color w:val="000000"/>
          <w:sz w:val="24"/>
          <w:szCs w:val="24"/>
        </w:rPr>
        <w:t>s</w:t>
      </w:r>
      <w:r>
        <w:rPr>
          <w:rFonts w:ascii="Arial" w:eastAsia="Arial" w:hAnsi="Arial" w:cs="Arial"/>
          <w:color w:val="000000"/>
          <w:sz w:val="24"/>
          <w:szCs w:val="24"/>
        </w:rPr>
        <w:t xml:space="preserve"> bienes destinados a la prestación del servicio público ni que obstaculice la visibilidad de los señalamientos que permitan a las personas transitar u orientarse dentro de los centros de población</w:t>
      </w:r>
      <w:r>
        <w:rPr>
          <w:rFonts w:ascii="Arial" w:eastAsia="Arial" w:hAnsi="Arial" w:cs="Arial"/>
          <w:color w:val="000000"/>
          <w:sz w:val="24"/>
          <w:szCs w:val="24"/>
          <w:vertAlign w:val="superscript"/>
        </w:rPr>
        <w:footnoteReference w:id="7"/>
      </w:r>
      <w:r>
        <w:rPr>
          <w:rFonts w:ascii="Arial" w:eastAsia="Arial" w:hAnsi="Arial" w:cs="Arial"/>
          <w:color w:val="000000"/>
          <w:sz w:val="24"/>
          <w:szCs w:val="24"/>
        </w:rPr>
        <w:t xml:space="preserve">. </w:t>
      </w:r>
    </w:p>
    <w:p w14:paraId="4EAB5CE4" w14:textId="77777777" w:rsidR="00FD2E52" w:rsidRDefault="00FD2E52">
      <w:pPr>
        <w:pBdr>
          <w:top w:val="nil"/>
          <w:left w:val="nil"/>
          <w:bottom w:val="nil"/>
          <w:right w:val="nil"/>
          <w:between w:val="nil"/>
        </w:pBdr>
        <w:rPr>
          <w:color w:val="000000"/>
        </w:rPr>
      </w:pPr>
    </w:p>
    <w:p w14:paraId="1F1783ED" w14:textId="77777777" w:rsidR="00FD2E52" w:rsidRDefault="007C7D9E">
      <w:pPr>
        <w:numPr>
          <w:ilvl w:val="0"/>
          <w:numId w:val="6"/>
        </w:num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642CE08E" w14:textId="77777777" w:rsidR="00FD2E52" w:rsidRDefault="00FD2E52">
      <w:pPr>
        <w:pBdr>
          <w:top w:val="nil"/>
          <w:left w:val="nil"/>
          <w:bottom w:val="nil"/>
          <w:right w:val="nil"/>
          <w:between w:val="nil"/>
        </w:pBdr>
        <w:rPr>
          <w:color w:val="000000"/>
        </w:rPr>
      </w:pPr>
    </w:p>
    <w:p w14:paraId="28AF900A" w14:textId="77777777" w:rsidR="00FD2E52" w:rsidRDefault="007C7D9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Morena refiere en su escrito de demanda que Natzielly Teresita Rodríguez Calzada, entonces candidata de FXM Aguascalientes, a la gubernatura del estado, vulneró la normativa en materia de propaganda electoral, derivado de la colocación de esta en equipamiento urbano, de manera específica, en puentes peatonales. Asimismo, con tales acciones, buscó un mejor posicionamiento frente a la ciudadanía</w:t>
      </w:r>
      <w:r>
        <w:rPr>
          <w:rFonts w:ascii="Arial" w:eastAsia="Arial" w:hAnsi="Arial" w:cs="Arial"/>
          <w:sz w:val="24"/>
          <w:szCs w:val="24"/>
        </w:rPr>
        <w:t xml:space="preserve"> a través de una afectación a</w:t>
      </w:r>
      <w:r>
        <w:rPr>
          <w:rFonts w:ascii="Arial" w:eastAsia="Arial" w:hAnsi="Arial" w:cs="Arial"/>
          <w:color w:val="000000"/>
          <w:sz w:val="24"/>
          <w:szCs w:val="24"/>
        </w:rPr>
        <w:t xml:space="preserve">l principio de equidad en la contienda. </w:t>
      </w:r>
    </w:p>
    <w:p w14:paraId="72358B0C" w14:textId="77777777" w:rsidR="00FD2E52" w:rsidRDefault="00FD2E52">
      <w:pPr>
        <w:pBdr>
          <w:top w:val="nil"/>
          <w:left w:val="nil"/>
          <w:bottom w:val="nil"/>
          <w:right w:val="nil"/>
          <w:between w:val="nil"/>
        </w:pBdr>
        <w:rPr>
          <w:color w:val="000000"/>
        </w:rPr>
      </w:pPr>
    </w:p>
    <w:p w14:paraId="0B244D24" w14:textId="77777777" w:rsidR="00FD2E52" w:rsidRDefault="007C7D9E">
      <w:pPr>
        <w:numPr>
          <w:ilvl w:val="0"/>
          <w:numId w:val="6"/>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0AB00246" w14:textId="77777777" w:rsidR="00FD2E52" w:rsidRDefault="00FD2E52">
      <w:pPr>
        <w:pBdr>
          <w:top w:val="nil"/>
          <w:left w:val="nil"/>
          <w:bottom w:val="nil"/>
          <w:right w:val="nil"/>
          <w:between w:val="nil"/>
        </w:pBdr>
        <w:rPr>
          <w:color w:val="000000"/>
        </w:rPr>
      </w:pPr>
    </w:p>
    <w:p w14:paraId="1D53E0A5" w14:textId="77777777" w:rsidR="00FD2E52" w:rsidRDefault="007C7D9E">
      <w:pP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Este Tribunal Electoral estima que la infracción relativa</w:t>
      </w:r>
      <w:r>
        <w:rPr>
          <w:rFonts w:ascii="Arial" w:eastAsia="Arial" w:hAnsi="Arial" w:cs="Arial"/>
          <w:sz w:val="24"/>
          <w:szCs w:val="24"/>
        </w:rPr>
        <w:t xml:space="preserve"> </w:t>
      </w:r>
      <w:r>
        <w:rPr>
          <w:rFonts w:ascii="Arial" w:eastAsia="Arial" w:hAnsi="Arial" w:cs="Arial"/>
          <w:color w:val="000000"/>
          <w:sz w:val="24"/>
          <w:szCs w:val="24"/>
        </w:rPr>
        <w:t>a colocar propaganda en elementos de equipamiento urbano es inexistente, ya que a pesar de que existe una prohibición expresa en Código Electoral y L</w:t>
      </w:r>
      <w:r>
        <w:rPr>
          <w:rFonts w:ascii="Arial" w:eastAsia="Arial" w:hAnsi="Arial" w:cs="Arial"/>
          <w:sz w:val="24"/>
          <w:szCs w:val="24"/>
        </w:rPr>
        <w:t>EGIPE</w:t>
      </w:r>
      <w:r>
        <w:rPr>
          <w:rFonts w:ascii="Arial" w:eastAsia="Arial" w:hAnsi="Arial" w:cs="Arial"/>
          <w:color w:val="000000"/>
          <w:sz w:val="24"/>
          <w:szCs w:val="24"/>
        </w:rPr>
        <w:t xml:space="preserve">, ello no constituye necesariamente una infracción, pues de acuerdo al marco normativo establecido, en la presente </w:t>
      </w:r>
      <w:r>
        <w:rPr>
          <w:rFonts w:ascii="Arial" w:eastAsia="Arial" w:hAnsi="Arial" w:cs="Arial"/>
          <w:sz w:val="24"/>
          <w:szCs w:val="24"/>
        </w:rPr>
        <w:t>sentencia,</w:t>
      </w:r>
      <w:r>
        <w:rPr>
          <w:rFonts w:ascii="Arial" w:eastAsia="Arial" w:hAnsi="Arial" w:cs="Arial"/>
          <w:color w:val="000000"/>
          <w:sz w:val="24"/>
          <w:szCs w:val="24"/>
        </w:rPr>
        <w:t xml:space="preserve"> resulta necesario atender a la finalidad de la prohibición, que es evitar una alteración </w:t>
      </w:r>
      <w:r>
        <w:rPr>
          <w:rFonts w:ascii="Arial" w:eastAsia="Arial" w:hAnsi="Arial" w:cs="Arial"/>
          <w:sz w:val="24"/>
          <w:szCs w:val="24"/>
        </w:rPr>
        <w:t>del</w:t>
      </w:r>
      <w:r>
        <w:rPr>
          <w:rFonts w:ascii="Arial" w:eastAsia="Arial" w:hAnsi="Arial" w:cs="Arial"/>
          <w:color w:val="000000"/>
          <w:sz w:val="24"/>
          <w:szCs w:val="24"/>
        </w:rPr>
        <w:t xml:space="preserve"> elemento mobiliario o que se dañe su utilidad o pueda constituir un riesgo en su uso para la ciudadanía. </w:t>
      </w:r>
    </w:p>
    <w:p w14:paraId="35DDC9AC" w14:textId="77777777" w:rsidR="00FD2E52" w:rsidRDefault="007C7D9E">
      <w:pP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es así, porque </w:t>
      </w:r>
      <w:r>
        <w:rPr>
          <w:rFonts w:ascii="Arial" w:eastAsia="Arial" w:hAnsi="Arial" w:cs="Arial"/>
          <w:sz w:val="24"/>
          <w:szCs w:val="24"/>
        </w:rPr>
        <w:t>del</w:t>
      </w:r>
      <w:r>
        <w:rPr>
          <w:rFonts w:ascii="Arial" w:eastAsia="Arial" w:hAnsi="Arial" w:cs="Arial"/>
          <w:color w:val="000000"/>
          <w:sz w:val="24"/>
          <w:szCs w:val="24"/>
        </w:rPr>
        <w:t xml:space="preserve"> análisis contextual de la propaganda electoral denunciada es </w:t>
      </w:r>
      <w:r>
        <w:rPr>
          <w:rFonts w:ascii="Arial" w:eastAsia="Arial" w:hAnsi="Arial" w:cs="Arial"/>
          <w:sz w:val="24"/>
          <w:szCs w:val="24"/>
        </w:rPr>
        <w:t xml:space="preserve">posible </w:t>
      </w:r>
      <w:r>
        <w:rPr>
          <w:rFonts w:ascii="Arial" w:eastAsia="Arial" w:hAnsi="Arial" w:cs="Arial"/>
          <w:color w:val="000000"/>
          <w:sz w:val="24"/>
          <w:szCs w:val="24"/>
        </w:rPr>
        <w:t>advertir</w:t>
      </w:r>
      <w:r>
        <w:rPr>
          <w:rFonts w:ascii="Arial" w:eastAsia="Arial" w:hAnsi="Arial" w:cs="Arial"/>
          <w:sz w:val="24"/>
          <w:szCs w:val="24"/>
        </w:rPr>
        <w:t xml:space="preserve"> la</w:t>
      </w:r>
      <w:r>
        <w:rPr>
          <w:rFonts w:ascii="Arial" w:eastAsia="Arial" w:hAnsi="Arial" w:cs="Arial"/>
          <w:color w:val="000000"/>
          <w:sz w:val="24"/>
          <w:szCs w:val="24"/>
        </w:rPr>
        <w:t xml:space="preserve"> colocación en un puente peatonal de un espectacular que proyecta la candidatura de </w:t>
      </w:r>
      <w:r>
        <w:rPr>
          <w:rFonts w:ascii="Arial" w:eastAsia="Arial" w:hAnsi="Arial" w:cs="Arial"/>
          <w:sz w:val="24"/>
          <w:szCs w:val="24"/>
        </w:rPr>
        <w:t xml:space="preserve">Natzielly Teresita Rodríguez Calzada, </w:t>
      </w:r>
      <w:r>
        <w:rPr>
          <w:rFonts w:ascii="Arial" w:eastAsia="Arial" w:hAnsi="Arial" w:cs="Arial"/>
          <w:color w:val="000000"/>
          <w:sz w:val="24"/>
          <w:szCs w:val="24"/>
        </w:rPr>
        <w:t xml:space="preserve">para la gubernatura en el proceso electoral de gubernatura 2021-2022, en </w:t>
      </w:r>
      <w:r>
        <w:rPr>
          <w:rFonts w:ascii="Arial" w:eastAsia="Arial" w:hAnsi="Arial" w:cs="Arial"/>
          <w:sz w:val="24"/>
          <w:szCs w:val="24"/>
        </w:rPr>
        <w:t xml:space="preserve">el </w:t>
      </w:r>
      <w:r>
        <w:rPr>
          <w:rFonts w:ascii="Arial" w:eastAsia="Arial" w:hAnsi="Arial" w:cs="Arial"/>
          <w:color w:val="000000"/>
          <w:sz w:val="24"/>
          <w:szCs w:val="24"/>
        </w:rPr>
        <w:t xml:space="preserve">que se advierte que </w:t>
      </w:r>
      <w:r>
        <w:rPr>
          <w:rFonts w:ascii="Arial" w:eastAsia="Arial" w:hAnsi="Arial" w:cs="Arial"/>
          <w:b/>
          <w:color w:val="000000"/>
          <w:sz w:val="24"/>
          <w:szCs w:val="24"/>
        </w:rPr>
        <w:t>se encuentra fijado en un costado</w:t>
      </w:r>
      <w:r>
        <w:rPr>
          <w:rFonts w:ascii="Arial" w:eastAsia="Arial" w:hAnsi="Arial" w:cs="Arial"/>
          <w:color w:val="000000"/>
          <w:sz w:val="24"/>
          <w:szCs w:val="24"/>
        </w:rPr>
        <w:t xml:space="preserve"> de dicho puente, sin que se logre </w:t>
      </w:r>
      <w:r>
        <w:rPr>
          <w:rFonts w:ascii="Arial" w:eastAsia="Arial" w:hAnsi="Arial" w:cs="Arial"/>
          <w:color w:val="000000"/>
          <w:sz w:val="24"/>
          <w:szCs w:val="24"/>
        </w:rPr>
        <w:lastRenderedPageBreak/>
        <w:t xml:space="preserve">demostrar alguna irregularidad relativa a su colocación, tales como que se encuentre desalineado del perímetro de tal elemento mobiliario o que </w:t>
      </w:r>
      <w:r>
        <w:rPr>
          <w:rFonts w:ascii="Arial" w:eastAsia="Arial" w:hAnsi="Arial" w:cs="Arial"/>
          <w:sz w:val="24"/>
          <w:szCs w:val="24"/>
        </w:rPr>
        <w:t xml:space="preserve">este </w:t>
      </w:r>
      <w:r>
        <w:rPr>
          <w:rFonts w:ascii="Arial" w:eastAsia="Arial" w:hAnsi="Arial" w:cs="Arial"/>
          <w:color w:val="000000"/>
          <w:sz w:val="24"/>
          <w:szCs w:val="24"/>
        </w:rPr>
        <w:t>hubiese</w:t>
      </w:r>
      <w:r>
        <w:rPr>
          <w:rFonts w:ascii="Arial" w:eastAsia="Arial" w:hAnsi="Arial" w:cs="Arial"/>
          <w:sz w:val="24"/>
          <w:szCs w:val="24"/>
        </w:rPr>
        <w:t xml:space="preserve"> </w:t>
      </w:r>
      <w:r>
        <w:rPr>
          <w:rFonts w:ascii="Arial" w:eastAsia="Arial" w:hAnsi="Arial" w:cs="Arial"/>
          <w:color w:val="000000"/>
          <w:sz w:val="24"/>
          <w:szCs w:val="24"/>
        </w:rPr>
        <w:t xml:space="preserve">obstaculizado la visibilidad de las y los conductores o bien, que se hubiese forzando dicha colocación de tal manera que demuestre falta de firmeza </w:t>
      </w:r>
      <w:r>
        <w:rPr>
          <w:rFonts w:ascii="Arial" w:eastAsia="Arial" w:hAnsi="Arial" w:cs="Arial"/>
          <w:sz w:val="24"/>
          <w:szCs w:val="24"/>
        </w:rPr>
        <w:t xml:space="preserve">en cuanto a </w:t>
      </w:r>
      <w:r>
        <w:rPr>
          <w:rFonts w:ascii="Arial" w:eastAsia="Arial" w:hAnsi="Arial" w:cs="Arial"/>
          <w:color w:val="000000"/>
          <w:sz w:val="24"/>
          <w:szCs w:val="24"/>
        </w:rPr>
        <w:t xml:space="preserve">su colocación. </w:t>
      </w:r>
    </w:p>
    <w:p w14:paraId="188E9A03" w14:textId="77777777" w:rsidR="00FD2E52" w:rsidRDefault="007C7D9E">
      <w:pP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que, a criterio de este órgano jurisdiccional, </w:t>
      </w:r>
      <w:r>
        <w:rPr>
          <w:rFonts w:ascii="Arial" w:eastAsia="Arial" w:hAnsi="Arial" w:cs="Arial"/>
          <w:b/>
          <w:color w:val="000000"/>
          <w:sz w:val="24"/>
          <w:szCs w:val="24"/>
        </w:rPr>
        <w:t>la colocación de la propaganda denunciada se encuentra apegada a derecho</w:t>
      </w:r>
      <w:r>
        <w:rPr>
          <w:rFonts w:ascii="Arial" w:eastAsia="Arial" w:hAnsi="Arial" w:cs="Arial"/>
          <w:color w:val="000000"/>
          <w:sz w:val="24"/>
          <w:szCs w:val="24"/>
        </w:rPr>
        <w:t xml:space="preserve">, ya que, con independencia de que tal espectacular se encontrare ubicado en un puente peatonal, </w:t>
      </w:r>
      <w:r>
        <w:rPr>
          <w:rFonts w:ascii="Arial" w:eastAsia="Arial" w:hAnsi="Arial" w:cs="Arial"/>
          <w:b/>
          <w:i/>
          <w:color w:val="000000"/>
          <w:sz w:val="24"/>
          <w:szCs w:val="24"/>
        </w:rPr>
        <w:t>i)</w:t>
      </w:r>
      <w:r>
        <w:rPr>
          <w:rFonts w:ascii="Arial" w:eastAsia="Arial" w:hAnsi="Arial" w:cs="Arial"/>
          <w:color w:val="000000"/>
          <w:sz w:val="24"/>
          <w:szCs w:val="24"/>
        </w:rPr>
        <w:t xml:space="preserve"> no se advierte que esto genere alguna contaminación visual ni ambiental, o </w:t>
      </w:r>
      <w:r>
        <w:rPr>
          <w:rFonts w:ascii="Arial" w:eastAsia="Arial" w:hAnsi="Arial" w:cs="Arial"/>
          <w:b/>
          <w:i/>
          <w:color w:val="000000"/>
          <w:sz w:val="24"/>
          <w:szCs w:val="24"/>
        </w:rPr>
        <w:t>ii)</w:t>
      </w:r>
      <w:r>
        <w:rPr>
          <w:rFonts w:ascii="Arial" w:eastAsia="Arial" w:hAnsi="Arial" w:cs="Arial"/>
          <w:color w:val="000000"/>
          <w:sz w:val="24"/>
          <w:szCs w:val="24"/>
        </w:rPr>
        <w:t xml:space="preserve"> que altere la naturaleza del bien destinado a dar seguridad a los peatones al cruzar la avenida, </w:t>
      </w:r>
      <w:r>
        <w:rPr>
          <w:rFonts w:ascii="Arial" w:eastAsia="Arial" w:hAnsi="Arial" w:cs="Arial"/>
          <w:b/>
          <w:i/>
          <w:color w:val="000000"/>
          <w:sz w:val="24"/>
          <w:szCs w:val="24"/>
        </w:rPr>
        <w:t>ii</w:t>
      </w:r>
      <w:r>
        <w:rPr>
          <w:rFonts w:ascii="Arial" w:eastAsia="Arial" w:hAnsi="Arial" w:cs="Arial"/>
          <w:b/>
          <w:i/>
          <w:sz w:val="24"/>
          <w:szCs w:val="24"/>
        </w:rPr>
        <w:t>i)</w:t>
      </w:r>
      <w:r>
        <w:rPr>
          <w:rFonts w:ascii="Arial" w:eastAsia="Arial" w:hAnsi="Arial" w:cs="Arial"/>
          <w:sz w:val="24"/>
          <w:szCs w:val="24"/>
        </w:rPr>
        <w:t xml:space="preserve"> tampoco </w:t>
      </w:r>
      <w:r>
        <w:rPr>
          <w:rFonts w:ascii="Arial" w:eastAsia="Arial" w:hAnsi="Arial" w:cs="Arial"/>
          <w:color w:val="000000"/>
          <w:sz w:val="24"/>
          <w:szCs w:val="24"/>
        </w:rPr>
        <w:t>obstaculiza la visibilidad de los señalamientos que permitan a las personas transitar</w:t>
      </w:r>
      <w:r>
        <w:rPr>
          <w:rFonts w:ascii="Arial" w:eastAsia="Arial" w:hAnsi="Arial" w:cs="Arial"/>
          <w:sz w:val="24"/>
          <w:szCs w:val="24"/>
        </w:rPr>
        <w:t xml:space="preserve">; </w:t>
      </w:r>
      <w:r>
        <w:rPr>
          <w:rFonts w:ascii="Arial" w:eastAsia="Arial" w:hAnsi="Arial" w:cs="Arial"/>
          <w:b/>
          <w:i/>
          <w:sz w:val="24"/>
          <w:szCs w:val="24"/>
        </w:rPr>
        <w:t xml:space="preserve">iv) </w:t>
      </w:r>
      <w:r>
        <w:rPr>
          <w:rFonts w:ascii="Arial" w:eastAsia="Arial" w:hAnsi="Arial" w:cs="Arial"/>
          <w:color w:val="000000"/>
          <w:sz w:val="24"/>
          <w:szCs w:val="24"/>
        </w:rPr>
        <w:t>ni su colocación afect</w:t>
      </w:r>
      <w:r>
        <w:rPr>
          <w:rFonts w:ascii="Arial" w:eastAsia="Arial" w:hAnsi="Arial" w:cs="Arial"/>
          <w:sz w:val="24"/>
          <w:szCs w:val="24"/>
        </w:rPr>
        <w:t xml:space="preserve">a </w:t>
      </w:r>
      <w:r>
        <w:rPr>
          <w:rFonts w:ascii="Arial" w:eastAsia="Arial" w:hAnsi="Arial" w:cs="Arial"/>
          <w:color w:val="000000"/>
          <w:sz w:val="24"/>
          <w:szCs w:val="24"/>
        </w:rPr>
        <w:t xml:space="preserve">el acceso al puente peatonal.  </w:t>
      </w:r>
    </w:p>
    <w:p w14:paraId="31B7265B" w14:textId="77777777" w:rsidR="00FD2E52" w:rsidRDefault="007C7D9E">
      <w:pP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Contrario a lo anterior, a partir de un análisis objetivo, es posible identificar que </w:t>
      </w:r>
      <w:r>
        <w:rPr>
          <w:rFonts w:ascii="Arial" w:eastAsia="Arial" w:hAnsi="Arial" w:cs="Arial"/>
          <w:b/>
          <w:color w:val="000000"/>
          <w:sz w:val="24"/>
          <w:szCs w:val="24"/>
        </w:rPr>
        <w:t>el puente peatonal cuenta con una estructura para la publicidad</w:t>
      </w:r>
      <w:r>
        <w:rPr>
          <w:rFonts w:ascii="Arial" w:eastAsia="Arial" w:hAnsi="Arial" w:cs="Arial"/>
          <w:color w:val="000000"/>
          <w:sz w:val="24"/>
          <w:szCs w:val="24"/>
        </w:rPr>
        <w:t xml:space="preserve"> que no obstruye ni se confunde con la estructura del mismo, de ahí que no sea posible actualizar la infracción prevista </w:t>
      </w:r>
      <w:r>
        <w:rPr>
          <w:rFonts w:ascii="Arial" w:eastAsia="Arial" w:hAnsi="Arial" w:cs="Arial"/>
          <w:sz w:val="24"/>
          <w:szCs w:val="24"/>
        </w:rPr>
        <w:t>en el</w:t>
      </w:r>
      <w:r>
        <w:rPr>
          <w:rFonts w:ascii="Arial" w:eastAsia="Arial" w:hAnsi="Arial" w:cs="Arial"/>
          <w:color w:val="000000"/>
          <w:sz w:val="24"/>
          <w:szCs w:val="24"/>
        </w:rPr>
        <w:t xml:space="preserve"> marco normativo en materia de propaganda electoral, pues como se explicó, tal prohibición exige que se demuestre una obstaculización a la visibilidad de los señalamientos que permitan a las personas orientarse y transitar en la vía pública, situación que no </w:t>
      </w:r>
      <w:r>
        <w:rPr>
          <w:rFonts w:ascii="Arial" w:eastAsia="Arial" w:hAnsi="Arial" w:cs="Arial"/>
          <w:sz w:val="24"/>
          <w:szCs w:val="24"/>
        </w:rPr>
        <w:t>ocurre</w:t>
      </w:r>
      <w:r>
        <w:rPr>
          <w:rFonts w:ascii="Arial" w:eastAsia="Arial" w:hAnsi="Arial" w:cs="Arial"/>
          <w:color w:val="000000"/>
          <w:sz w:val="24"/>
          <w:szCs w:val="24"/>
        </w:rPr>
        <w:t xml:space="preserve"> en </w:t>
      </w:r>
      <w:r>
        <w:rPr>
          <w:rFonts w:ascii="Arial" w:eastAsia="Arial" w:hAnsi="Arial" w:cs="Arial"/>
          <w:sz w:val="24"/>
          <w:szCs w:val="24"/>
        </w:rPr>
        <w:t>el presente</w:t>
      </w:r>
      <w:r>
        <w:rPr>
          <w:rFonts w:ascii="Arial" w:eastAsia="Arial" w:hAnsi="Arial" w:cs="Arial"/>
          <w:color w:val="000000"/>
          <w:sz w:val="24"/>
          <w:szCs w:val="24"/>
        </w:rPr>
        <w:t xml:space="preserve"> caso. </w:t>
      </w:r>
    </w:p>
    <w:p w14:paraId="5A472C8D" w14:textId="77777777" w:rsidR="00FD2E52" w:rsidRDefault="007C7D9E">
      <w:pP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consecuencia, la parte recurrente no logró demostrar que se hubiesen acreditados tales </w:t>
      </w:r>
      <w:r>
        <w:rPr>
          <w:rFonts w:ascii="Arial" w:eastAsia="Arial" w:hAnsi="Arial" w:cs="Arial"/>
          <w:sz w:val="24"/>
          <w:szCs w:val="24"/>
        </w:rPr>
        <w:t>extremos</w:t>
      </w:r>
      <w:r>
        <w:rPr>
          <w:rFonts w:ascii="Arial" w:eastAsia="Arial" w:hAnsi="Arial" w:cs="Arial"/>
          <w:color w:val="000000"/>
          <w:sz w:val="24"/>
          <w:szCs w:val="24"/>
        </w:rPr>
        <w:t xml:space="preserve">, sino que, del análisis se logró concluir que </w:t>
      </w:r>
      <w:r>
        <w:rPr>
          <w:rFonts w:ascii="Arial" w:eastAsia="Arial" w:hAnsi="Arial" w:cs="Arial"/>
          <w:b/>
          <w:color w:val="000000"/>
          <w:sz w:val="24"/>
          <w:szCs w:val="24"/>
        </w:rPr>
        <w:t>la propaganda colocada no impide que las personas hagan uso del mismo</w:t>
      </w:r>
      <w:r>
        <w:rPr>
          <w:rFonts w:ascii="Arial" w:eastAsia="Arial" w:hAnsi="Arial" w:cs="Arial"/>
          <w:color w:val="000000"/>
          <w:sz w:val="24"/>
          <w:szCs w:val="24"/>
        </w:rPr>
        <w:t xml:space="preserve"> de forma normal, pues tal y como se explicó</w:t>
      </w:r>
      <w:r>
        <w:rPr>
          <w:rFonts w:ascii="Arial" w:eastAsia="Arial" w:hAnsi="Arial" w:cs="Arial"/>
          <w:sz w:val="24"/>
          <w:szCs w:val="24"/>
        </w:rPr>
        <w:t xml:space="preserve">, </w:t>
      </w:r>
      <w:r>
        <w:rPr>
          <w:rFonts w:ascii="Arial" w:eastAsia="Arial" w:hAnsi="Arial" w:cs="Arial"/>
          <w:color w:val="000000"/>
          <w:sz w:val="24"/>
          <w:szCs w:val="24"/>
        </w:rPr>
        <w:t xml:space="preserve">se trata de </w:t>
      </w:r>
      <w:r>
        <w:rPr>
          <w:rFonts w:ascii="Arial" w:eastAsia="Arial" w:hAnsi="Arial" w:cs="Arial"/>
          <w:sz w:val="24"/>
          <w:szCs w:val="24"/>
        </w:rPr>
        <w:t xml:space="preserve">un </w:t>
      </w:r>
      <w:r>
        <w:rPr>
          <w:rFonts w:ascii="Arial" w:eastAsia="Arial" w:hAnsi="Arial" w:cs="Arial"/>
          <w:color w:val="000000"/>
          <w:sz w:val="24"/>
          <w:szCs w:val="24"/>
        </w:rPr>
        <w:t xml:space="preserve">anuncio colocado de forma ordenada y con un espacio suficiente para lograr visibilidad de manera natural, sin que existan otros elementos de los que se pueda desprender que se alteró el orden visual del </w:t>
      </w:r>
      <w:r>
        <w:rPr>
          <w:rFonts w:ascii="Arial" w:eastAsia="Arial" w:hAnsi="Arial" w:cs="Arial"/>
          <w:sz w:val="24"/>
          <w:szCs w:val="24"/>
        </w:rPr>
        <w:t xml:space="preserve">equipamiento </w:t>
      </w:r>
      <w:r>
        <w:rPr>
          <w:rFonts w:ascii="Arial" w:eastAsia="Arial" w:hAnsi="Arial" w:cs="Arial"/>
          <w:color w:val="000000"/>
          <w:sz w:val="24"/>
          <w:szCs w:val="24"/>
        </w:rPr>
        <w:t xml:space="preserve">urbano, por lo cual, no se </w:t>
      </w:r>
      <w:r>
        <w:rPr>
          <w:rFonts w:ascii="Arial" w:eastAsia="Arial" w:hAnsi="Arial" w:cs="Arial"/>
          <w:sz w:val="24"/>
          <w:szCs w:val="24"/>
        </w:rPr>
        <w:t>logró</w:t>
      </w:r>
      <w:r>
        <w:rPr>
          <w:rFonts w:ascii="Arial" w:eastAsia="Arial" w:hAnsi="Arial" w:cs="Arial"/>
          <w:color w:val="000000"/>
          <w:sz w:val="24"/>
          <w:szCs w:val="24"/>
        </w:rPr>
        <w:t xml:space="preserve"> </w:t>
      </w:r>
      <w:r>
        <w:rPr>
          <w:rFonts w:ascii="Arial" w:eastAsia="Arial" w:hAnsi="Arial" w:cs="Arial"/>
          <w:sz w:val="24"/>
          <w:szCs w:val="24"/>
        </w:rPr>
        <w:t xml:space="preserve">comprobar </w:t>
      </w:r>
      <w:r>
        <w:rPr>
          <w:rFonts w:ascii="Arial" w:eastAsia="Arial" w:hAnsi="Arial" w:cs="Arial"/>
          <w:color w:val="000000"/>
          <w:sz w:val="24"/>
          <w:szCs w:val="24"/>
        </w:rPr>
        <w:t xml:space="preserve">que se hubiese alterado el </w:t>
      </w:r>
      <w:r>
        <w:rPr>
          <w:rFonts w:ascii="Arial" w:eastAsia="Arial" w:hAnsi="Arial" w:cs="Arial"/>
          <w:sz w:val="24"/>
          <w:szCs w:val="24"/>
        </w:rPr>
        <w:t xml:space="preserve">fin </w:t>
      </w:r>
      <w:r>
        <w:rPr>
          <w:rFonts w:ascii="Arial" w:eastAsia="Arial" w:hAnsi="Arial" w:cs="Arial"/>
          <w:color w:val="000000"/>
          <w:sz w:val="24"/>
          <w:szCs w:val="24"/>
        </w:rPr>
        <w:t>original</w:t>
      </w:r>
      <w:r>
        <w:rPr>
          <w:rFonts w:ascii="Arial" w:eastAsia="Arial" w:hAnsi="Arial" w:cs="Arial"/>
          <w:sz w:val="24"/>
          <w:szCs w:val="24"/>
        </w:rPr>
        <w:t xml:space="preserve">, </w:t>
      </w:r>
      <w:r>
        <w:rPr>
          <w:rFonts w:ascii="Arial" w:eastAsia="Arial" w:hAnsi="Arial" w:cs="Arial"/>
          <w:color w:val="000000"/>
          <w:sz w:val="24"/>
          <w:szCs w:val="24"/>
        </w:rPr>
        <w:t>por el hecho de haberse usado para fines electorales</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w:t>
      </w:r>
    </w:p>
    <w:p w14:paraId="7784FF9A" w14:textId="77777777" w:rsidR="00FD2E52" w:rsidRDefault="007C7D9E">
      <w:pP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otra parte, el planteamiento del promovente que hace referencia </w:t>
      </w:r>
      <w:r>
        <w:rPr>
          <w:rFonts w:ascii="Arial" w:eastAsia="Arial" w:hAnsi="Arial" w:cs="Arial"/>
          <w:sz w:val="24"/>
          <w:szCs w:val="24"/>
        </w:rPr>
        <w:t>al</w:t>
      </w:r>
      <w:r>
        <w:rPr>
          <w:rFonts w:ascii="Arial" w:eastAsia="Arial" w:hAnsi="Arial" w:cs="Arial"/>
          <w:color w:val="000000"/>
          <w:sz w:val="24"/>
          <w:szCs w:val="24"/>
        </w:rPr>
        <w:t xml:space="preserve"> hecho de que </w:t>
      </w:r>
      <w:r>
        <w:rPr>
          <w:rFonts w:ascii="Arial" w:eastAsia="Arial" w:hAnsi="Arial" w:cs="Arial"/>
          <w:sz w:val="24"/>
          <w:szCs w:val="24"/>
        </w:rPr>
        <w:t xml:space="preserve">el </w:t>
      </w:r>
      <w:r>
        <w:rPr>
          <w:rFonts w:ascii="Arial" w:eastAsia="Arial" w:hAnsi="Arial" w:cs="Arial"/>
          <w:color w:val="000000"/>
          <w:sz w:val="24"/>
          <w:szCs w:val="24"/>
        </w:rPr>
        <w:t xml:space="preserve">espectacular se encuentra colocado </w:t>
      </w:r>
      <w:r>
        <w:rPr>
          <w:rFonts w:ascii="Arial" w:eastAsia="Arial" w:hAnsi="Arial" w:cs="Arial"/>
          <w:sz w:val="24"/>
          <w:szCs w:val="24"/>
        </w:rPr>
        <w:t xml:space="preserve">a un costado </w:t>
      </w:r>
      <w:r>
        <w:rPr>
          <w:rFonts w:ascii="Arial" w:eastAsia="Arial" w:hAnsi="Arial" w:cs="Arial"/>
          <w:color w:val="000000"/>
          <w:sz w:val="24"/>
          <w:szCs w:val="24"/>
        </w:rPr>
        <w:t>del puente peatonal, genera una situación de riesgo para la seguridad de la ciudadanía en cuanto a que podría</w:t>
      </w:r>
      <w:r>
        <w:rPr>
          <w:rFonts w:ascii="Arial" w:eastAsia="Arial" w:hAnsi="Arial" w:cs="Arial"/>
          <w:sz w:val="24"/>
          <w:szCs w:val="24"/>
        </w:rPr>
        <w:t>n provocar actos</w:t>
      </w:r>
      <w:r>
        <w:rPr>
          <w:rFonts w:ascii="Arial" w:eastAsia="Arial" w:hAnsi="Arial" w:cs="Arial"/>
          <w:color w:val="000000"/>
          <w:sz w:val="24"/>
          <w:szCs w:val="24"/>
        </w:rPr>
        <w:t xml:space="preserve"> de delincuencia, resulta que, a criterio </w:t>
      </w:r>
      <w:r>
        <w:rPr>
          <w:rFonts w:ascii="Arial" w:eastAsia="Arial" w:hAnsi="Arial" w:cs="Arial"/>
          <w:sz w:val="24"/>
          <w:szCs w:val="24"/>
        </w:rPr>
        <w:t>de este</w:t>
      </w:r>
      <w:r>
        <w:rPr>
          <w:rFonts w:ascii="Arial" w:eastAsia="Arial" w:hAnsi="Arial" w:cs="Arial"/>
          <w:color w:val="000000"/>
          <w:sz w:val="24"/>
          <w:szCs w:val="24"/>
        </w:rPr>
        <w:t xml:space="preserve"> Tribunal Electoral, tampoco lo asiste </w:t>
      </w:r>
      <w:r>
        <w:rPr>
          <w:rFonts w:ascii="Arial" w:eastAsia="Arial" w:hAnsi="Arial" w:cs="Arial"/>
          <w:sz w:val="24"/>
          <w:szCs w:val="24"/>
        </w:rPr>
        <w:t>la razón</w:t>
      </w:r>
      <w:r>
        <w:rPr>
          <w:rFonts w:ascii="Arial" w:eastAsia="Arial" w:hAnsi="Arial" w:cs="Arial"/>
          <w:color w:val="000000"/>
          <w:sz w:val="24"/>
          <w:szCs w:val="24"/>
        </w:rPr>
        <w:t xml:space="preserve"> porque no aporta elementos objetivos o pruebas que hubiesen </w:t>
      </w:r>
      <w:r>
        <w:rPr>
          <w:rFonts w:ascii="Arial" w:eastAsia="Arial" w:hAnsi="Arial" w:cs="Arial"/>
          <w:sz w:val="24"/>
          <w:szCs w:val="24"/>
        </w:rPr>
        <w:t xml:space="preserve">demostrado </w:t>
      </w:r>
      <w:r>
        <w:rPr>
          <w:rFonts w:ascii="Arial" w:eastAsia="Arial" w:hAnsi="Arial" w:cs="Arial"/>
          <w:color w:val="000000"/>
          <w:sz w:val="24"/>
          <w:szCs w:val="24"/>
        </w:rPr>
        <w:t xml:space="preserve">tal situación sino que se limita a realizar una inferencia sobre un hecho futuro de realización incierta. </w:t>
      </w:r>
    </w:p>
    <w:p w14:paraId="444EA3BE" w14:textId="77777777" w:rsidR="00FD2E52" w:rsidRDefault="007C7D9E">
      <w:pPr>
        <w:pBdr>
          <w:top w:val="nil"/>
          <w:left w:val="nil"/>
          <w:bottom w:val="nil"/>
          <w:right w:val="nil"/>
          <w:between w:val="nil"/>
        </w:pBdr>
        <w:spacing w:after="240" w:line="360" w:lineRule="auto"/>
        <w:jc w:val="both"/>
        <w:rPr>
          <w:rFonts w:ascii="Arial" w:eastAsia="Arial" w:hAnsi="Arial" w:cs="Arial"/>
          <w:sz w:val="24"/>
          <w:szCs w:val="24"/>
        </w:rPr>
      </w:pPr>
      <w:r>
        <w:rPr>
          <w:rFonts w:ascii="Arial" w:eastAsia="Arial" w:hAnsi="Arial" w:cs="Arial"/>
          <w:color w:val="000000"/>
          <w:sz w:val="24"/>
          <w:szCs w:val="24"/>
        </w:rPr>
        <w:lastRenderedPageBreak/>
        <w:t xml:space="preserve">Finalmente, de la lectura del escrito de contestación de la parte </w:t>
      </w:r>
      <w:r>
        <w:rPr>
          <w:rFonts w:ascii="Arial" w:eastAsia="Arial" w:hAnsi="Arial" w:cs="Arial"/>
          <w:sz w:val="24"/>
          <w:szCs w:val="24"/>
        </w:rPr>
        <w:t>denunciada</w:t>
      </w:r>
      <w:r>
        <w:rPr>
          <w:rFonts w:ascii="Arial" w:eastAsia="Arial" w:hAnsi="Arial" w:cs="Arial"/>
          <w:color w:val="000000"/>
          <w:sz w:val="24"/>
          <w:szCs w:val="24"/>
        </w:rPr>
        <w:t xml:space="preserve">, se logró advertir que cuestionó a la parte </w:t>
      </w:r>
      <w:r>
        <w:rPr>
          <w:rFonts w:ascii="Arial" w:eastAsia="Arial" w:hAnsi="Arial" w:cs="Arial"/>
          <w:sz w:val="24"/>
          <w:szCs w:val="24"/>
        </w:rPr>
        <w:t xml:space="preserve">quejosa </w:t>
      </w:r>
      <w:r>
        <w:rPr>
          <w:rFonts w:ascii="Arial" w:eastAsia="Arial" w:hAnsi="Arial" w:cs="Arial"/>
          <w:color w:val="000000"/>
          <w:sz w:val="24"/>
          <w:szCs w:val="24"/>
        </w:rPr>
        <w:t>sobre la supuesta colocación de propaganda en distintos elementos de equipamientos urbano, en particular, elementos de equipamiento urbano, por lo cual, este Tribunal deja a salvo lo derechos para que la parte quejosa los haga valer como en derecho corresponda.</w:t>
      </w:r>
    </w:p>
    <w:p w14:paraId="17EC7FFA" w14:textId="77777777" w:rsidR="00FD2E52" w:rsidRDefault="007C7D9E">
      <w:pPr>
        <w:spacing w:before="240" w:after="240" w:line="360" w:lineRule="auto"/>
        <w:jc w:val="both"/>
        <w:rPr>
          <w:rFonts w:ascii="Arial" w:eastAsia="Arial" w:hAnsi="Arial" w:cs="Arial"/>
          <w:sz w:val="24"/>
          <w:szCs w:val="24"/>
        </w:rPr>
      </w:pPr>
      <w:r>
        <w:rPr>
          <w:rFonts w:ascii="Arial" w:eastAsia="Arial" w:hAnsi="Arial" w:cs="Arial"/>
          <w:b/>
          <w:sz w:val="24"/>
          <w:szCs w:val="24"/>
          <w:u w:val="single"/>
        </w:rPr>
        <w:t>3.1 Vista a la Unidad Técnica de Fiscalización del INE</w:t>
      </w:r>
    </w:p>
    <w:p w14:paraId="66F64607" w14:textId="77777777" w:rsidR="00FD2E52" w:rsidRDefault="007C7D9E">
      <w:pPr>
        <w:spacing w:before="240" w:after="240" w:line="360" w:lineRule="auto"/>
        <w:jc w:val="both"/>
        <w:rPr>
          <w:rFonts w:ascii="Arial" w:eastAsia="Arial" w:hAnsi="Arial" w:cs="Arial"/>
          <w:sz w:val="24"/>
          <w:szCs w:val="24"/>
        </w:rPr>
      </w:pPr>
      <w:r>
        <w:rPr>
          <w:rFonts w:ascii="Arial" w:eastAsia="Arial" w:hAnsi="Arial" w:cs="Arial"/>
          <w:sz w:val="24"/>
          <w:szCs w:val="24"/>
        </w:rPr>
        <w:t>Del análisis del escrito de denuncia se advierte que la parte quejosa afirma que debe verificarse el reporte de los gastos que se generaron con motivo de los hechos que fueron materia en el presente procedimiento -colocación de propaganda electoral tipo lona en un puente peatonal- y, por tanto, solicita que este Tribunal Electoral de vista a la Unidad Técnica de Fiscalización del INE.</w:t>
      </w:r>
    </w:p>
    <w:p w14:paraId="10E95AD4" w14:textId="77777777" w:rsidR="00FD2E52" w:rsidRDefault="007C7D9E">
      <w:pPr>
        <w:spacing w:before="240" w:after="240" w:line="360" w:lineRule="auto"/>
        <w:ind w:right="40"/>
        <w:jc w:val="both"/>
        <w:rPr>
          <w:rFonts w:ascii="Arial" w:eastAsia="Arial" w:hAnsi="Arial" w:cs="Arial"/>
          <w:sz w:val="24"/>
          <w:szCs w:val="24"/>
        </w:rPr>
      </w:pPr>
      <w:r>
        <w:rPr>
          <w:rFonts w:ascii="Arial" w:eastAsia="Arial" w:hAnsi="Arial" w:cs="Arial"/>
          <w:sz w:val="24"/>
          <w:szCs w:val="24"/>
        </w:rPr>
        <w:t>Al respecto, esta autoridad estima que es improcedente tal petición, ya que la competencia de esta autoridad se circunscribe en actualizar o no la infracción en cuestión. Por tanto, se dejan a salvo de la parte quejosa para que presente la denuncia ante la autoridad y por la vía que considere competente</w:t>
      </w:r>
      <w:r>
        <w:rPr>
          <w:rFonts w:ascii="Arial" w:eastAsia="Arial" w:hAnsi="Arial" w:cs="Arial"/>
          <w:sz w:val="24"/>
          <w:szCs w:val="24"/>
          <w:vertAlign w:val="superscript"/>
        </w:rPr>
        <w:footnoteReference w:id="9"/>
      </w:r>
      <w:r>
        <w:rPr>
          <w:rFonts w:ascii="Arial" w:eastAsia="Arial" w:hAnsi="Arial" w:cs="Arial"/>
          <w:sz w:val="24"/>
          <w:szCs w:val="24"/>
        </w:rPr>
        <w:t>.</w:t>
      </w:r>
    </w:p>
    <w:p w14:paraId="553CDA5B" w14:textId="6508DB88" w:rsidR="00061609" w:rsidRDefault="007C7D9E">
      <w:pPr>
        <w:spacing w:before="240" w:after="240" w:line="360" w:lineRule="auto"/>
        <w:jc w:val="both"/>
        <w:rPr>
          <w:rFonts w:ascii="Arial" w:eastAsia="Arial" w:hAnsi="Arial" w:cs="Arial"/>
          <w:sz w:val="24"/>
          <w:szCs w:val="24"/>
        </w:rPr>
      </w:pPr>
      <w:r>
        <w:rPr>
          <w:rFonts w:ascii="Arial" w:eastAsia="Arial" w:hAnsi="Arial" w:cs="Arial"/>
          <w:b/>
          <w:sz w:val="24"/>
          <w:szCs w:val="24"/>
          <w:u w:val="single"/>
        </w:rPr>
        <w:t>3.2 Culpa in vigilando.</w:t>
      </w:r>
      <w:r>
        <w:rPr>
          <w:rFonts w:ascii="Arial" w:eastAsia="Arial" w:hAnsi="Arial" w:cs="Arial"/>
          <w:b/>
          <w:sz w:val="24"/>
          <w:szCs w:val="24"/>
        </w:rPr>
        <w:t xml:space="preserve"> </w:t>
      </w:r>
      <w:r>
        <w:rPr>
          <w:rFonts w:ascii="Arial" w:eastAsia="Arial" w:hAnsi="Arial" w:cs="Arial"/>
          <w:sz w:val="24"/>
          <w:szCs w:val="24"/>
        </w:rPr>
        <w:t>Este órgano jurisdiccional estima que, dado que no se acreditó la infracción denunciada en contra de la entonces candidata a la gubernatura del estado, Natzielly Teresita Rodríguez Calzada, debe desestimarse la responsabilidad imputada a FXM Aguascalientes.</w:t>
      </w:r>
    </w:p>
    <w:p w14:paraId="1FDAD749" w14:textId="77777777" w:rsidR="00061609" w:rsidRPr="00061609" w:rsidRDefault="00061609" w:rsidP="00061609">
      <w:pPr>
        <w:pStyle w:val="Sinespaciado"/>
        <w:rPr>
          <w:rFonts w:eastAsia="Arial"/>
        </w:rPr>
      </w:pPr>
    </w:p>
    <w:p w14:paraId="4B19BA6A" w14:textId="33F989BA" w:rsidR="00FD2E52" w:rsidRPr="00061609" w:rsidRDefault="007C7D9E" w:rsidP="00061609">
      <w:pPr>
        <w:pStyle w:val="Prrafodelista"/>
        <w:numPr>
          <w:ilvl w:val="0"/>
          <w:numId w:val="3"/>
        </w:num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061609">
        <w:rPr>
          <w:rFonts w:ascii="Arial" w:eastAsia="Arial" w:hAnsi="Arial" w:cs="Arial"/>
          <w:b/>
          <w:color w:val="000000"/>
          <w:sz w:val="24"/>
          <w:szCs w:val="24"/>
        </w:rPr>
        <w:t>Resolutivos</w:t>
      </w:r>
    </w:p>
    <w:p w14:paraId="2B27E143" w14:textId="77777777" w:rsidR="00061609" w:rsidRPr="00061609" w:rsidRDefault="00061609" w:rsidP="00061609">
      <w:pPr>
        <w:pStyle w:val="Sinespaciado"/>
        <w:rPr>
          <w:rFonts w:eastAsia="Arial"/>
        </w:rPr>
      </w:pPr>
    </w:p>
    <w:p w14:paraId="351162F4" w14:textId="77777777" w:rsidR="00FD2E52" w:rsidRDefault="00FD2E52">
      <w:pPr>
        <w:pBdr>
          <w:top w:val="nil"/>
          <w:left w:val="nil"/>
          <w:bottom w:val="nil"/>
          <w:right w:val="nil"/>
          <w:between w:val="nil"/>
        </w:pBdr>
        <w:rPr>
          <w:color w:val="000000"/>
          <w:sz w:val="10"/>
          <w:szCs w:val="10"/>
        </w:rPr>
      </w:pPr>
    </w:p>
    <w:p w14:paraId="770DFA70" w14:textId="05DF01B2" w:rsidR="00FD2E52" w:rsidRDefault="007C7D9E">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 xml:space="preserve">inexistencia </w:t>
      </w:r>
      <w:r>
        <w:rPr>
          <w:rFonts w:ascii="Arial" w:eastAsia="Arial" w:hAnsi="Arial" w:cs="Arial"/>
          <w:sz w:val="24"/>
          <w:szCs w:val="24"/>
        </w:rPr>
        <w:t>de</w:t>
      </w:r>
      <w:r>
        <w:rPr>
          <w:rFonts w:ascii="Arial" w:eastAsia="Arial" w:hAnsi="Arial" w:cs="Arial"/>
          <w:b/>
          <w:sz w:val="24"/>
          <w:szCs w:val="24"/>
        </w:rPr>
        <w:t xml:space="preserve"> </w:t>
      </w:r>
      <w:r>
        <w:rPr>
          <w:rFonts w:ascii="Arial" w:eastAsia="Arial" w:hAnsi="Arial" w:cs="Arial"/>
          <w:sz w:val="24"/>
          <w:szCs w:val="24"/>
        </w:rPr>
        <w:t>la infracción atribuida a la entonces candidata Natzielly Teresita Rodríguez Calzada.</w:t>
      </w:r>
    </w:p>
    <w:p w14:paraId="5750C4B5" w14:textId="77777777" w:rsidR="00061609" w:rsidRDefault="00061609" w:rsidP="00061609">
      <w:pPr>
        <w:pStyle w:val="Sinespaciado"/>
        <w:rPr>
          <w:rFonts w:eastAsia="Arial"/>
        </w:rPr>
      </w:pPr>
    </w:p>
    <w:p w14:paraId="6E4D85AF" w14:textId="77777777" w:rsidR="00FD2E52" w:rsidRDefault="00FD2E52">
      <w:pPr>
        <w:pBdr>
          <w:top w:val="nil"/>
          <w:left w:val="nil"/>
          <w:bottom w:val="nil"/>
          <w:right w:val="nil"/>
          <w:between w:val="nil"/>
        </w:pBdr>
        <w:rPr>
          <w:color w:val="000000"/>
          <w:sz w:val="12"/>
          <w:szCs w:val="12"/>
        </w:rPr>
      </w:pPr>
    </w:p>
    <w:p w14:paraId="2F0E731A" w14:textId="77777777" w:rsidR="00FD2E52" w:rsidRDefault="00FD2E52">
      <w:pPr>
        <w:pBdr>
          <w:top w:val="nil"/>
          <w:left w:val="nil"/>
          <w:bottom w:val="nil"/>
          <w:right w:val="nil"/>
          <w:between w:val="nil"/>
        </w:pBdr>
        <w:rPr>
          <w:color w:val="000000"/>
          <w:sz w:val="12"/>
          <w:szCs w:val="12"/>
        </w:rPr>
      </w:pPr>
    </w:p>
    <w:p w14:paraId="58626EE8" w14:textId="77777777" w:rsidR="00FD2E52" w:rsidRDefault="007C7D9E">
      <w:pPr>
        <w:spacing w:line="360" w:lineRule="auto"/>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sz w:val="24"/>
          <w:szCs w:val="24"/>
        </w:rPr>
        <w:t xml:space="preserve">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Fuerza por México Aguascalientes.</w:t>
      </w:r>
    </w:p>
    <w:p w14:paraId="5345988A" w14:textId="77777777" w:rsidR="00FD2E52" w:rsidRDefault="00FD2E52">
      <w:pPr>
        <w:spacing w:line="360" w:lineRule="auto"/>
        <w:jc w:val="both"/>
        <w:rPr>
          <w:rFonts w:ascii="Arial" w:eastAsia="Arial" w:hAnsi="Arial" w:cs="Arial"/>
          <w:sz w:val="24"/>
          <w:szCs w:val="24"/>
        </w:rPr>
      </w:pPr>
    </w:p>
    <w:p w14:paraId="2FF9D34E" w14:textId="77777777" w:rsidR="00FD2E52" w:rsidRDefault="00FD2E52">
      <w:pPr>
        <w:pBdr>
          <w:top w:val="nil"/>
          <w:left w:val="nil"/>
          <w:bottom w:val="nil"/>
          <w:right w:val="nil"/>
          <w:between w:val="nil"/>
        </w:pBdr>
        <w:rPr>
          <w:color w:val="000000"/>
          <w:sz w:val="12"/>
          <w:szCs w:val="12"/>
        </w:rPr>
      </w:pPr>
    </w:p>
    <w:p w14:paraId="314E3E5F" w14:textId="77777777" w:rsidR="000948EF" w:rsidRPr="00530601" w:rsidRDefault="000948EF" w:rsidP="000948EF">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bookmarkStart w:id="9" w:name="_heading=h.tyjcwt" w:colFirst="0" w:colLast="0"/>
      <w:bookmarkEnd w:id="9"/>
      <w:r>
        <w:rPr>
          <w:rFonts w:ascii="Arial" w:eastAsia="Arial" w:hAnsi="Arial" w:cs="Arial"/>
          <w:b/>
          <w:color w:val="000000"/>
          <w:sz w:val="24"/>
          <w:szCs w:val="24"/>
        </w:rPr>
        <w:t xml:space="preserve">Notifíquese. </w:t>
      </w:r>
      <w:r>
        <w:rPr>
          <w:rFonts w:ascii="Arial" w:eastAsia="Arial" w:hAnsi="Arial" w:cs="Arial"/>
          <w:b/>
          <w:color w:val="000000"/>
          <w:sz w:val="24"/>
          <w:szCs w:val="24"/>
        </w:rPr>
        <w:br/>
      </w:r>
    </w:p>
    <w:p w14:paraId="510AC361" w14:textId="77777777" w:rsidR="000948EF" w:rsidRDefault="000948EF">
      <w:pPr>
        <w:rPr>
          <w:rFonts w:ascii="Arial" w:eastAsia="Arial" w:hAnsi="Arial" w:cs="Arial"/>
          <w:color w:val="000000"/>
          <w:sz w:val="24"/>
          <w:szCs w:val="24"/>
        </w:rPr>
      </w:pPr>
      <w:r>
        <w:rPr>
          <w:rFonts w:ascii="Arial" w:eastAsia="Arial" w:hAnsi="Arial" w:cs="Arial"/>
          <w:color w:val="000000"/>
          <w:sz w:val="24"/>
          <w:szCs w:val="24"/>
        </w:rPr>
        <w:br w:type="page"/>
      </w:r>
    </w:p>
    <w:p w14:paraId="21BB9BD4" w14:textId="6FCE1BBB" w:rsidR="000948EF" w:rsidRDefault="000948EF" w:rsidP="000948E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en funciones, quien autoriza y da fe.</w:t>
      </w:r>
    </w:p>
    <w:p w14:paraId="3555DB46" w14:textId="77777777" w:rsidR="000948EF" w:rsidRDefault="000948EF" w:rsidP="000948E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0948EF" w14:paraId="033DF7FC" w14:textId="77777777" w:rsidTr="00555891">
        <w:trPr>
          <w:trHeight w:val="1463"/>
          <w:jc w:val="center"/>
        </w:trPr>
        <w:tc>
          <w:tcPr>
            <w:tcW w:w="9120" w:type="dxa"/>
            <w:gridSpan w:val="2"/>
          </w:tcPr>
          <w:p w14:paraId="39C9DC4E" w14:textId="77777777" w:rsidR="000948EF" w:rsidRDefault="000948EF" w:rsidP="00555891">
            <w:pPr>
              <w:spacing w:line="360" w:lineRule="auto"/>
              <w:jc w:val="center"/>
              <w:rPr>
                <w:rFonts w:ascii="Arial" w:eastAsia="Arial" w:hAnsi="Arial" w:cs="Arial"/>
                <w:b/>
                <w:color w:val="000000"/>
                <w:sz w:val="24"/>
                <w:szCs w:val="24"/>
              </w:rPr>
            </w:pPr>
            <w:bookmarkStart w:id="10" w:name="_Hlk72842321"/>
            <w:r>
              <w:rPr>
                <w:rFonts w:ascii="Arial" w:eastAsia="Arial" w:hAnsi="Arial" w:cs="Arial"/>
                <w:b/>
                <w:color w:val="000000"/>
                <w:sz w:val="24"/>
                <w:szCs w:val="24"/>
              </w:rPr>
              <w:t>MAGISTRADA PRESIDENTA</w:t>
            </w:r>
          </w:p>
          <w:p w14:paraId="101567F1" w14:textId="77777777" w:rsidR="000948EF" w:rsidRDefault="000948EF" w:rsidP="00555891">
            <w:pPr>
              <w:spacing w:line="360" w:lineRule="auto"/>
              <w:jc w:val="center"/>
              <w:rPr>
                <w:rFonts w:ascii="Arial" w:eastAsia="Arial" w:hAnsi="Arial" w:cs="Arial"/>
                <w:b/>
                <w:color w:val="000000"/>
                <w:sz w:val="24"/>
                <w:szCs w:val="24"/>
              </w:rPr>
            </w:pPr>
          </w:p>
          <w:p w14:paraId="20414698" w14:textId="77777777" w:rsidR="000948EF" w:rsidRPr="003A391D" w:rsidRDefault="000948EF"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0948EF" w14:paraId="59B203FE" w14:textId="77777777" w:rsidTr="00555891">
        <w:trPr>
          <w:trHeight w:val="1549"/>
          <w:jc w:val="center"/>
        </w:trPr>
        <w:tc>
          <w:tcPr>
            <w:tcW w:w="4559" w:type="dxa"/>
          </w:tcPr>
          <w:p w14:paraId="7B5F2BF3" w14:textId="77777777" w:rsidR="000948EF" w:rsidRDefault="000948EF"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D260C55" w14:textId="77777777" w:rsidR="000948EF" w:rsidRDefault="000948EF" w:rsidP="00555891">
            <w:pPr>
              <w:spacing w:line="360" w:lineRule="auto"/>
              <w:jc w:val="center"/>
              <w:rPr>
                <w:rFonts w:ascii="Arial" w:eastAsia="Arial" w:hAnsi="Arial" w:cs="Arial"/>
                <w:b/>
                <w:color w:val="000000"/>
                <w:sz w:val="24"/>
                <w:szCs w:val="24"/>
              </w:rPr>
            </w:pPr>
          </w:p>
          <w:p w14:paraId="07B3D773" w14:textId="77777777" w:rsidR="000948EF" w:rsidRDefault="000948EF"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195CFD98" w14:textId="77777777" w:rsidR="000948EF" w:rsidRDefault="000948EF"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1F796725" w14:textId="77777777" w:rsidR="000948EF" w:rsidRDefault="000948EF"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0F76AF64" w14:textId="77777777" w:rsidR="000948EF" w:rsidRDefault="000948EF" w:rsidP="00555891">
            <w:pPr>
              <w:spacing w:line="360" w:lineRule="auto"/>
              <w:jc w:val="center"/>
              <w:rPr>
                <w:rFonts w:ascii="Arial" w:eastAsia="Arial" w:hAnsi="Arial" w:cs="Arial"/>
                <w:b/>
                <w:color w:val="000000"/>
                <w:sz w:val="24"/>
                <w:szCs w:val="24"/>
              </w:rPr>
            </w:pPr>
          </w:p>
          <w:p w14:paraId="5733449A" w14:textId="77777777" w:rsidR="000948EF" w:rsidRDefault="000948EF"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r>
              <w:rPr>
                <w:rFonts w:ascii="Arial" w:eastAsia="Arial" w:hAnsi="Arial" w:cs="Arial"/>
                <w:b/>
                <w:color w:val="000000"/>
                <w:sz w:val="24"/>
                <w:szCs w:val="24"/>
              </w:rPr>
              <w:br/>
              <w:t>HERNÁNDEZ GALLEGOS</w:t>
            </w:r>
          </w:p>
          <w:p w14:paraId="64DBA767" w14:textId="77777777" w:rsidR="000948EF" w:rsidRPr="003A391D" w:rsidRDefault="000948EF" w:rsidP="00555891">
            <w:pPr>
              <w:spacing w:line="360" w:lineRule="auto"/>
              <w:rPr>
                <w:rFonts w:eastAsia="Arial"/>
                <w:sz w:val="36"/>
                <w:szCs w:val="36"/>
              </w:rPr>
            </w:pPr>
          </w:p>
        </w:tc>
      </w:tr>
      <w:tr w:rsidR="000948EF" w14:paraId="3D13F212" w14:textId="77777777" w:rsidTr="00555891">
        <w:trPr>
          <w:jc w:val="center"/>
        </w:trPr>
        <w:tc>
          <w:tcPr>
            <w:tcW w:w="9120" w:type="dxa"/>
            <w:gridSpan w:val="2"/>
          </w:tcPr>
          <w:p w14:paraId="1D4FFE7E" w14:textId="77777777" w:rsidR="000948EF" w:rsidRDefault="000948EF"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 EN FUNCIONES</w:t>
            </w:r>
          </w:p>
          <w:p w14:paraId="20E2EBBC" w14:textId="77777777" w:rsidR="000948EF" w:rsidRDefault="000948EF" w:rsidP="00555891">
            <w:pPr>
              <w:spacing w:line="360" w:lineRule="auto"/>
              <w:jc w:val="center"/>
              <w:rPr>
                <w:rFonts w:ascii="Arial" w:eastAsia="Arial" w:hAnsi="Arial" w:cs="Arial"/>
                <w:b/>
                <w:color w:val="000000"/>
                <w:sz w:val="24"/>
                <w:szCs w:val="24"/>
              </w:rPr>
            </w:pPr>
          </w:p>
          <w:p w14:paraId="3C7A5B78" w14:textId="77777777" w:rsidR="000948EF" w:rsidRDefault="000948EF" w:rsidP="00555891">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NÉSTOR ENRIQUE RIVERA LÓPEZ</w:t>
            </w:r>
          </w:p>
        </w:tc>
      </w:tr>
      <w:bookmarkEnd w:id="10"/>
    </w:tbl>
    <w:p w14:paraId="63B331B3" w14:textId="77777777" w:rsidR="00FD2E52" w:rsidRDefault="00FD2E52">
      <w:pPr>
        <w:spacing w:line="360" w:lineRule="auto"/>
        <w:rPr>
          <w:rFonts w:ascii="Arial" w:eastAsia="Arial" w:hAnsi="Arial" w:cs="Arial"/>
          <w:sz w:val="24"/>
          <w:szCs w:val="24"/>
        </w:rPr>
      </w:pPr>
    </w:p>
    <w:sectPr w:rsidR="00FD2E52">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ACD12" w14:textId="77777777" w:rsidR="00621279" w:rsidRDefault="00621279">
      <w:r>
        <w:separator/>
      </w:r>
    </w:p>
  </w:endnote>
  <w:endnote w:type="continuationSeparator" w:id="0">
    <w:p w14:paraId="14A58B36" w14:textId="77777777" w:rsidR="00621279" w:rsidRDefault="0062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08DB" w14:textId="77777777" w:rsidR="00FD2E52" w:rsidRDefault="00FD2E5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F6DC" w14:textId="77777777" w:rsidR="00FD2E52" w:rsidRDefault="00FD2E5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B077" w14:textId="77777777" w:rsidR="00FD2E52" w:rsidRDefault="00FD2E5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010C" w14:textId="77777777" w:rsidR="00621279" w:rsidRDefault="00621279">
      <w:r>
        <w:separator/>
      </w:r>
    </w:p>
  </w:footnote>
  <w:footnote w:type="continuationSeparator" w:id="0">
    <w:p w14:paraId="7883DE0D" w14:textId="77777777" w:rsidR="00621279" w:rsidRDefault="00621279">
      <w:r>
        <w:continuationSeparator/>
      </w:r>
    </w:p>
  </w:footnote>
  <w:footnote w:id="1">
    <w:p w14:paraId="0D0C8868" w14:textId="77777777" w:rsidR="00FD2E52" w:rsidRDefault="007C7D9E">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34D9A725" w14:textId="77777777" w:rsidR="00FD2E52" w:rsidRDefault="007C7D9E">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rPr>
        <w:t>Todas las fechas corresponden al 2022, salvo precisión en contrario.</w:t>
      </w:r>
    </w:p>
  </w:footnote>
  <w:footnote w:id="3">
    <w:p w14:paraId="1CEDF41C" w14:textId="6F4EEDEF" w:rsidR="00FD2E52" w:rsidRDefault="007C7D9E">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w:t>
      </w:r>
      <w:r>
        <w:rPr>
          <w:rFonts w:ascii="Arial" w:eastAsia="Arial" w:hAnsi="Arial" w:cs="Arial"/>
        </w:rPr>
        <w:t xml:space="preserve">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6FBA9C74" w14:textId="77777777" w:rsidR="00FD2E52" w:rsidRDefault="007C7D9E">
      <w:pPr>
        <w:pBdr>
          <w:top w:val="nil"/>
          <w:left w:val="nil"/>
          <w:bottom w:val="nil"/>
          <w:right w:val="nil"/>
          <w:between w:val="nil"/>
        </w:pBdr>
        <w:jc w:val="both"/>
        <w:rPr>
          <w:color w:val="000000"/>
          <w:sz w:val="24"/>
          <w:szCs w:val="24"/>
        </w:rPr>
      </w:pPr>
      <w:r>
        <w:rPr>
          <w:vertAlign w:val="superscript"/>
        </w:rPr>
        <w:footnoteRef/>
      </w:r>
      <w:r>
        <w:rPr>
          <w:color w:val="000000"/>
          <w:sz w:val="24"/>
          <w:szCs w:val="24"/>
        </w:rPr>
        <w:t xml:space="preserve"> </w:t>
      </w:r>
      <w:r>
        <w:rPr>
          <w:rFonts w:ascii="Arial" w:eastAsia="Arial" w:hAnsi="Arial" w:cs="Arial"/>
          <w:color w:val="000000"/>
        </w:rPr>
        <w:t>Tal como se prevé en el artículo 274, fracción IV, del Código Electoral.</w:t>
      </w:r>
    </w:p>
  </w:footnote>
  <w:footnote w:id="5">
    <w:p w14:paraId="6510F684" w14:textId="77777777" w:rsidR="00FD2E52" w:rsidRDefault="007C7D9E">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rPr>
        <w:t xml:space="preserve">-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56CE00D7" w14:textId="77777777" w:rsidR="00FD2E52" w:rsidRDefault="007C7D9E">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38031E9C" w14:textId="77777777" w:rsidR="00FD2E52" w:rsidRDefault="007C7D9E">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6ABA0CBA" w14:textId="77777777" w:rsidR="00FD2E52" w:rsidRDefault="007C7D9E">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7E873566" w14:textId="77777777" w:rsidR="00FD2E52" w:rsidRDefault="00FD2E52">
      <w:pPr>
        <w:pBdr>
          <w:top w:val="nil"/>
          <w:left w:val="nil"/>
          <w:bottom w:val="nil"/>
          <w:right w:val="nil"/>
          <w:between w:val="nil"/>
        </w:pBdr>
        <w:rPr>
          <w:color w:val="000000"/>
        </w:rPr>
      </w:pPr>
    </w:p>
    <w:bookmarkStart w:id="6" w:name="_heading=h.3dy6vkm" w:colFirst="0" w:colLast="0"/>
    <w:bookmarkEnd w:id="6"/>
  </w:footnote>
  <w:footnote w:id="6">
    <w:p w14:paraId="24189799" w14:textId="77777777" w:rsidR="00FD2E52" w:rsidRDefault="007C7D9E">
      <w:pPr>
        <w:pBdr>
          <w:top w:val="nil"/>
          <w:left w:val="nil"/>
          <w:bottom w:val="nil"/>
          <w:right w:val="nil"/>
          <w:between w:val="nil"/>
        </w:pBdr>
        <w:jc w:val="both"/>
        <w:rPr>
          <w:rFonts w:ascii="Arial" w:eastAsia="Arial" w:hAnsi="Arial" w:cs="Arial"/>
          <w:color w:val="000000"/>
        </w:rPr>
      </w:pPr>
      <w:bookmarkStart w:id="8" w:name="_heading=h.3dy6vkm" w:colFirst="0" w:colLast="0"/>
      <w:bookmarkEnd w:id="8"/>
      <w:r>
        <w:rPr>
          <w:vertAlign w:val="superscript"/>
        </w:rPr>
        <w:footnoteRef/>
      </w:r>
      <w:r>
        <w:rPr>
          <w:color w:val="000000"/>
        </w:rPr>
        <w:t xml:space="preserve"> </w:t>
      </w:r>
      <w:r>
        <w:rPr>
          <w:rFonts w:ascii="Arial" w:eastAsia="Arial" w:hAnsi="Arial" w:cs="Arial"/>
          <w:color w:val="000000"/>
        </w:rPr>
        <w:t xml:space="preserve">Véase las resoluciones </w:t>
      </w:r>
      <w:r>
        <w:rPr>
          <w:rFonts w:ascii="Arial" w:eastAsia="Arial" w:hAnsi="Arial" w:cs="Arial"/>
          <w:color w:val="000000"/>
          <w:highlight w:val="white"/>
        </w:rPr>
        <w:t>SUP-JRC-24/2009 y su acumulado SUP-JRC-26/200</w:t>
      </w:r>
      <w:r>
        <w:rPr>
          <w:rFonts w:ascii="Arial" w:eastAsia="Arial" w:hAnsi="Arial" w:cs="Arial"/>
          <w:highlight w:val="white"/>
        </w:rPr>
        <w:t>9.</w:t>
      </w:r>
    </w:p>
  </w:footnote>
  <w:footnote w:id="7">
    <w:p w14:paraId="5E7C80B4" w14:textId="77777777" w:rsidR="00FD2E52" w:rsidRDefault="007C7D9E">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Pr>
          <w:rFonts w:ascii="Arial" w:eastAsia="Arial" w:hAnsi="Arial" w:cs="Arial"/>
          <w:color w:val="000000"/>
        </w:rPr>
        <w:t xml:space="preserve">Véase las sentencias </w:t>
      </w:r>
      <w:r>
        <w:rPr>
          <w:rFonts w:ascii="Arial" w:eastAsia="Arial" w:hAnsi="Arial" w:cs="Arial"/>
          <w:color w:val="000000"/>
          <w:highlight w:val="white"/>
        </w:rPr>
        <w:t xml:space="preserve">SUP-REP-338/2015 y SUP-JRC-221/2016. </w:t>
      </w:r>
    </w:p>
  </w:footnote>
  <w:footnote w:id="8">
    <w:p w14:paraId="6962551A" w14:textId="77777777" w:rsidR="00FD2E52" w:rsidRDefault="007C7D9E">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Véase asuntos</w:t>
      </w:r>
      <w:r>
        <w:rPr>
          <w:rFonts w:ascii="Arial" w:eastAsia="Arial" w:hAnsi="Arial" w:cs="Arial"/>
          <w:color w:val="000000"/>
        </w:rPr>
        <w:t xml:space="preserve"> SUP-JRC-221/2016</w:t>
      </w:r>
      <w:r>
        <w:rPr>
          <w:rFonts w:ascii="Arial" w:eastAsia="Arial" w:hAnsi="Arial" w:cs="Arial"/>
        </w:rPr>
        <w:t xml:space="preserve">, </w:t>
      </w:r>
      <w:r>
        <w:rPr>
          <w:rFonts w:ascii="Arial" w:eastAsia="Arial" w:hAnsi="Arial" w:cs="Arial"/>
          <w:color w:val="000000"/>
        </w:rPr>
        <w:t>SRE-PSD-207/2018</w:t>
      </w:r>
      <w:r>
        <w:rPr>
          <w:rFonts w:ascii="Arial" w:eastAsia="Arial" w:hAnsi="Arial" w:cs="Arial"/>
        </w:rPr>
        <w:t xml:space="preserve"> y </w:t>
      </w:r>
      <w:r>
        <w:rPr>
          <w:rFonts w:ascii="Arial" w:eastAsia="Arial" w:hAnsi="Arial" w:cs="Arial"/>
          <w:color w:val="000000"/>
        </w:rPr>
        <w:t>SRE-PSD-205/2018.</w:t>
      </w:r>
    </w:p>
  </w:footnote>
  <w:footnote w:id="9">
    <w:p w14:paraId="7C67ACDE" w14:textId="77777777" w:rsidR="00FD2E52" w:rsidRDefault="007C7D9E">
      <w:pPr>
        <w:jc w:val="both"/>
      </w:pPr>
      <w:r>
        <w:rPr>
          <w:vertAlign w:val="superscript"/>
        </w:rPr>
        <w:footnoteRef/>
      </w:r>
      <w:r>
        <w:t xml:space="preserve"> </w:t>
      </w:r>
      <w:r>
        <w:rPr>
          <w:rFonts w:ascii="Arial" w:eastAsia="Arial" w:hAnsi="Arial" w:cs="Arial"/>
        </w:rPr>
        <w:t>Similares consideraciones sostuvo la Sala Superior al resolver el asunto SUP-REP-700/2018, en lo relativo a que no existe obligación formal hacia los órganos jurisdiccionales de dar vista a la UTF del 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847F" w14:textId="1C879F8F" w:rsidR="00FD2E52" w:rsidRDefault="00621279">
    <w:pPr>
      <w:pBdr>
        <w:top w:val="nil"/>
        <w:left w:val="nil"/>
        <w:bottom w:val="nil"/>
        <w:right w:val="nil"/>
        <w:between w:val="nil"/>
      </w:pBdr>
      <w:tabs>
        <w:tab w:val="center" w:pos="4419"/>
        <w:tab w:val="right" w:pos="8838"/>
      </w:tabs>
      <w:rPr>
        <w:color w:val="000000"/>
      </w:rPr>
    </w:pPr>
    <w:r>
      <w:rPr>
        <w:noProof/>
      </w:rPr>
      <w:pict w14:anchorId="1A00E3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528199" o:spid="_x0000_s1027" type="#_x0000_t136" alt="" style="position:absolute;margin-left:0;margin-top:0;width:553.8pt;height:69.2pt;rotation:315;z-index:-25164800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r w:rsidR="007C7D9E">
      <w:rPr>
        <w:noProof/>
        <w:color w:val="000000"/>
      </w:rPr>
      <mc:AlternateContent>
        <mc:Choice Requires="wps">
          <w:drawing>
            <wp:anchor distT="0" distB="0" distL="0" distR="0" simplePos="0" relativeHeight="251658240" behindDoc="1" locked="0" layoutInCell="1" hidden="0" allowOverlap="1" wp14:anchorId="2DCC3180" wp14:editId="0D93B593">
              <wp:simplePos x="0" y="0"/>
              <wp:positionH relativeFrom="margin">
                <wp:align>center</wp:align>
              </wp:positionH>
              <wp:positionV relativeFrom="margin">
                <wp:align>center</wp:align>
              </wp:positionV>
              <wp:extent cx="7944619" cy="7944619"/>
              <wp:effectExtent l="0" t="0" r="0" b="0"/>
              <wp:wrapNone/>
              <wp:docPr id="15" name="Rectángulo 15"/>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6633C8F8" w14:textId="77777777" w:rsidR="00FD2E52" w:rsidRDefault="007C7D9E">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2DCC3180" id="Rectángulo 15" o:spid="_x0000_s1026" style="position:absolute;margin-left:0;margin-top:0;width:625.55pt;height:625.5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" filled="f" stroked="f">
              <v:textbox inset="2.53958mm,2.53958mm,2.53958mm,2.53958mm">
                <w:txbxContent>
                  <w:p w14:paraId="6633C8F8" w14:textId="77777777" w:rsidR="00FD2E52" w:rsidRDefault="007C7D9E">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F41A" w14:textId="68C7411A" w:rsidR="00FD2E52" w:rsidRDefault="00621279">
    <w:pPr>
      <w:pBdr>
        <w:top w:val="nil"/>
        <w:left w:val="nil"/>
        <w:bottom w:val="nil"/>
        <w:right w:val="nil"/>
        <w:between w:val="nil"/>
      </w:pBdr>
      <w:tabs>
        <w:tab w:val="center" w:pos="4419"/>
        <w:tab w:val="right" w:pos="8838"/>
      </w:tabs>
      <w:rPr>
        <w:color w:val="000000"/>
      </w:rPr>
    </w:pPr>
    <w:r>
      <w:rPr>
        <w:noProof/>
      </w:rPr>
      <w:pict w14:anchorId="3F1982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528200" o:spid="_x0000_s1026" type="#_x0000_t136" alt="" style="position:absolute;margin-left:0;margin-top:0;width:553.8pt;height:69.2pt;rotation:315;z-index:-25164390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sdt>
      <w:sdtPr>
        <w:rPr>
          <w:color w:val="000000"/>
        </w:rPr>
        <w:id w:val="1010871337"/>
        <w:docPartObj>
          <w:docPartGallery w:val="Page Numbers (Margins)"/>
          <w:docPartUnique/>
        </w:docPartObj>
      </w:sdtPr>
      <w:sdtEndPr/>
      <w:sdtContent>
        <w:r w:rsidR="00061609" w:rsidRPr="00061609">
          <w:rPr>
            <w:noProof/>
            <w:color w:val="000000"/>
          </w:rPr>
          <mc:AlternateContent>
            <mc:Choice Requires="wps">
              <w:drawing>
                <wp:anchor distT="0" distB="0" distL="114300" distR="114300" simplePos="0" relativeHeight="251660288" behindDoc="0" locked="0" layoutInCell="0" allowOverlap="1" wp14:anchorId="157D2C7B" wp14:editId="0D44E84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E201610" w14:textId="77777777" w:rsidR="00061609" w:rsidRDefault="00061609">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D2C7B"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E201610" w14:textId="77777777" w:rsidR="00061609" w:rsidRDefault="00061609">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7C7D9E">
      <w:rPr>
        <w:noProof/>
        <w:color w:val="000000"/>
      </w:rPr>
      <w:drawing>
        <wp:inline distT="0" distB="0" distL="0" distR="0" wp14:anchorId="76A9731C" wp14:editId="5DB1E78A">
          <wp:extent cx="995527" cy="1154534"/>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1DB3" w14:textId="277C2FF2" w:rsidR="00FD2E52" w:rsidRDefault="00621279">
    <w:pPr>
      <w:pBdr>
        <w:top w:val="nil"/>
        <w:left w:val="nil"/>
        <w:bottom w:val="nil"/>
        <w:right w:val="nil"/>
        <w:between w:val="nil"/>
      </w:pBdr>
      <w:tabs>
        <w:tab w:val="center" w:pos="4419"/>
        <w:tab w:val="right" w:pos="8838"/>
      </w:tabs>
      <w:rPr>
        <w:color w:val="000000"/>
      </w:rPr>
    </w:pPr>
    <w:r>
      <w:rPr>
        <w:noProof/>
      </w:rPr>
      <w:pict w14:anchorId="62482D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528198" o:spid="_x0000_s1025" type="#_x0000_t136" alt="" style="position:absolute;margin-left:0;margin-top:0;width:553.8pt;height:69.2pt;rotation:315;z-index:-25165209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4287E"/>
    <w:multiLevelType w:val="multilevel"/>
    <w:tmpl w:val="6DB2D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112700"/>
    <w:multiLevelType w:val="multilevel"/>
    <w:tmpl w:val="D982C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6F365A"/>
    <w:multiLevelType w:val="multilevel"/>
    <w:tmpl w:val="9F0C3FAA"/>
    <w:lvl w:ilvl="0">
      <w:start w:val="3"/>
      <w:numFmt w:val="upperRoman"/>
      <w:lvlText w:val="%1."/>
      <w:lvlJc w:val="left"/>
      <w:pPr>
        <w:ind w:left="862" w:hanging="72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15:restartNumberingAfterBreak="0">
    <w:nsid w:val="5E8F53EE"/>
    <w:multiLevelType w:val="multilevel"/>
    <w:tmpl w:val="45262888"/>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680008E3"/>
    <w:multiLevelType w:val="multilevel"/>
    <w:tmpl w:val="18A2541C"/>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5" w15:restartNumberingAfterBreak="0">
    <w:nsid w:val="6B8B7668"/>
    <w:multiLevelType w:val="multilevel"/>
    <w:tmpl w:val="682A8354"/>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num w:numId="1" w16cid:durableId="925379064">
    <w:abstractNumId w:val="5"/>
  </w:num>
  <w:num w:numId="2" w16cid:durableId="1086727461">
    <w:abstractNumId w:val="3"/>
  </w:num>
  <w:num w:numId="3" w16cid:durableId="446704510">
    <w:abstractNumId w:val="2"/>
  </w:num>
  <w:num w:numId="4" w16cid:durableId="965233020">
    <w:abstractNumId w:val="1"/>
  </w:num>
  <w:num w:numId="5" w16cid:durableId="1832790354">
    <w:abstractNumId w:val="0"/>
  </w:num>
  <w:num w:numId="6" w16cid:durableId="1898273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E52"/>
    <w:rsid w:val="00061609"/>
    <w:rsid w:val="000948EF"/>
    <w:rsid w:val="003C5B99"/>
    <w:rsid w:val="00621279"/>
    <w:rsid w:val="006231E6"/>
    <w:rsid w:val="007C7D9E"/>
    <w:rsid w:val="00F26B15"/>
    <w:rsid w:val="00FD2E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CA7EF"/>
  <w15:docId w15:val="{64AD7A68-7229-4B96-BBE6-4A696412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B6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color w:val="000000"/>
    </w:rPr>
    <w:tblPr>
      <w:tblStyleRowBandSize w:val="1"/>
      <w:tblStyleColBandSize w:val="1"/>
      <w:tblCellMar>
        <w:left w:w="108" w:type="dxa"/>
        <w:right w:w="108" w:type="dxa"/>
      </w:tblCellMar>
    </w:tblPr>
  </w:style>
  <w:style w:type="table" w:customStyle="1" w:styleId="a0">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1"/>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paragraph" w:styleId="NormalWeb">
    <w:name w:val="Normal (Web)"/>
    <w:basedOn w:val="Normal"/>
    <w:uiPriority w:val="99"/>
    <w:unhideWhenUsed/>
    <w:rsid w:val="006752D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ED06C0"/>
    <w:rPr>
      <w:color w:val="605E5C"/>
      <w:shd w:val="clear" w:color="auto" w:fill="E1DFDD"/>
    </w:rPr>
  </w:style>
  <w:style w:type="table" w:customStyle="1" w:styleId="Tabladecuadrcula4-nfasis31">
    <w:name w:val="Tabla de cuadrícula 4 - Énfasis 31"/>
    <w:basedOn w:val="Tablanormal"/>
    <w:next w:val="Tablaconcuadrcula4-nfasis3"/>
    <w:uiPriority w:val="49"/>
    <w:rsid w:val="0076738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4-nfasis3">
    <w:name w:val="Grid Table 4 Accent 3"/>
    <w:basedOn w:val="Tablanormal"/>
    <w:uiPriority w:val="49"/>
    <w:rsid w:val="0076738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4">
    <w:basedOn w:val="TableNormal1"/>
    <w:rPr>
      <w:color w:val="000000"/>
    </w:rPr>
    <w:tblPr>
      <w:tblStyleRowBandSize w:val="1"/>
      <w:tblStyleColBandSize w:val="1"/>
      <w:tblCellMar>
        <w:left w:w="115" w:type="dxa"/>
        <w:right w:w="115" w:type="dxa"/>
      </w:tblCellMar>
    </w:tblPr>
  </w:style>
  <w:style w:type="table" w:customStyle="1" w:styleId="a5">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1"/>
    <w:rPr>
      <w:color w:val="000000"/>
    </w:rPr>
    <w:tblPr>
      <w:tblStyleRowBandSize w:val="1"/>
      <w:tblStyleColBandSize w:val="1"/>
      <w:tblCellMar>
        <w:left w:w="115" w:type="dxa"/>
        <w:right w:w="115" w:type="dxa"/>
      </w:tblCellMar>
    </w:tblPr>
  </w:style>
  <w:style w:type="table" w:customStyle="1" w:styleId="a9">
    <w:basedOn w:val="TableNormal0"/>
    <w:rPr>
      <w:rFonts w:ascii="Cambria" w:eastAsia="Cambria" w:hAnsi="Cambria" w:cs="Cambria"/>
      <w:color w:val="000000"/>
      <w:sz w:val="22"/>
      <w:szCs w:val="22"/>
    </w:rPr>
    <w:tblPr>
      <w:tblStyleRowBandSize w:val="1"/>
      <w:tblStyleColBandSize w:val="1"/>
      <w:tblCellMar>
        <w:left w:w="115" w:type="dxa"/>
        <w:right w:w="115" w:type="dxa"/>
      </w:tblCellMar>
    </w:tblPr>
  </w:style>
  <w:style w:type="table" w:customStyle="1" w:styleId="aa">
    <w:basedOn w:val="TableNormal0"/>
    <w:rPr>
      <w:rFonts w:ascii="Cambria" w:eastAsia="Cambria" w:hAnsi="Cambria" w:cs="Cambria"/>
      <w:color w:val="000000"/>
      <w:sz w:val="22"/>
      <w:szCs w:val="22"/>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b">
    <w:basedOn w:val="TableNormal0"/>
    <w:rPr>
      <w:rFonts w:ascii="Cambria" w:eastAsia="Cambria" w:hAnsi="Cambria" w:cs="Cambria"/>
      <w:color w:val="000000"/>
      <w:sz w:val="22"/>
      <w:szCs w:val="22"/>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c">
    <w:basedOn w:val="TableNormal0"/>
    <w:rPr>
      <w:rFonts w:ascii="Cambria" w:eastAsia="Cambria" w:hAnsi="Cambria" w:cs="Cambria"/>
      <w:color w:val="000000"/>
      <w:sz w:val="22"/>
      <w:szCs w:val="22"/>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d">
    <w:basedOn w:val="TableNormal0"/>
    <w:rPr>
      <w:rFonts w:ascii="Cambria" w:eastAsia="Cambria" w:hAnsi="Cambria" w:cs="Cambria"/>
      <w:color w:val="000000"/>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YaheVbJb3DVOJtQhHkb93OXT4w==">AMUW2mX06ddsVh8QjqRtOSX93WCFBkXkvxCfT9jQqYLAsXuEdrM+M5V2j5qrqcmP4vr8cnHtXO4Am8/MRDHOWTsKvNbNEPSt99ZH9hK1IMBK6NPXFYwVM6ky2mTD0a0K3yQ2PVwQIunG2NQl95m0DDoUfdWZlyxt/n9lxZD5f10sHk0dkfOK3oJV9l5w4W5WKvoDkj47VJO9/gwlfub2E9oxtP/3scgfgkOnjjbMAIsvyuGGXgYtpJ+6NNZgPveI58YaRimvUlwpNoiXeibgf/mXCW6OHmJcqCTmILsodR1YzlvihDh8o7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3094</Words>
  <Characters>17017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Ivonne Azucena Zavala Soto</cp:lastModifiedBy>
  <cp:revision>4</cp:revision>
  <dcterms:created xsi:type="dcterms:W3CDTF">2022-06-08T18:10:00Z</dcterms:created>
  <dcterms:modified xsi:type="dcterms:W3CDTF">2022-06-12T18:50:00Z</dcterms:modified>
</cp:coreProperties>
</file>