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1805C" w14:textId="77777777" w:rsidR="005B0C78" w:rsidRDefault="00F66729">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56361A6B" w14:textId="77777777" w:rsidR="005B0C78" w:rsidRDefault="005B0C78">
      <w:pPr>
        <w:pBdr>
          <w:top w:val="nil"/>
          <w:left w:val="nil"/>
          <w:bottom w:val="nil"/>
          <w:right w:val="nil"/>
          <w:between w:val="nil"/>
        </w:pBdr>
        <w:ind w:left="3826"/>
        <w:rPr>
          <w:rFonts w:ascii="Arial" w:eastAsia="Arial" w:hAnsi="Arial" w:cs="Arial"/>
          <w:color w:val="000000"/>
          <w:sz w:val="14"/>
          <w:szCs w:val="14"/>
        </w:rPr>
      </w:pPr>
    </w:p>
    <w:p w14:paraId="74A06245" w14:textId="77777777" w:rsidR="005B0C78" w:rsidRDefault="00F66729">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TEEA-PES-032/2022.</w:t>
      </w:r>
      <w:r>
        <w:rPr>
          <w:rFonts w:ascii="Arial" w:eastAsia="Arial" w:hAnsi="Arial" w:cs="Arial"/>
          <w:b/>
          <w:sz w:val="24"/>
          <w:szCs w:val="24"/>
        </w:rPr>
        <w:t xml:space="preserve"> </w:t>
      </w:r>
    </w:p>
    <w:p w14:paraId="47E6E462" w14:textId="77777777" w:rsidR="005B0C78" w:rsidRDefault="005B0C78">
      <w:pPr>
        <w:ind w:left="3826" w:right="36"/>
        <w:jc w:val="both"/>
        <w:rPr>
          <w:rFonts w:ascii="Arial" w:eastAsia="Arial" w:hAnsi="Arial" w:cs="Arial"/>
          <w:b/>
          <w:sz w:val="14"/>
          <w:szCs w:val="14"/>
        </w:rPr>
      </w:pPr>
    </w:p>
    <w:p w14:paraId="7FD44C0E" w14:textId="77777777" w:rsidR="005B0C78" w:rsidRDefault="00F66729">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ISRAEL ÁNGEL RAMÍREZ, REPRESENTANTE SUPLENTE DEL PARTIDO ACCIÓN NACIONAL Y DE LA COALICIÓN “VA POR AGUASCALIENTES”.</w:t>
      </w:r>
    </w:p>
    <w:p w14:paraId="0E76A7BB" w14:textId="77777777" w:rsidR="005B0C78" w:rsidRDefault="005B0C78">
      <w:pPr>
        <w:pBdr>
          <w:top w:val="nil"/>
          <w:left w:val="nil"/>
          <w:bottom w:val="nil"/>
          <w:right w:val="nil"/>
          <w:between w:val="nil"/>
        </w:pBdr>
        <w:ind w:left="3826"/>
        <w:rPr>
          <w:rFonts w:ascii="Arial" w:eastAsia="Arial" w:hAnsi="Arial" w:cs="Arial"/>
          <w:color w:val="000000"/>
          <w:sz w:val="14"/>
          <w:szCs w:val="14"/>
        </w:rPr>
      </w:pPr>
    </w:p>
    <w:p w14:paraId="790D611C" w14:textId="77777777" w:rsidR="005B0C78" w:rsidRDefault="00F66729">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 </w:t>
      </w:r>
    </w:p>
    <w:p w14:paraId="11536783" w14:textId="77777777" w:rsidR="005B0C78" w:rsidRDefault="005B0C78">
      <w:pPr>
        <w:pBdr>
          <w:top w:val="nil"/>
          <w:left w:val="nil"/>
          <w:bottom w:val="nil"/>
          <w:right w:val="nil"/>
          <w:between w:val="nil"/>
        </w:pBdr>
        <w:ind w:left="3826"/>
        <w:rPr>
          <w:rFonts w:ascii="Arial" w:eastAsia="Arial" w:hAnsi="Arial" w:cs="Arial"/>
          <w:color w:val="000000"/>
          <w:sz w:val="14"/>
          <w:szCs w:val="14"/>
        </w:rPr>
      </w:pPr>
    </w:p>
    <w:p w14:paraId="47B6B547" w14:textId="77777777" w:rsidR="005B0C78" w:rsidRDefault="00F66729">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47553078" w14:textId="77777777" w:rsidR="005B0C78" w:rsidRDefault="005B0C78">
      <w:pPr>
        <w:pBdr>
          <w:top w:val="nil"/>
          <w:left w:val="nil"/>
          <w:bottom w:val="nil"/>
          <w:right w:val="nil"/>
          <w:between w:val="nil"/>
        </w:pBdr>
        <w:ind w:left="3826"/>
        <w:rPr>
          <w:rFonts w:ascii="Arial" w:eastAsia="Arial" w:hAnsi="Arial" w:cs="Arial"/>
          <w:color w:val="000000"/>
          <w:sz w:val="14"/>
          <w:szCs w:val="14"/>
        </w:rPr>
      </w:pPr>
    </w:p>
    <w:p w14:paraId="2A3156F8" w14:textId="77777777" w:rsidR="005B0C78" w:rsidRDefault="00F66729">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41E226BC" w14:textId="77777777" w:rsidR="005B0C78" w:rsidRDefault="005B0C78">
      <w:pPr>
        <w:ind w:left="3826" w:right="36"/>
        <w:jc w:val="both"/>
        <w:rPr>
          <w:rFonts w:ascii="Arial" w:eastAsia="Arial" w:hAnsi="Arial" w:cs="Arial"/>
          <w:sz w:val="14"/>
          <w:szCs w:val="14"/>
        </w:rPr>
      </w:pPr>
    </w:p>
    <w:p w14:paraId="1BF4CE72" w14:textId="77777777" w:rsidR="005B0C78" w:rsidRDefault="00F66729">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19A09E38" w14:textId="77777777" w:rsidR="005B0C78" w:rsidRDefault="005B0C78">
      <w:pPr>
        <w:ind w:left="3826" w:right="36"/>
        <w:jc w:val="both"/>
        <w:rPr>
          <w:rFonts w:ascii="Arial" w:eastAsia="Arial" w:hAnsi="Arial" w:cs="Arial"/>
          <w:sz w:val="24"/>
          <w:szCs w:val="24"/>
        </w:rPr>
      </w:pPr>
    </w:p>
    <w:p w14:paraId="41E283AA" w14:textId="77777777" w:rsidR="005B0C78" w:rsidRDefault="005B0C78">
      <w:pPr>
        <w:pBdr>
          <w:top w:val="nil"/>
          <w:left w:val="nil"/>
          <w:bottom w:val="nil"/>
          <w:right w:val="nil"/>
          <w:between w:val="nil"/>
        </w:pBdr>
        <w:rPr>
          <w:color w:val="000000"/>
        </w:rPr>
      </w:pPr>
    </w:p>
    <w:p w14:paraId="29E1E8E0" w14:textId="77777777" w:rsidR="005B0C78" w:rsidRDefault="00F66729">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Pr>
          <w:rFonts w:ascii="Arial" w:eastAsia="Arial" w:hAnsi="Arial" w:cs="Arial"/>
          <w:sz w:val="24"/>
          <w:szCs w:val="24"/>
        </w:rPr>
        <w:t>20</w:t>
      </w:r>
      <w:r>
        <w:rPr>
          <w:rFonts w:ascii="Arial" w:eastAsia="Arial" w:hAnsi="Arial" w:cs="Arial"/>
          <w:color w:val="000000"/>
          <w:sz w:val="24"/>
          <w:szCs w:val="24"/>
        </w:rPr>
        <w:t xml:space="preserve"> de mayo de 2022</w:t>
      </w:r>
      <w:r>
        <w:rPr>
          <w:rFonts w:ascii="Arial" w:eastAsia="Arial" w:hAnsi="Arial" w:cs="Arial"/>
          <w:sz w:val="24"/>
          <w:szCs w:val="24"/>
        </w:rPr>
        <w:t>.</w:t>
      </w:r>
    </w:p>
    <w:p w14:paraId="5AAFA43A" w14:textId="77777777" w:rsidR="005B0C78" w:rsidRDefault="005B0C78">
      <w:pPr>
        <w:pBdr>
          <w:top w:val="nil"/>
          <w:left w:val="nil"/>
          <w:bottom w:val="nil"/>
          <w:right w:val="nil"/>
          <w:between w:val="nil"/>
        </w:pBdr>
        <w:rPr>
          <w:b/>
          <w:color w:val="000000"/>
          <w:sz w:val="18"/>
          <w:szCs w:val="18"/>
        </w:rPr>
      </w:pPr>
    </w:p>
    <w:p w14:paraId="1F3C3085" w14:textId="77777777" w:rsidR="005B0C78" w:rsidRDefault="00F66729">
      <w:pPr>
        <w:spacing w:after="240"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de calumnia en perjuicio del Partido Acción Nacional y de su candidata, María Teresa Jiménez Esquivel, atribuida a la ciudadana Nora Ruvalcaba Gámez, candidata a la gubernatura del estado por el partido Morena, y, </w:t>
      </w:r>
      <w:r>
        <w:rPr>
          <w:rFonts w:ascii="Arial" w:eastAsia="Arial" w:hAnsi="Arial" w:cs="Arial"/>
          <w:b/>
          <w:i/>
          <w:sz w:val="24"/>
          <w:szCs w:val="24"/>
        </w:rPr>
        <w:t xml:space="preserve">b) </w:t>
      </w:r>
      <w:r>
        <w:rPr>
          <w:rFonts w:ascii="Arial" w:eastAsia="Arial" w:hAnsi="Arial" w:cs="Arial"/>
          <w:sz w:val="24"/>
          <w:szCs w:val="24"/>
        </w:rPr>
        <w:t xml:space="preserve">la inexistencia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631E23EC" w14:textId="77777777" w:rsidR="005B0C78" w:rsidRDefault="00F6672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 las expresiones cuestionadas, se advierte que estas </w:t>
      </w:r>
      <w:r>
        <w:rPr>
          <w:rFonts w:ascii="Arial" w:eastAsia="Arial" w:hAnsi="Arial" w:cs="Arial"/>
          <w:b/>
          <w:sz w:val="24"/>
          <w:szCs w:val="24"/>
        </w:rPr>
        <w:t>se trataron de críticas dirigidas a temas que forman parte de la gestión pública</w:t>
      </w:r>
      <w:r>
        <w:rPr>
          <w:rFonts w:ascii="Arial" w:eastAsia="Arial" w:hAnsi="Arial" w:cs="Arial"/>
          <w:sz w:val="24"/>
          <w:szCs w:val="24"/>
        </w:rPr>
        <w:t xml:space="preserve"> de la candidata quejosa cuando fungió como presidenta municipal de Aguascalientes que, a su vez, se encuentran permitidas en el contexto del debate político, al estar amparadas por el derecho de la libertad de expresión y, a su vez, el derecho de la ciudadanía a emitir un voto libre e informado, por lo cual no fue posible acreditar el elemento objetivo que exige la infracción de calumnia.</w:t>
      </w:r>
    </w:p>
    <w:p w14:paraId="16550B20" w14:textId="77777777" w:rsidR="005B0C78" w:rsidRDefault="00F66729">
      <w:pPr>
        <w:spacing w:before="240" w:line="360" w:lineRule="auto"/>
        <w:jc w:val="both"/>
        <w:rPr>
          <w:rFonts w:ascii="Arial" w:eastAsia="Arial" w:hAnsi="Arial" w:cs="Arial"/>
          <w:b/>
          <w:color w:val="000000"/>
          <w:sz w:val="16"/>
          <w:szCs w:val="16"/>
        </w:rPr>
      </w:pPr>
      <w:bookmarkStart w:id="2" w:name="_heading=h.g687188sr8bc" w:colFirst="0" w:colLast="0"/>
      <w:bookmarkEnd w:id="2"/>
      <w:r>
        <w:rPr>
          <w:rFonts w:ascii="Arial" w:eastAsia="Arial" w:hAnsi="Arial" w:cs="Arial"/>
          <w:b/>
          <w:color w:val="000000"/>
          <w:sz w:val="16"/>
          <w:szCs w:val="16"/>
        </w:rPr>
        <w:t xml:space="preserve">                                                                                       Índice</w:t>
      </w:r>
    </w:p>
    <w:p w14:paraId="57987DCD" w14:textId="77777777" w:rsidR="005B0C78" w:rsidRDefault="00F66729">
      <w:pPr>
        <w:ind w:left="993" w:right="616"/>
        <w:rPr>
          <w:rFonts w:ascii="Arial" w:eastAsia="Arial" w:hAnsi="Arial" w:cs="Arial"/>
          <w:b/>
          <w:sz w:val="16"/>
          <w:szCs w:val="16"/>
        </w:rPr>
      </w:pPr>
      <w:r>
        <w:rPr>
          <w:rFonts w:ascii="Arial" w:eastAsia="Arial" w:hAnsi="Arial" w:cs="Arial"/>
          <w:b/>
          <w:sz w:val="16"/>
          <w:szCs w:val="16"/>
        </w:rPr>
        <w:t>Contexto del caso ……………………………………………………………………………………………...2</w:t>
      </w:r>
    </w:p>
    <w:p w14:paraId="101EFDA3" w14:textId="77777777" w:rsidR="005B0C78" w:rsidRDefault="00F66729">
      <w:pPr>
        <w:ind w:left="993" w:right="616"/>
        <w:rPr>
          <w:rFonts w:ascii="Arial" w:eastAsia="Arial" w:hAnsi="Arial" w:cs="Arial"/>
          <w:b/>
          <w:sz w:val="16"/>
          <w:szCs w:val="16"/>
        </w:rPr>
      </w:pPr>
      <w:r>
        <w:rPr>
          <w:rFonts w:ascii="Arial" w:eastAsia="Arial" w:hAnsi="Arial" w:cs="Arial"/>
          <w:b/>
          <w:sz w:val="16"/>
          <w:szCs w:val="16"/>
        </w:rPr>
        <w:t>Competencia ………………………………………………………………………………………………....…3</w:t>
      </w:r>
    </w:p>
    <w:p w14:paraId="0FF519BA" w14:textId="77777777" w:rsidR="005B0C78" w:rsidRDefault="00F66729">
      <w:pPr>
        <w:ind w:left="993" w:right="616"/>
        <w:rPr>
          <w:rFonts w:ascii="Arial" w:eastAsia="Arial" w:hAnsi="Arial" w:cs="Arial"/>
          <w:b/>
          <w:sz w:val="16"/>
          <w:szCs w:val="16"/>
        </w:rPr>
      </w:pPr>
      <w:r>
        <w:rPr>
          <w:rFonts w:ascii="Arial" w:eastAsia="Arial" w:hAnsi="Arial" w:cs="Arial"/>
          <w:b/>
          <w:sz w:val="16"/>
          <w:szCs w:val="16"/>
        </w:rPr>
        <w:t>Personería …………………………………………………………………………………………………....…</w:t>
      </w:r>
      <w:r>
        <w:rPr>
          <w:rFonts w:ascii="Arial" w:eastAsia="Arial" w:hAnsi="Arial" w:cs="Arial"/>
          <w:b/>
          <w:sz w:val="8"/>
          <w:szCs w:val="8"/>
        </w:rPr>
        <w:t>.</w:t>
      </w:r>
      <w:r>
        <w:rPr>
          <w:rFonts w:ascii="Arial" w:eastAsia="Arial" w:hAnsi="Arial" w:cs="Arial"/>
          <w:b/>
          <w:sz w:val="16"/>
          <w:szCs w:val="16"/>
        </w:rPr>
        <w:t>3</w:t>
      </w:r>
    </w:p>
    <w:p w14:paraId="48E8C14C" w14:textId="77777777" w:rsidR="005B0C78" w:rsidRDefault="00F66729">
      <w:pPr>
        <w:ind w:left="993" w:right="616"/>
        <w:rPr>
          <w:rFonts w:ascii="Arial" w:eastAsia="Arial" w:hAnsi="Arial" w:cs="Arial"/>
          <w:b/>
          <w:sz w:val="16"/>
          <w:szCs w:val="16"/>
        </w:rPr>
      </w:pPr>
      <w:r>
        <w:rPr>
          <w:rFonts w:ascii="Arial" w:eastAsia="Arial" w:hAnsi="Arial" w:cs="Arial"/>
          <w:b/>
          <w:sz w:val="16"/>
          <w:szCs w:val="16"/>
        </w:rPr>
        <w:t>Causales de improcedencia …………………………………………………………………………………</w:t>
      </w:r>
      <w:r>
        <w:rPr>
          <w:rFonts w:ascii="Arial" w:eastAsia="Arial" w:hAnsi="Arial" w:cs="Arial"/>
          <w:b/>
          <w:sz w:val="14"/>
          <w:szCs w:val="14"/>
        </w:rPr>
        <w:t>.</w:t>
      </w:r>
      <w:r>
        <w:rPr>
          <w:rFonts w:ascii="Arial" w:eastAsia="Arial" w:hAnsi="Arial" w:cs="Arial"/>
          <w:b/>
          <w:sz w:val="16"/>
          <w:szCs w:val="16"/>
        </w:rPr>
        <w:t>3</w:t>
      </w:r>
    </w:p>
    <w:p w14:paraId="244C5A73" w14:textId="77777777" w:rsidR="005B0C78" w:rsidRDefault="00F66729">
      <w:pPr>
        <w:ind w:left="993" w:right="616"/>
        <w:rPr>
          <w:rFonts w:ascii="Arial" w:eastAsia="Arial" w:hAnsi="Arial" w:cs="Arial"/>
          <w:b/>
          <w:sz w:val="16"/>
          <w:szCs w:val="16"/>
        </w:rPr>
      </w:pPr>
      <w:r>
        <w:rPr>
          <w:rFonts w:ascii="Arial" w:eastAsia="Arial" w:hAnsi="Arial" w:cs="Arial"/>
          <w:b/>
          <w:sz w:val="16"/>
          <w:szCs w:val="16"/>
        </w:rPr>
        <w:t>Estudio de fondo……………………………………………………………………………….....…………....4</w:t>
      </w:r>
    </w:p>
    <w:p w14:paraId="2036BF74" w14:textId="77777777" w:rsidR="005B0C78" w:rsidRDefault="00F66729">
      <w:pPr>
        <w:ind w:left="993" w:right="616"/>
        <w:rPr>
          <w:rFonts w:ascii="Arial" w:eastAsia="Arial" w:hAnsi="Arial" w:cs="Arial"/>
          <w:b/>
          <w:sz w:val="16"/>
          <w:szCs w:val="16"/>
        </w:rPr>
      </w:pPr>
      <w:r>
        <w:rPr>
          <w:rFonts w:ascii="Arial" w:eastAsia="Arial" w:hAnsi="Arial" w:cs="Arial"/>
          <w:b/>
          <w:sz w:val="16"/>
          <w:szCs w:val="16"/>
        </w:rPr>
        <w:t>Análisis de fondo ……………………………………………………………………………………………....8</w:t>
      </w:r>
    </w:p>
    <w:p w14:paraId="6F5B782A" w14:textId="77777777" w:rsidR="005B0C78" w:rsidRDefault="00F66729">
      <w:pPr>
        <w:ind w:left="993" w:right="616"/>
        <w:rPr>
          <w:rFonts w:ascii="Arial" w:eastAsia="Arial" w:hAnsi="Arial" w:cs="Arial"/>
          <w:sz w:val="16"/>
          <w:szCs w:val="16"/>
        </w:rPr>
      </w:pPr>
      <w:r>
        <w:rPr>
          <w:rFonts w:ascii="Arial" w:eastAsia="Arial" w:hAnsi="Arial" w:cs="Arial"/>
          <w:sz w:val="16"/>
          <w:szCs w:val="16"/>
        </w:rPr>
        <w:t>Apartado I. Decisión……………………………………………………………………………………………..</w:t>
      </w:r>
      <w:r>
        <w:rPr>
          <w:rFonts w:ascii="Arial" w:eastAsia="Arial" w:hAnsi="Arial" w:cs="Arial"/>
          <w:sz w:val="8"/>
          <w:szCs w:val="8"/>
        </w:rPr>
        <w:t xml:space="preserve"> </w:t>
      </w:r>
      <w:r>
        <w:rPr>
          <w:rFonts w:ascii="Arial" w:eastAsia="Arial" w:hAnsi="Arial" w:cs="Arial"/>
          <w:b/>
          <w:sz w:val="16"/>
          <w:szCs w:val="16"/>
        </w:rPr>
        <w:t>8</w:t>
      </w:r>
    </w:p>
    <w:p w14:paraId="231DD7D9" w14:textId="77777777" w:rsidR="005B0C78" w:rsidRDefault="00F66729">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r>
        <w:rPr>
          <w:rFonts w:ascii="Arial" w:eastAsia="Arial" w:hAnsi="Arial" w:cs="Arial"/>
          <w:b/>
          <w:sz w:val="16"/>
          <w:szCs w:val="16"/>
        </w:rPr>
        <w:t>8</w:t>
      </w:r>
    </w:p>
    <w:p w14:paraId="4AEE6B96" w14:textId="41D454D5" w:rsidR="005B0C78" w:rsidRDefault="00F66729">
      <w:pPr>
        <w:tabs>
          <w:tab w:val="right" w:pos="8263"/>
          <w:tab w:val="left" w:pos="8789"/>
        </w:tabs>
        <w:ind w:left="993" w:right="616"/>
        <w:rPr>
          <w:rFonts w:ascii="Arial" w:eastAsia="Arial" w:hAnsi="Arial" w:cs="Arial"/>
          <w:sz w:val="16"/>
          <w:szCs w:val="16"/>
        </w:rPr>
      </w:pPr>
      <w:r>
        <w:rPr>
          <w:rFonts w:ascii="Arial" w:eastAsia="Arial" w:hAnsi="Arial" w:cs="Arial"/>
          <w:sz w:val="16"/>
          <w:szCs w:val="16"/>
        </w:rPr>
        <w:t>Culpa in vigilando...………..…………………………………………………………………....…………......</w:t>
      </w:r>
      <w:r>
        <w:rPr>
          <w:rFonts w:ascii="Arial" w:eastAsia="Arial" w:hAnsi="Arial" w:cs="Arial"/>
          <w:b/>
          <w:sz w:val="16"/>
          <w:szCs w:val="16"/>
        </w:rPr>
        <w:t>1</w:t>
      </w:r>
      <w:r w:rsidR="00233ED4">
        <w:rPr>
          <w:rFonts w:ascii="Arial" w:eastAsia="Arial" w:hAnsi="Arial" w:cs="Arial"/>
          <w:b/>
          <w:sz w:val="16"/>
          <w:szCs w:val="16"/>
        </w:rPr>
        <w:t>3</w:t>
      </w:r>
    </w:p>
    <w:p w14:paraId="37A22578" w14:textId="6AAB1977" w:rsidR="005B0C78" w:rsidRDefault="00F66729">
      <w:pPr>
        <w:tabs>
          <w:tab w:val="right" w:pos="8263"/>
        </w:tabs>
        <w:ind w:left="993" w:right="616"/>
        <w:rPr>
          <w:rFonts w:ascii="Arial" w:eastAsia="Arial" w:hAnsi="Arial" w:cs="Arial"/>
          <w:b/>
          <w:sz w:val="16"/>
          <w:szCs w:val="16"/>
        </w:rPr>
      </w:pPr>
      <w:r>
        <w:rPr>
          <w:rFonts w:ascii="Arial" w:eastAsia="Arial" w:hAnsi="Arial" w:cs="Arial"/>
          <w:b/>
          <w:sz w:val="16"/>
          <w:szCs w:val="16"/>
        </w:rPr>
        <w:t>Resolutivos.…………………………………………………………………………………….....…</w:t>
      </w:r>
      <w:r>
        <w:rPr>
          <w:rFonts w:ascii="Arial" w:eastAsia="Arial" w:hAnsi="Arial" w:cs="Arial"/>
          <w:b/>
          <w:sz w:val="14"/>
          <w:szCs w:val="14"/>
        </w:rPr>
        <w:t>…</w:t>
      </w:r>
      <w:r>
        <w:rPr>
          <w:rFonts w:ascii="Arial" w:eastAsia="Arial" w:hAnsi="Arial" w:cs="Arial"/>
          <w:b/>
          <w:sz w:val="16"/>
          <w:szCs w:val="16"/>
        </w:rPr>
        <w:t>……...1</w:t>
      </w:r>
      <w:r w:rsidR="00233ED4">
        <w:rPr>
          <w:rFonts w:ascii="Arial" w:eastAsia="Arial" w:hAnsi="Arial" w:cs="Arial"/>
          <w:b/>
          <w:sz w:val="16"/>
          <w:szCs w:val="16"/>
        </w:rPr>
        <w:t>3</w:t>
      </w:r>
    </w:p>
    <w:p w14:paraId="62844D79" w14:textId="77777777" w:rsidR="005B0C78" w:rsidRDefault="005B0C78">
      <w:pPr>
        <w:pBdr>
          <w:top w:val="nil"/>
          <w:left w:val="nil"/>
          <w:bottom w:val="nil"/>
          <w:right w:val="nil"/>
          <w:between w:val="nil"/>
        </w:pBdr>
        <w:rPr>
          <w:color w:val="000000"/>
        </w:rPr>
      </w:pPr>
    </w:p>
    <w:p w14:paraId="089D15D8" w14:textId="77777777" w:rsidR="005B0C78" w:rsidRDefault="00F66729">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a"/>
        <w:tblW w:w="7229" w:type="dxa"/>
        <w:tblInd w:w="851" w:type="dxa"/>
        <w:tblLayout w:type="fixed"/>
        <w:tblLook w:val="0400" w:firstRow="0" w:lastRow="0" w:firstColumn="0" w:lastColumn="0" w:noHBand="0" w:noVBand="1"/>
      </w:tblPr>
      <w:tblGrid>
        <w:gridCol w:w="1843"/>
        <w:gridCol w:w="5386"/>
      </w:tblGrid>
      <w:tr w:rsidR="005B0C78" w14:paraId="5E926019" w14:textId="77777777">
        <w:trPr>
          <w:trHeight w:val="70"/>
        </w:trPr>
        <w:tc>
          <w:tcPr>
            <w:tcW w:w="1843" w:type="dxa"/>
            <w:shd w:val="clear" w:color="auto" w:fill="auto"/>
          </w:tcPr>
          <w:p w14:paraId="0D5BAEC0"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114BC6D5"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23178D02" w14:textId="77777777" w:rsidR="005B0C78" w:rsidRDefault="005B0C78">
            <w:pPr>
              <w:spacing w:line="276" w:lineRule="auto"/>
              <w:jc w:val="both"/>
              <w:rPr>
                <w:rFonts w:ascii="Arial" w:eastAsia="Arial" w:hAnsi="Arial" w:cs="Arial"/>
                <w:b/>
                <w:color w:val="000000"/>
                <w:sz w:val="16"/>
                <w:szCs w:val="16"/>
              </w:rPr>
            </w:pPr>
          </w:p>
          <w:p w14:paraId="59893EF8"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lastRenderedPageBreak/>
              <w:t>Código Electoral:</w:t>
            </w:r>
          </w:p>
          <w:p w14:paraId="0141A79C"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4EC7B448"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tc>
        <w:tc>
          <w:tcPr>
            <w:tcW w:w="5386" w:type="dxa"/>
            <w:shd w:val="clear" w:color="auto" w:fill="auto"/>
          </w:tcPr>
          <w:p w14:paraId="5E5C193A" w14:textId="77777777" w:rsidR="005B0C78" w:rsidRDefault="00F66729">
            <w:pPr>
              <w:spacing w:line="276" w:lineRule="auto"/>
              <w:ind w:right="518"/>
              <w:jc w:val="both"/>
              <w:rPr>
                <w:rFonts w:ascii="Arial" w:eastAsia="Arial" w:hAnsi="Arial" w:cs="Arial"/>
                <w:color w:val="000000"/>
                <w:sz w:val="16"/>
                <w:szCs w:val="16"/>
              </w:rPr>
            </w:pPr>
            <w:r>
              <w:rPr>
                <w:rFonts w:ascii="Arial" w:eastAsia="Arial" w:hAnsi="Arial" w:cs="Arial"/>
                <w:color w:val="000000"/>
                <w:sz w:val="16"/>
                <w:szCs w:val="16"/>
              </w:rPr>
              <w:lastRenderedPageBreak/>
              <w:t>Partido Acción Nacional.</w:t>
            </w:r>
          </w:p>
          <w:p w14:paraId="0E40C108" w14:textId="77777777" w:rsidR="005B0C78" w:rsidRDefault="00F66729">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Nora Ruvalcaba Gámez, candidata de Morena a la gubernatura </w:t>
            </w:r>
          </w:p>
          <w:p w14:paraId="653A0627" w14:textId="77777777" w:rsidR="005B0C78" w:rsidRDefault="00F66729">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del estado, y Morena. </w:t>
            </w:r>
          </w:p>
          <w:p w14:paraId="7E0AF37C"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lastRenderedPageBreak/>
              <w:t>Código Electoral del Estado de Aguascalientes.</w:t>
            </w:r>
          </w:p>
          <w:p w14:paraId="052BDCC7"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7EC1742A"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tc>
      </w:tr>
      <w:tr w:rsidR="005B0C78" w14:paraId="0E4AFBDF" w14:textId="77777777">
        <w:trPr>
          <w:trHeight w:val="578"/>
        </w:trPr>
        <w:tc>
          <w:tcPr>
            <w:tcW w:w="1843" w:type="dxa"/>
            <w:shd w:val="clear" w:color="auto" w:fill="auto"/>
          </w:tcPr>
          <w:p w14:paraId="307D8E34"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lastRenderedPageBreak/>
              <w:t xml:space="preserve">LEGIPE: </w:t>
            </w:r>
          </w:p>
          <w:p w14:paraId="5BC522AD"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34D0331F"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3245F1CC" w14:textId="77777777" w:rsidR="005B0C78" w:rsidRDefault="005B0C78">
            <w:pPr>
              <w:spacing w:line="276" w:lineRule="auto"/>
              <w:jc w:val="both"/>
              <w:rPr>
                <w:rFonts w:ascii="Arial" w:eastAsia="Arial" w:hAnsi="Arial" w:cs="Arial"/>
                <w:b/>
                <w:color w:val="000000"/>
                <w:sz w:val="16"/>
                <w:szCs w:val="16"/>
              </w:rPr>
            </w:pPr>
          </w:p>
          <w:p w14:paraId="4059E82A"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542C70EB"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47F4C328"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13EFC2EE"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7015DF6D"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122956EE" w14:textId="77777777" w:rsidR="005B0C78" w:rsidRDefault="00F6672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p w14:paraId="56F8A587" w14:textId="77777777" w:rsidR="005B0C78" w:rsidRDefault="005B0C78">
            <w:pPr>
              <w:spacing w:line="276" w:lineRule="auto"/>
              <w:jc w:val="both"/>
              <w:rPr>
                <w:rFonts w:ascii="Arial" w:eastAsia="Arial" w:hAnsi="Arial" w:cs="Arial"/>
                <w:b/>
                <w:color w:val="000000"/>
                <w:sz w:val="16"/>
                <w:szCs w:val="16"/>
              </w:rPr>
            </w:pPr>
          </w:p>
        </w:tc>
        <w:tc>
          <w:tcPr>
            <w:tcW w:w="5386" w:type="dxa"/>
            <w:shd w:val="clear" w:color="auto" w:fill="auto"/>
          </w:tcPr>
          <w:p w14:paraId="1BF3074F"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556C1E51"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2FD3E13E"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6E74DCDD"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144A0638"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76DD569A"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24503DFE"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3567106A"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4DED95DD" w14:textId="77777777" w:rsidR="005B0C78" w:rsidRDefault="00F6672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p w14:paraId="2E9B1395" w14:textId="77777777" w:rsidR="005B0C78" w:rsidRDefault="005B0C78">
            <w:pPr>
              <w:spacing w:line="276" w:lineRule="auto"/>
              <w:ind w:right="178"/>
              <w:jc w:val="both"/>
              <w:rPr>
                <w:rFonts w:ascii="Arial" w:eastAsia="Arial" w:hAnsi="Arial" w:cs="Arial"/>
                <w:color w:val="000000"/>
                <w:sz w:val="16"/>
                <w:szCs w:val="16"/>
              </w:rPr>
            </w:pPr>
          </w:p>
        </w:tc>
      </w:tr>
    </w:tbl>
    <w:p w14:paraId="6DAD4B16" w14:textId="77777777" w:rsidR="005B0C78" w:rsidRDefault="005B0C78">
      <w:pPr>
        <w:pBdr>
          <w:top w:val="nil"/>
          <w:left w:val="nil"/>
          <w:bottom w:val="nil"/>
          <w:right w:val="nil"/>
          <w:between w:val="nil"/>
        </w:pBdr>
        <w:rPr>
          <w:color w:val="000000"/>
          <w:sz w:val="10"/>
          <w:szCs w:val="10"/>
        </w:rPr>
      </w:pPr>
    </w:p>
    <w:p w14:paraId="2C268A39" w14:textId="77777777" w:rsidR="005B0C78" w:rsidRDefault="00F66729">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5D9170AA" w14:textId="77777777" w:rsidR="005B0C78" w:rsidRDefault="005B0C78">
      <w:pPr>
        <w:pBdr>
          <w:top w:val="nil"/>
          <w:left w:val="nil"/>
          <w:bottom w:val="nil"/>
          <w:right w:val="nil"/>
          <w:between w:val="nil"/>
        </w:pBdr>
        <w:rPr>
          <w:color w:val="000000"/>
        </w:rPr>
      </w:pPr>
    </w:p>
    <w:p w14:paraId="2F9C204C" w14:textId="77777777" w:rsidR="005B0C78" w:rsidRDefault="00F66729">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138FC4BA" w14:textId="77777777" w:rsidR="005B0C78" w:rsidRDefault="00F6672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7 de mayo, el ciudadano Israel Ángel Ramírez, representante suplente del PAN y de la coalición “Va Por Aguascalientes” ante el Consejo General, presentó una queja en contra de Nora Ruvalcaba Gámez, candidata de Morena a la gubernatura del estado, así como del referido instituto político, derivado de la realización de una publicación en sus perfiles de Facebook y Twitter, que a su dicho, contiene expresiones que configuran la infracción de calumnia en perjuicio del PAN y de la candidata María Teresa Jiménez Esquivel. A su vez, exigió a la autoridad administrativa la adopción de medidas cautelares.</w:t>
      </w:r>
    </w:p>
    <w:p w14:paraId="0D7AC121" w14:textId="77777777" w:rsidR="005B0C78" w:rsidRDefault="00F6672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admisión y medidas cautelares. </w:t>
      </w:r>
      <w:r>
        <w:rPr>
          <w:rFonts w:ascii="Arial" w:eastAsia="Arial" w:hAnsi="Arial" w:cs="Arial"/>
          <w:sz w:val="24"/>
          <w:szCs w:val="24"/>
        </w:rPr>
        <w:t xml:space="preserve">Al día siguiente, el Secretario Ejecutivo radicó la denuncia y le asignó el número de expediente IEE/PES/041/2022, y el 13 del mismo mes, la admitió a trámite. El 15 consecuente, </w:t>
      </w:r>
      <w:r>
        <w:rPr>
          <w:rFonts w:ascii="Arial" w:eastAsia="Arial" w:hAnsi="Arial" w:cs="Arial"/>
          <w:b/>
          <w:sz w:val="24"/>
          <w:szCs w:val="24"/>
        </w:rPr>
        <w:t>determinó no proponer la valoración de las medidas cautelares</w:t>
      </w:r>
      <w:r>
        <w:rPr>
          <w:rFonts w:ascii="Arial" w:eastAsia="Arial" w:hAnsi="Arial" w:cs="Arial"/>
          <w:sz w:val="24"/>
          <w:szCs w:val="24"/>
        </w:rPr>
        <w:t xml:space="preserve"> propuestas por la parte denunciante a la Comisión de Quejas y Denuncias del Instituto Local, dado que estas no pueden recaer sobre sobre hechos futuros de realización incierta. </w:t>
      </w:r>
    </w:p>
    <w:p w14:paraId="394FD340" w14:textId="77777777" w:rsidR="005B0C78" w:rsidRDefault="00F66729">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sz w:val="24"/>
          <w:szCs w:val="24"/>
        </w:rPr>
        <w:t>4. Audiencia de alegatos y remisión del expediente.</w:t>
      </w:r>
      <w:r>
        <w:rPr>
          <w:rFonts w:ascii="Arial" w:eastAsia="Arial" w:hAnsi="Arial" w:cs="Arial"/>
          <w:sz w:val="24"/>
          <w:szCs w:val="24"/>
        </w:rPr>
        <w:t xml:space="preserve"> El 17 del referido mes, la Secretaría Ejecutiva celebró la audiencia de pruebas y alegatos, </w:t>
      </w:r>
      <w:r>
        <w:rPr>
          <w:rFonts w:ascii="Arial" w:eastAsia="Arial" w:hAnsi="Arial" w:cs="Arial"/>
          <w:color w:val="000000"/>
          <w:sz w:val="24"/>
          <w:szCs w:val="24"/>
        </w:rPr>
        <w:t>y, al día siguiente, realizó el informe circunstanciado. En misma fecha, s</w:t>
      </w:r>
      <w:r>
        <w:rPr>
          <w:rFonts w:ascii="Arial" w:eastAsia="Arial" w:hAnsi="Arial" w:cs="Arial"/>
          <w:sz w:val="24"/>
          <w:szCs w:val="24"/>
        </w:rPr>
        <w:t xml:space="preserve">e recibió en la oficialía de partes de este órgano jurisdiccional el expediente en cuestión. </w:t>
      </w:r>
    </w:p>
    <w:p w14:paraId="466803EF" w14:textId="77777777" w:rsidR="005B0C78" w:rsidRDefault="00F66729">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t xml:space="preserve">5. Turno, radicación y formulación del proyecto de resolución TEEA-PES-032/2022. </w:t>
      </w:r>
      <w:r>
        <w:rPr>
          <w:rFonts w:ascii="Arial" w:eastAsia="Arial" w:hAnsi="Arial" w:cs="Arial"/>
          <w:sz w:val="24"/>
          <w:szCs w:val="24"/>
        </w:rPr>
        <w:t xml:space="preserve">El mismo 18, la Magistrada Presidenta ordenó el registro del asunto con el número de expediente TEEA-PES-032/2022 y lo turnó a la Ponencia de la Magistrada Laura Hortensia </w:t>
      </w:r>
      <w:r>
        <w:rPr>
          <w:rFonts w:ascii="Arial" w:eastAsia="Arial" w:hAnsi="Arial" w:cs="Arial"/>
          <w:sz w:val="24"/>
          <w:szCs w:val="24"/>
        </w:rPr>
        <w:lastRenderedPageBreak/>
        <w:t>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1F6BBED1" w14:textId="77777777" w:rsidR="005B0C78" w:rsidRDefault="00F66729">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IV, del Código Electoral, derivado de una publicación difundida a través de las redes sociales Facebook y Twitter, la cual contiene expresiones que presuntamente constituyen la infracción de calumnia, atribuida a </w:t>
      </w:r>
      <w:r>
        <w:rPr>
          <w:rFonts w:ascii="Arial" w:eastAsia="Arial" w:hAnsi="Arial" w:cs="Arial"/>
          <w:sz w:val="24"/>
          <w:szCs w:val="24"/>
        </w:rPr>
        <w:t xml:space="preserve">la ciudadana </w:t>
      </w:r>
      <w:r>
        <w:rPr>
          <w:rFonts w:ascii="Arial" w:eastAsia="Arial" w:hAnsi="Arial" w:cs="Arial"/>
          <w:color w:val="000000"/>
          <w:sz w:val="24"/>
          <w:szCs w:val="24"/>
        </w:rPr>
        <w:t xml:space="preserve">Nora Ruvalcaba Gámez en su </w:t>
      </w:r>
      <w:r>
        <w:rPr>
          <w:rFonts w:ascii="Arial" w:eastAsia="Arial" w:hAnsi="Arial" w:cs="Arial"/>
          <w:sz w:val="24"/>
          <w:szCs w:val="24"/>
        </w:rPr>
        <w:t>carácter</w:t>
      </w:r>
      <w:r>
        <w:rPr>
          <w:rFonts w:ascii="Arial" w:eastAsia="Arial" w:hAnsi="Arial" w:cs="Arial"/>
          <w:color w:val="000000"/>
          <w:sz w:val="24"/>
          <w:szCs w:val="24"/>
        </w:rPr>
        <w:t xml:space="preserve"> de </w:t>
      </w:r>
      <w:r>
        <w:rPr>
          <w:rFonts w:ascii="Arial" w:eastAsia="Arial" w:hAnsi="Arial" w:cs="Arial"/>
          <w:sz w:val="24"/>
          <w:szCs w:val="24"/>
        </w:rPr>
        <w:t>candidata de Morena a la gubernatura de esta entidad, con independencia del medio por el cual se difundieron los mensajes cuestionados</w:t>
      </w:r>
      <w:r>
        <w:rPr>
          <w:rFonts w:ascii="Arial" w:eastAsia="Arial" w:hAnsi="Arial" w:cs="Arial"/>
          <w:sz w:val="24"/>
          <w:szCs w:val="24"/>
          <w:vertAlign w:val="superscript"/>
        </w:rPr>
        <w:footnoteReference w:id="5"/>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274 y 275 del Código Electoral.</w:t>
      </w:r>
    </w:p>
    <w:p w14:paraId="03842D59" w14:textId="77777777" w:rsidR="005B0C78" w:rsidRDefault="005B0C78">
      <w:pPr>
        <w:pBdr>
          <w:top w:val="nil"/>
          <w:left w:val="nil"/>
          <w:bottom w:val="nil"/>
          <w:right w:val="nil"/>
          <w:between w:val="nil"/>
        </w:pBdr>
        <w:rPr>
          <w:color w:val="000000"/>
        </w:rPr>
      </w:pPr>
    </w:p>
    <w:p w14:paraId="00CC6582" w14:textId="77777777" w:rsidR="005B0C78" w:rsidRDefault="00F66729">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3C5EEC37" w14:textId="77777777" w:rsidR="005B0C78" w:rsidRDefault="005B0C78">
      <w:pPr>
        <w:pBdr>
          <w:top w:val="nil"/>
          <w:left w:val="nil"/>
          <w:bottom w:val="nil"/>
          <w:right w:val="nil"/>
          <w:between w:val="nil"/>
        </w:pBdr>
        <w:rPr>
          <w:color w:val="000000"/>
        </w:rPr>
      </w:pPr>
    </w:p>
    <w:p w14:paraId="2098D878" w14:textId="77777777" w:rsidR="005B0C78" w:rsidRDefault="00F6672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partido político Morena, en sus escritos de contestación, refieren que la denuncia presentada en su contra es </w:t>
      </w:r>
      <w:r>
        <w:rPr>
          <w:rFonts w:ascii="Arial" w:eastAsia="Arial" w:hAnsi="Arial" w:cs="Arial"/>
          <w:b/>
          <w:sz w:val="24"/>
          <w:szCs w:val="24"/>
        </w:rPr>
        <w:t>frívola y oscura</w:t>
      </w:r>
      <w:r>
        <w:rPr>
          <w:rFonts w:ascii="Arial" w:eastAsia="Arial" w:hAnsi="Arial" w:cs="Arial"/>
          <w:sz w:val="24"/>
          <w:szCs w:val="24"/>
        </w:rPr>
        <w:t>, ya que no se ofrecieron elementos de prueba que permitan acreditar los hechos denunciados.</w:t>
      </w:r>
    </w:p>
    <w:p w14:paraId="22B53469" w14:textId="77777777" w:rsidR="005B0C78" w:rsidRDefault="005B0C78">
      <w:pPr>
        <w:pBdr>
          <w:top w:val="nil"/>
          <w:left w:val="nil"/>
          <w:bottom w:val="nil"/>
          <w:right w:val="nil"/>
          <w:between w:val="nil"/>
        </w:pBdr>
        <w:rPr>
          <w:color w:val="000000"/>
        </w:rPr>
      </w:pPr>
    </w:p>
    <w:p w14:paraId="1CA85832" w14:textId="77777777" w:rsidR="005B0C78" w:rsidRDefault="00F6672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014C248D" w14:textId="77777777" w:rsidR="005B0C78" w:rsidRDefault="00F66729">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Al respecto, este Tribunal considera que del escrito de la denuncia y de las constancias del expediente, se advierte que el denunciante señaló los hechos y las infracciones que, a su criterio se acreditan, además de que ofreció la pruebas que estimó pertinente,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6122D30B" w14:textId="77777777" w:rsidR="005B0C78" w:rsidRDefault="005B0C78">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p>
    <w:p w14:paraId="10073214" w14:textId="77777777" w:rsidR="005B0C78" w:rsidRDefault="00F6672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7F18E97A" w14:textId="77777777" w:rsidR="005B0C78" w:rsidRDefault="005B0C78">
      <w:pPr>
        <w:pBdr>
          <w:top w:val="nil"/>
          <w:left w:val="nil"/>
          <w:bottom w:val="nil"/>
          <w:right w:val="nil"/>
          <w:between w:val="nil"/>
        </w:pBdr>
        <w:rPr>
          <w:color w:val="000000"/>
          <w:sz w:val="16"/>
          <w:szCs w:val="16"/>
        </w:rPr>
      </w:pPr>
    </w:p>
    <w:p w14:paraId="79C1E0B5" w14:textId="77777777" w:rsidR="005B0C78" w:rsidRDefault="00F6672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1DD67578" w14:textId="77777777" w:rsidR="005B0C78" w:rsidRDefault="005B0C78">
      <w:pPr>
        <w:pBdr>
          <w:top w:val="nil"/>
          <w:left w:val="nil"/>
          <w:bottom w:val="nil"/>
          <w:right w:val="nil"/>
          <w:between w:val="nil"/>
        </w:pBdr>
        <w:rPr>
          <w:color w:val="000000"/>
        </w:rPr>
      </w:pPr>
    </w:p>
    <w:p w14:paraId="47653DDB" w14:textId="77777777" w:rsidR="005B0C78" w:rsidRDefault="00F66729">
      <w:pPr>
        <w:numPr>
          <w:ilvl w:val="1"/>
          <w:numId w:val="2"/>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Pr>
          <w:rFonts w:ascii="Arial" w:eastAsia="Arial" w:hAnsi="Arial" w:cs="Arial"/>
          <w:color w:val="000000"/>
          <w:sz w:val="24"/>
          <w:szCs w:val="24"/>
        </w:rPr>
        <w:t xml:space="preserve">El PAN refiere que la denunciada </w:t>
      </w:r>
      <w:r>
        <w:rPr>
          <w:rFonts w:ascii="Arial" w:eastAsia="Arial" w:hAnsi="Arial" w:cs="Arial"/>
          <w:b/>
          <w:color w:val="000000"/>
          <w:sz w:val="24"/>
          <w:szCs w:val="24"/>
        </w:rPr>
        <w:t xml:space="preserve">realizó la difusión de propaganda negra y calumniosa </w:t>
      </w:r>
      <w:r>
        <w:rPr>
          <w:rFonts w:ascii="Arial" w:eastAsia="Arial" w:hAnsi="Arial" w:cs="Arial"/>
          <w:color w:val="000000"/>
          <w:sz w:val="24"/>
          <w:szCs w:val="24"/>
        </w:rPr>
        <w:t xml:space="preserve">en perjuicio del propio instituto político, de la coalición “Va Por Aguascalientes” y de su candidata María Teresa Jiménez Esquivel, en atención a que, del contenido de la misma, se genera una imputación de hechos falsos, </w:t>
      </w:r>
      <w:r>
        <w:rPr>
          <w:rFonts w:ascii="Arial" w:eastAsia="Arial" w:hAnsi="Arial" w:cs="Arial"/>
          <w:sz w:val="24"/>
          <w:szCs w:val="24"/>
        </w:rPr>
        <w:t>sin elementos mínimos de respaldo, situación que denosta</w:t>
      </w:r>
      <w:r>
        <w:rPr>
          <w:rFonts w:ascii="Arial" w:eastAsia="Arial" w:hAnsi="Arial" w:cs="Arial"/>
          <w:color w:val="000000"/>
          <w:sz w:val="24"/>
          <w:szCs w:val="24"/>
        </w:rPr>
        <w:t xml:space="preserve"> la imagen y proyección política de los quejosos con impacto en el presente proceso electoral local</w:t>
      </w:r>
      <w:r>
        <w:rPr>
          <w:rFonts w:ascii="Arial" w:eastAsia="Arial" w:hAnsi="Arial" w:cs="Arial"/>
          <w:sz w:val="24"/>
          <w:szCs w:val="24"/>
        </w:rPr>
        <w:t>. El contenido de la publicación cuestionada, es el siguiente</w:t>
      </w:r>
      <w:r>
        <w:rPr>
          <w:rFonts w:ascii="Arial" w:eastAsia="Arial" w:hAnsi="Arial" w:cs="Arial"/>
          <w:color w:val="000000"/>
          <w:sz w:val="24"/>
          <w:szCs w:val="24"/>
        </w:rPr>
        <w:t xml:space="preserve">:  </w:t>
      </w:r>
    </w:p>
    <w:tbl>
      <w:tblPr>
        <w:tblStyle w:val="ab"/>
        <w:tblW w:w="9634" w:type="dxa"/>
        <w:jc w:val="cente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5098"/>
        <w:gridCol w:w="4536"/>
      </w:tblGrid>
      <w:tr w:rsidR="005B0C78" w14:paraId="1E64E143" w14:textId="77777777">
        <w:trPr>
          <w:jc w:val="center"/>
        </w:trPr>
        <w:tc>
          <w:tcPr>
            <w:tcW w:w="5098" w:type="dxa"/>
          </w:tcPr>
          <w:p w14:paraId="1202DC6B" w14:textId="77777777" w:rsidR="005B0C78" w:rsidRDefault="00F66729">
            <w:pPr>
              <w:tabs>
                <w:tab w:val="left" w:pos="426"/>
              </w:tabs>
              <w:spacing w:line="360" w:lineRule="auto"/>
              <w:ind w:right="36"/>
              <w:jc w:val="center"/>
              <w:rPr>
                <w:rFonts w:ascii="Arial" w:eastAsia="Arial" w:hAnsi="Arial" w:cs="Arial"/>
                <w:b/>
                <w:color w:val="000000"/>
                <w:sz w:val="24"/>
                <w:szCs w:val="24"/>
              </w:rPr>
            </w:pPr>
            <w:bookmarkStart w:id="4" w:name="_heading=h.a50fotyd8fjb" w:colFirst="0" w:colLast="0"/>
            <w:bookmarkEnd w:id="4"/>
            <w:r>
              <w:rPr>
                <w:rFonts w:ascii="Arial" w:eastAsia="Arial" w:hAnsi="Arial" w:cs="Arial"/>
                <w:b/>
                <w:color w:val="000000"/>
                <w:sz w:val="24"/>
                <w:szCs w:val="24"/>
              </w:rPr>
              <w:t>Imagen</w:t>
            </w:r>
          </w:p>
        </w:tc>
        <w:tc>
          <w:tcPr>
            <w:tcW w:w="4536" w:type="dxa"/>
          </w:tcPr>
          <w:p w14:paraId="12CEB0E4" w14:textId="77777777" w:rsidR="005B0C78" w:rsidRDefault="00F66729">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Contenido</w:t>
            </w:r>
          </w:p>
        </w:tc>
      </w:tr>
      <w:tr w:rsidR="005B0C78" w14:paraId="0D12C475" w14:textId="77777777">
        <w:trPr>
          <w:jc w:val="center"/>
        </w:trPr>
        <w:tc>
          <w:tcPr>
            <w:tcW w:w="9634" w:type="dxa"/>
            <w:gridSpan w:val="2"/>
          </w:tcPr>
          <w:p w14:paraId="1F22974A" w14:textId="77777777" w:rsidR="005B0C78" w:rsidRDefault="00F66729">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 xml:space="preserve">Encabezado de la publicación </w:t>
            </w:r>
          </w:p>
        </w:tc>
      </w:tr>
      <w:tr w:rsidR="005B0C78" w14:paraId="0EB6AF2E" w14:textId="77777777">
        <w:trPr>
          <w:trHeight w:val="692"/>
          <w:jc w:val="center"/>
        </w:trPr>
        <w:tc>
          <w:tcPr>
            <w:tcW w:w="5098" w:type="dxa"/>
          </w:tcPr>
          <w:p w14:paraId="2407766D" w14:textId="77777777" w:rsidR="005B0C78" w:rsidRDefault="00F66729">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12D8F0FC" wp14:editId="27A19C9C">
                  <wp:extent cx="2941425" cy="1095870"/>
                  <wp:effectExtent l="0" t="0" r="0" b="0"/>
                  <wp:docPr id="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40350" t="24829" r="36292" b="59698"/>
                          <a:stretch>
                            <a:fillRect/>
                          </a:stretch>
                        </pic:blipFill>
                        <pic:spPr>
                          <a:xfrm>
                            <a:off x="0" y="0"/>
                            <a:ext cx="2941425" cy="1095870"/>
                          </a:xfrm>
                          <a:prstGeom prst="rect">
                            <a:avLst/>
                          </a:prstGeom>
                          <a:ln/>
                        </pic:spPr>
                      </pic:pic>
                    </a:graphicData>
                  </a:graphic>
                </wp:inline>
              </w:drawing>
            </w:r>
          </w:p>
          <w:p w14:paraId="4D56F6BC" w14:textId="77777777" w:rsidR="005B0C78" w:rsidRDefault="00F66729">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7E01D4D3" wp14:editId="274E9FC9">
                  <wp:extent cx="2893156" cy="1446991"/>
                  <wp:effectExtent l="0" t="0" r="0" b="0"/>
                  <wp:docPr id="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12999" t="19656" r="47434" b="45160"/>
                          <a:stretch>
                            <a:fillRect/>
                          </a:stretch>
                        </pic:blipFill>
                        <pic:spPr>
                          <a:xfrm>
                            <a:off x="0" y="0"/>
                            <a:ext cx="2893156" cy="1446991"/>
                          </a:xfrm>
                          <a:prstGeom prst="rect">
                            <a:avLst/>
                          </a:prstGeom>
                          <a:ln/>
                        </pic:spPr>
                      </pic:pic>
                    </a:graphicData>
                  </a:graphic>
                </wp:inline>
              </w:drawing>
            </w:r>
          </w:p>
        </w:tc>
        <w:tc>
          <w:tcPr>
            <w:tcW w:w="4536" w:type="dxa"/>
          </w:tcPr>
          <w:p w14:paraId="1C445A8C" w14:textId="77777777" w:rsidR="005B0C78" w:rsidRDefault="00F66729">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Texto en Facebook:</w:t>
            </w:r>
          </w:p>
          <w:p w14:paraId="055274F2" w14:textId="77777777" w:rsidR="005B0C78" w:rsidRDefault="005B0C78">
            <w:pPr>
              <w:pBdr>
                <w:top w:val="nil"/>
                <w:left w:val="nil"/>
                <w:bottom w:val="nil"/>
                <w:right w:val="nil"/>
                <w:between w:val="nil"/>
              </w:pBdr>
              <w:ind w:left="179" w:right="174"/>
              <w:jc w:val="both"/>
              <w:rPr>
                <w:color w:val="000000"/>
              </w:rPr>
            </w:pPr>
          </w:p>
          <w:p w14:paraId="475D1159" w14:textId="77777777" w:rsidR="005B0C78" w:rsidRDefault="00F66729">
            <w:pPr>
              <w:pBdr>
                <w:top w:val="nil"/>
                <w:left w:val="nil"/>
                <w:bottom w:val="nil"/>
                <w:right w:val="nil"/>
                <w:between w:val="nil"/>
              </w:pBdr>
              <w:ind w:left="179" w:right="174"/>
              <w:jc w:val="both"/>
              <w:rPr>
                <w:rFonts w:ascii="Arial" w:eastAsia="Arial" w:hAnsi="Arial" w:cs="Arial"/>
                <w:b/>
                <w:color w:val="000000"/>
                <w:sz w:val="24"/>
                <w:szCs w:val="24"/>
              </w:rPr>
            </w:pPr>
            <w:r>
              <w:rPr>
                <w:rFonts w:ascii="Arial" w:eastAsia="Arial" w:hAnsi="Arial" w:cs="Arial"/>
                <w:color w:val="000000"/>
                <w:sz w:val="24"/>
                <w:szCs w:val="24"/>
              </w:rPr>
              <w:t xml:space="preserve">“Hoy el PAN pide paneles solares gratuitos, claro, para seguir llenándose los bolsillos. Para muestra Aguascalientes y </w:t>
            </w:r>
            <w:r>
              <w:rPr>
                <w:rFonts w:ascii="Arial" w:eastAsia="Arial" w:hAnsi="Arial" w:cs="Arial"/>
                <w:b/>
                <w:color w:val="000000"/>
                <w:sz w:val="24"/>
                <w:szCs w:val="24"/>
              </w:rPr>
              <w:t xml:space="preserve">28 MIL MILLONES de pesos tirados a la basura por la candidata del PRIAN Teresa Jiménez. </w:t>
            </w:r>
          </w:p>
          <w:p w14:paraId="586F6E54"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Dale una oportunidad al cambio, yo no te voy a fallar. </w:t>
            </w:r>
          </w:p>
          <w:p w14:paraId="45E8750A"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#PanelesDeCorrupción”</w:t>
            </w:r>
          </w:p>
          <w:p w14:paraId="01DEE963" w14:textId="77777777" w:rsidR="005B0C78" w:rsidRDefault="005B0C78">
            <w:pPr>
              <w:pBdr>
                <w:top w:val="nil"/>
                <w:left w:val="nil"/>
                <w:bottom w:val="nil"/>
                <w:right w:val="nil"/>
                <w:between w:val="nil"/>
              </w:pBdr>
              <w:ind w:left="179" w:right="174"/>
              <w:jc w:val="both"/>
              <w:rPr>
                <w:rFonts w:ascii="Arial" w:eastAsia="Arial" w:hAnsi="Arial" w:cs="Arial"/>
                <w:color w:val="000000"/>
                <w:sz w:val="24"/>
                <w:szCs w:val="24"/>
              </w:rPr>
            </w:pPr>
          </w:p>
          <w:p w14:paraId="5FAC2BE4" w14:textId="77777777" w:rsidR="005B0C78" w:rsidRDefault="00F66729">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Texto en Twitter:</w:t>
            </w:r>
          </w:p>
          <w:p w14:paraId="6B1CBB1F" w14:textId="77777777" w:rsidR="005B0C78" w:rsidRDefault="005B0C78">
            <w:pPr>
              <w:pBdr>
                <w:top w:val="nil"/>
                <w:left w:val="nil"/>
                <w:bottom w:val="nil"/>
                <w:right w:val="nil"/>
                <w:between w:val="nil"/>
              </w:pBdr>
              <w:ind w:left="179" w:right="174"/>
              <w:jc w:val="both"/>
              <w:rPr>
                <w:rFonts w:ascii="Arial" w:eastAsia="Arial" w:hAnsi="Arial" w:cs="Arial"/>
                <w:i/>
                <w:color w:val="000000"/>
                <w:sz w:val="24"/>
                <w:szCs w:val="24"/>
              </w:rPr>
            </w:pPr>
          </w:p>
          <w:p w14:paraId="48437751"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“Hoy el PAN pide paneles solares gratuitos, claro, para seguir llenándose los bolsillos. Para muestra Aguascalientes y 28 MIL MILLONES de pesos tirados a la basura por la candidata del PRIAN. </w:t>
            </w:r>
          </w:p>
          <w:p w14:paraId="5F453D5C"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Dale una oportunidad al cambio, yo no te voy a fallar. </w:t>
            </w:r>
          </w:p>
          <w:p w14:paraId="7E4FD194"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#PanelesDeCorrupción</w:t>
            </w:r>
          </w:p>
          <w:p w14:paraId="57280ED4"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c.c.p. @MarkoCortes”</w:t>
            </w:r>
          </w:p>
          <w:p w14:paraId="36CDC2CB" w14:textId="77777777" w:rsidR="005B0C78" w:rsidRDefault="005B0C78">
            <w:pPr>
              <w:pBdr>
                <w:top w:val="nil"/>
                <w:left w:val="nil"/>
                <w:bottom w:val="nil"/>
                <w:right w:val="nil"/>
                <w:between w:val="nil"/>
              </w:pBdr>
              <w:ind w:left="179" w:right="174"/>
              <w:jc w:val="both"/>
              <w:rPr>
                <w:rFonts w:ascii="Arial" w:eastAsia="Arial" w:hAnsi="Arial" w:cs="Arial"/>
                <w:color w:val="000000"/>
                <w:sz w:val="24"/>
                <w:szCs w:val="24"/>
              </w:rPr>
            </w:pPr>
          </w:p>
        </w:tc>
      </w:tr>
      <w:tr w:rsidR="005B0C78" w14:paraId="57702197" w14:textId="77777777">
        <w:trPr>
          <w:trHeight w:val="409"/>
          <w:jc w:val="center"/>
        </w:trPr>
        <w:tc>
          <w:tcPr>
            <w:tcW w:w="9634" w:type="dxa"/>
            <w:gridSpan w:val="2"/>
          </w:tcPr>
          <w:p w14:paraId="116B2B7D" w14:textId="77777777" w:rsidR="005B0C78" w:rsidRDefault="00F66729">
            <w:pPr>
              <w:pBdr>
                <w:top w:val="nil"/>
                <w:left w:val="nil"/>
                <w:bottom w:val="nil"/>
                <w:right w:val="nil"/>
                <w:between w:val="nil"/>
              </w:pBdr>
              <w:ind w:left="179" w:right="174"/>
              <w:jc w:val="center"/>
              <w:rPr>
                <w:rFonts w:ascii="Arial" w:eastAsia="Arial" w:hAnsi="Arial" w:cs="Arial"/>
                <w:b/>
                <w:color w:val="000000"/>
                <w:sz w:val="24"/>
                <w:szCs w:val="24"/>
              </w:rPr>
            </w:pPr>
            <w:r>
              <w:rPr>
                <w:rFonts w:ascii="Arial" w:eastAsia="Arial" w:hAnsi="Arial" w:cs="Arial"/>
                <w:b/>
                <w:color w:val="000000"/>
                <w:sz w:val="24"/>
                <w:szCs w:val="24"/>
              </w:rPr>
              <w:t>Contenido del video</w:t>
            </w:r>
          </w:p>
        </w:tc>
      </w:tr>
      <w:tr w:rsidR="005B0C78" w14:paraId="040504CF" w14:textId="77777777">
        <w:trPr>
          <w:trHeight w:val="1957"/>
          <w:jc w:val="center"/>
        </w:trPr>
        <w:tc>
          <w:tcPr>
            <w:tcW w:w="5098" w:type="dxa"/>
          </w:tcPr>
          <w:p w14:paraId="03C58D21" w14:textId="77777777" w:rsidR="005B0C78" w:rsidRDefault="00F66729">
            <w:pPr>
              <w:tabs>
                <w:tab w:val="left" w:pos="426"/>
              </w:tabs>
              <w:spacing w:line="360" w:lineRule="auto"/>
              <w:ind w:right="36"/>
              <w:jc w:val="center"/>
              <w:rPr>
                <w:rFonts w:ascii="Arial" w:eastAsia="Arial" w:hAnsi="Arial" w:cs="Arial"/>
                <w:color w:val="000000"/>
                <w:sz w:val="24"/>
                <w:szCs w:val="24"/>
              </w:rPr>
            </w:pPr>
            <w:r>
              <w:rPr>
                <w:noProof/>
              </w:rPr>
              <w:lastRenderedPageBreak/>
              <w:drawing>
                <wp:inline distT="0" distB="0" distL="0" distR="0" wp14:anchorId="0E54A2B0" wp14:editId="5FF1E40C">
                  <wp:extent cx="2697040" cy="1499697"/>
                  <wp:effectExtent l="0" t="0" r="0" b="0"/>
                  <wp:docPr id="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55863" t="28636" r="1649" b="29358"/>
                          <a:stretch>
                            <a:fillRect/>
                          </a:stretch>
                        </pic:blipFill>
                        <pic:spPr>
                          <a:xfrm>
                            <a:off x="0" y="0"/>
                            <a:ext cx="2697040" cy="1499697"/>
                          </a:xfrm>
                          <a:prstGeom prst="rect">
                            <a:avLst/>
                          </a:prstGeom>
                          <a:ln/>
                        </pic:spPr>
                      </pic:pic>
                    </a:graphicData>
                  </a:graphic>
                </wp:inline>
              </w:drawing>
            </w:r>
          </w:p>
        </w:tc>
        <w:tc>
          <w:tcPr>
            <w:tcW w:w="4536" w:type="dxa"/>
          </w:tcPr>
          <w:p w14:paraId="4CC3D459" w14:textId="77777777" w:rsidR="005B0C78" w:rsidRDefault="00F66729">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Voz de la candidata denunciada:</w:t>
            </w:r>
          </w:p>
          <w:p w14:paraId="0FB63E5D" w14:textId="77777777" w:rsidR="005B0C78" w:rsidRDefault="005B0C78">
            <w:pPr>
              <w:pBdr>
                <w:top w:val="nil"/>
                <w:left w:val="nil"/>
                <w:bottom w:val="nil"/>
                <w:right w:val="nil"/>
                <w:between w:val="nil"/>
              </w:pBdr>
              <w:ind w:left="179" w:right="174"/>
              <w:jc w:val="both"/>
              <w:rPr>
                <w:rFonts w:ascii="Arial" w:eastAsia="Arial" w:hAnsi="Arial" w:cs="Arial"/>
                <w:color w:val="000000"/>
                <w:sz w:val="24"/>
                <w:szCs w:val="24"/>
              </w:rPr>
            </w:pPr>
          </w:p>
          <w:p w14:paraId="5D833C11"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“Vine a conocer otro de los </w:t>
            </w:r>
            <w:r>
              <w:rPr>
                <w:rFonts w:ascii="Arial" w:eastAsia="Arial" w:hAnsi="Arial" w:cs="Arial"/>
                <w:b/>
                <w:color w:val="000000"/>
                <w:sz w:val="24"/>
                <w:szCs w:val="24"/>
              </w:rPr>
              <w:t>emblemas de la corrupción de Teresa Jiménez,</w:t>
            </w:r>
            <w:r>
              <w:rPr>
                <w:rFonts w:ascii="Arial" w:eastAsia="Arial" w:hAnsi="Arial" w:cs="Arial"/>
                <w:color w:val="000000"/>
                <w:sz w:val="24"/>
                <w:szCs w:val="24"/>
              </w:rPr>
              <w:t xml:space="preserve"> el parque de energía solar que no produce energía. </w:t>
            </w:r>
          </w:p>
          <w:p w14:paraId="0EA4408E" w14:textId="77777777" w:rsidR="005B0C78" w:rsidRDefault="005B0C78">
            <w:pPr>
              <w:pBdr>
                <w:top w:val="nil"/>
                <w:left w:val="nil"/>
                <w:bottom w:val="nil"/>
                <w:right w:val="nil"/>
                <w:between w:val="nil"/>
              </w:pBdr>
              <w:ind w:left="179" w:right="174"/>
              <w:jc w:val="both"/>
              <w:rPr>
                <w:rFonts w:ascii="Arial" w:eastAsia="Arial" w:hAnsi="Arial" w:cs="Arial"/>
                <w:color w:val="000000"/>
                <w:sz w:val="24"/>
                <w:szCs w:val="24"/>
              </w:rPr>
            </w:pPr>
          </w:p>
          <w:p w14:paraId="4E4D3C09" w14:textId="77777777" w:rsidR="005B0C78" w:rsidRDefault="005B0C78">
            <w:pPr>
              <w:pBdr>
                <w:top w:val="nil"/>
                <w:left w:val="nil"/>
                <w:bottom w:val="nil"/>
                <w:right w:val="nil"/>
                <w:between w:val="nil"/>
              </w:pBdr>
              <w:ind w:left="179" w:right="174"/>
              <w:jc w:val="both"/>
              <w:rPr>
                <w:rFonts w:ascii="Arial" w:eastAsia="Arial" w:hAnsi="Arial" w:cs="Arial"/>
                <w:color w:val="000000"/>
                <w:sz w:val="24"/>
                <w:szCs w:val="24"/>
              </w:rPr>
            </w:pPr>
          </w:p>
        </w:tc>
      </w:tr>
      <w:tr w:rsidR="005B0C78" w14:paraId="744CC899" w14:textId="77777777">
        <w:trPr>
          <w:trHeight w:val="2114"/>
          <w:jc w:val="center"/>
        </w:trPr>
        <w:tc>
          <w:tcPr>
            <w:tcW w:w="5098" w:type="dxa"/>
          </w:tcPr>
          <w:p w14:paraId="4F961D04" w14:textId="77777777" w:rsidR="005B0C78" w:rsidRDefault="00F66729">
            <w:pPr>
              <w:tabs>
                <w:tab w:val="right" w:pos="4846"/>
              </w:tabs>
              <w:spacing w:line="360" w:lineRule="auto"/>
              <w:ind w:right="36"/>
              <w:jc w:val="center"/>
              <w:rPr>
                <w:rFonts w:ascii="Arial" w:eastAsia="Arial" w:hAnsi="Arial" w:cs="Arial"/>
                <w:color w:val="000000"/>
                <w:sz w:val="24"/>
                <w:szCs w:val="24"/>
              </w:rPr>
            </w:pPr>
            <w:r>
              <w:rPr>
                <w:noProof/>
              </w:rPr>
              <w:drawing>
                <wp:inline distT="0" distB="0" distL="0" distR="0" wp14:anchorId="5DC67D58" wp14:editId="22C382C5">
                  <wp:extent cx="2694445" cy="1506440"/>
                  <wp:effectExtent l="0" t="0" r="0" b="0"/>
                  <wp:docPr id="9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l="55863" t="28278" r="1454" b="29295"/>
                          <a:stretch>
                            <a:fillRect/>
                          </a:stretch>
                        </pic:blipFill>
                        <pic:spPr>
                          <a:xfrm>
                            <a:off x="0" y="0"/>
                            <a:ext cx="2694445" cy="1506440"/>
                          </a:xfrm>
                          <a:prstGeom prst="rect">
                            <a:avLst/>
                          </a:prstGeom>
                          <a:ln/>
                        </pic:spPr>
                      </pic:pic>
                    </a:graphicData>
                  </a:graphic>
                </wp:inline>
              </w:drawing>
            </w:r>
          </w:p>
        </w:tc>
        <w:tc>
          <w:tcPr>
            <w:tcW w:w="4536" w:type="dxa"/>
          </w:tcPr>
          <w:p w14:paraId="4CE3F58C"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Este mes se cumplen dos años que esta planta debió haber entrado en operaciones, sin embargo, en dos años no ha producido la energía suficiente ni para que se les prenda el foco. </w:t>
            </w:r>
          </w:p>
          <w:p w14:paraId="604FE68E" w14:textId="77777777" w:rsidR="005B0C78" w:rsidRDefault="005B0C78">
            <w:pPr>
              <w:pBdr>
                <w:top w:val="nil"/>
                <w:left w:val="nil"/>
                <w:bottom w:val="nil"/>
                <w:right w:val="nil"/>
                <w:between w:val="nil"/>
              </w:pBdr>
              <w:ind w:left="539" w:right="174"/>
              <w:jc w:val="both"/>
              <w:rPr>
                <w:rFonts w:ascii="Arial" w:eastAsia="Arial" w:hAnsi="Arial" w:cs="Arial"/>
                <w:color w:val="000000"/>
                <w:sz w:val="24"/>
                <w:szCs w:val="24"/>
              </w:rPr>
            </w:pPr>
          </w:p>
        </w:tc>
      </w:tr>
      <w:tr w:rsidR="005B0C78" w14:paraId="594BE173" w14:textId="77777777">
        <w:trPr>
          <w:trHeight w:val="2398"/>
          <w:jc w:val="center"/>
        </w:trPr>
        <w:tc>
          <w:tcPr>
            <w:tcW w:w="5098" w:type="dxa"/>
          </w:tcPr>
          <w:p w14:paraId="40B88ED1" w14:textId="77777777" w:rsidR="005B0C78" w:rsidRDefault="00F66729">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417C8553" wp14:editId="61139F1C">
                  <wp:extent cx="2690278" cy="1504111"/>
                  <wp:effectExtent l="0" t="0" r="0" b="0"/>
                  <wp:docPr id="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l="56056" t="28623" r="1263" b="28951"/>
                          <a:stretch>
                            <a:fillRect/>
                          </a:stretch>
                        </pic:blipFill>
                        <pic:spPr>
                          <a:xfrm>
                            <a:off x="0" y="0"/>
                            <a:ext cx="2690278" cy="1504111"/>
                          </a:xfrm>
                          <a:prstGeom prst="rect">
                            <a:avLst/>
                          </a:prstGeom>
                          <a:ln/>
                        </pic:spPr>
                      </pic:pic>
                    </a:graphicData>
                  </a:graphic>
                </wp:inline>
              </w:drawing>
            </w:r>
          </w:p>
        </w:tc>
        <w:tc>
          <w:tcPr>
            <w:tcW w:w="4536" w:type="dxa"/>
          </w:tcPr>
          <w:p w14:paraId="034BBDDF"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Nos dicen que es por la reforma eléctrica, lo que no dicen es que desde hace tiempo tienen el permiso para generar energía. </w:t>
            </w:r>
          </w:p>
          <w:p w14:paraId="0BBFD49A" w14:textId="77777777" w:rsidR="005B0C78" w:rsidRDefault="005B0C78">
            <w:pPr>
              <w:pBdr>
                <w:top w:val="nil"/>
                <w:left w:val="nil"/>
                <w:bottom w:val="nil"/>
                <w:right w:val="nil"/>
                <w:between w:val="nil"/>
              </w:pBdr>
              <w:ind w:left="179" w:right="174"/>
              <w:jc w:val="both"/>
              <w:rPr>
                <w:rFonts w:ascii="Arial" w:eastAsia="Arial" w:hAnsi="Arial" w:cs="Arial"/>
                <w:color w:val="000000"/>
                <w:sz w:val="24"/>
                <w:szCs w:val="24"/>
              </w:rPr>
            </w:pPr>
          </w:p>
        </w:tc>
      </w:tr>
      <w:tr w:rsidR="005B0C78" w14:paraId="2797DBB7" w14:textId="77777777">
        <w:trPr>
          <w:trHeight w:val="692"/>
          <w:jc w:val="center"/>
        </w:trPr>
        <w:tc>
          <w:tcPr>
            <w:tcW w:w="5098" w:type="dxa"/>
          </w:tcPr>
          <w:p w14:paraId="4F14F0E1" w14:textId="77777777" w:rsidR="005B0C78" w:rsidRDefault="00F66729">
            <w:pPr>
              <w:tabs>
                <w:tab w:val="left" w:pos="426"/>
                <w:tab w:val="left" w:pos="3040"/>
              </w:tabs>
              <w:spacing w:line="360" w:lineRule="auto"/>
              <w:ind w:right="36"/>
              <w:jc w:val="center"/>
              <w:rPr>
                <w:rFonts w:ascii="Arial" w:eastAsia="Arial" w:hAnsi="Arial" w:cs="Arial"/>
                <w:color w:val="000000"/>
                <w:sz w:val="24"/>
                <w:szCs w:val="24"/>
              </w:rPr>
            </w:pPr>
            <w:r>
              <w:rPr>
                <w:noProof/>
              </w:rPr>
              <w:drawing>
                <wp:inline distT="0" distB="0" distL="0" distR="0" wp14:anchorId="48CBECD5" wp14:editId="5249844A">
                  <wp:extent cx="2772557" cy="1518007"/>
                  <wp:effectExtent l="0" t="0" r="0" b="0"/>
                  <wp:docPr id="9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55863" t="29313" r="1260" b="28950"/>
                          <a:stretch>
                            <a:fillRect/>
                          </a:stretch>
                        </pic:blipFill>
                        <pic:spPr>
                          <a:xfrm>
                            <a:off x="0" y="0"/>
                            <a:ext cx="2772557" cy="1518007"/>
                          </a:xfrm>
                          <a:prstGeom prst="rect">
                            <a:avLst/>
                          </a:prstGeom>
                          <a:ln/>
                        </pic:spPr>
                      </pic:pic>
                    </a:graphicData>
                  </a:graphic>
                </wp:inline>
              </w:drawing>
            </w:r>
          </w:p>
        </w:tc>
        <w:tc>
          <w:tcPr>
            <w:tcW w:w="4536" w:type="dxa"/>
          </w:tcPr>
          <w:p w14:paraId="7169B8CF"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Teresa Jiménez, te lo digo de frente, las cuentas no te cuadran. Este </w:t>
            </w:r>
            <w:r>
              <w:rPr>
                <w:rFonts w:ascii="Arial" w:eastAsia="Arial" w:hAnsi="Arial" w:cs="Arial"/>
                <w:b/>
                <w:color w:val="000000"/>
                <w:sz w:val="24"/>
                <w:szCs w:val="24"/>
              </w:rPr>
              <w:t>proyecto que le entregaste a tu amiga Jovita Morín</w:t>
            </w:r>
            <w:r>
              <w:rPr>
                <w:rFonts w:ascii="Arial" w:eastAsia="Arial" w:hAnsi="Arial" w:cs="Arial"/>
                <w:color w:val="000000"/>
                <w:sz w:val="24"/>
                <w:szCs w:val="24"/>
              </w:rPr>
              <w:t>, accionista de Next Energy, nos costó veintiocho mil millones de pesos, cuando generar electricidad por treinta años sólo cuesta cuatrocientos veinte millones.</w:t>
            </w:r>
          </w:p>
          <w:p w14:paraId="7FE3CB91"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La corrupción engendra más corrupción. </w:t>
            </w:r>
          </w:p>
          <w:p w14:paraId="610568F1" w14:textId="77777777" w:rsidR="005B0C78" w:rsidRDefault="005B0C78">
            <w:pPr>
              <w:pBdr>
                <w:top w:val="nil"/>
                <w:left w:val="nil"/>
                <w:bottom w:val="nil"/>
                <w:right w:val="nil"/>
                <w:between w:val="nil"/>
              </w:pBdr>
              <w:ind w:left="179" w:right="174"/>
              <w:jc w:val="both"/>
              <w:rPr>
                <w:rFonts w:ascii="Arial" w:eastAsia="Arial" w:hAnsi="Arial" w:cs="Arial"/>
                <w:color w:val="000000"/>
                <w:sz w:val="24"/>
                <w:szCs w:val="24"/>
              </w:rPr>
            </w:pPr>
          </w:p>
        </w:tc>
      </w:tr>
      <w:tr w:rsidR="005B0C78" w14:paraId="565C5F4B" w14:textId="77777777">
        <w:trPr>
          <w:trHeight w:val="692"/>
          <w:jc w:val="center"/>
        </w:trPr>
        <w:tc>
          <w:tcPr>
            <w:tcW w:w="5098" w:type="dxa"/>
          </w:tcPr>
          <w:p w14:paraId="07D4C01E" w14:textId="77777777" w:rsidR="005B0C78" w:rsidRDefault="00F66729">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6964EDB6" wp14:editId="60004F5C">
                  <wp:extent cx="2740316" cy="1537785"/>
                  <wp:effectExtent l="0" t="0" r="0" b="0"/>
                  <wp:docPr id="9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l="55669" t="28278" r="1467" b="28955"/>
                          <a:stretch>
                            <a:fillRect/>
                          </a:stretch>
                        </pic:blipFill>
                        <pic:spPr>
                          <a:xfrm>
                            <a:off x="0" y="0"/>
                            <a:ext cx="2740316" cy="1537785"/>
                          </a:xfrm>
                          <a:prstGeom prst="rect">
                            <a:avLst/>
                          </a:prstGeom>
                          <a:ln/>
                        </pic:spPr>
                      </pic:pic>
                    </a:graphicData>
                  </a:graphic>
                </wp:inline>
              </w:drawing>
            </w:r>
          </w:p>
        </w:tc>
        <w:tc>
          <w:tcPr>
            <w:tcW w:w="4536" w:type="dxa"/>
          </w:tcPr>
          <w:p w14:paraId="07DB0110"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A pesar de que no han iniciado operaciones, los premiaron, les ampliaron el contrato a otro parque eléctrico que no hemos podido encontrar por ningún lado.</w:t>
            </w:r>
          </w:p>
          <w:p w14:paraId="77C48532"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¿Con qué nos dejaron?</w:t>
            </w:r>
          </w:p>
          <w:p w14:paraId="4936CCD2" w14:textId="77777777" w:rsidR="005B0C78" w:rsidRDefault="005B0C78">
            <w:pPr>
              <w:pBdr>
                <w:top w:val="nil"/>
                <w:left w:val="nil"/>
                <w:bottom w:val="nil"/>
                <w:right w:val="nil"/>
                <w:between w:val="nil"/>
              </w:pBdr>
              <w:ind w:left="179" w:right="174"/>
              <w:jc w:val="both"/>
              <w:rPr>
                <w:rFonts w:ascii="Arial" w:eastAsia="Arial" w:hAnsi="Arial" w:cs="Arial"/>
                <w:color w:val="000000"/>
                <w:sz w:val="24"/>
                <w:szCs w:val="24"/>
              </w:rPr>
            </w:pPr>
          </w:p>
        </w:tc>
      </w:tr>
      <w:tr w:rsidR="005B0C78" w14:paraId="6E246614" w14:textId="77777777">
        <w:trPr>
          <w:trHeight w:val="692"/>
          <w:jc w:val="center"/>
        </w:trPr>
        <w:tc>
          <w:tcPr>
            <w:tcW w:w="5098" w:type="dxa"/>
          </w:tcPr>
          <w:p w14:paraId="30C09345" w14:textId="77777777" w:rsidR="005B0C78" w:rsidRDefault="00F66729">
            <w:pPr>
              <w:tabs>
                <w:tab w:val="left" w:pos="426"/>
              </w:tabs>
              <w:spacing w:line="360" w:lineRule="auto"/>
              <w:ind w:right="36"/>
              <w:jc w:val="center"/>
              <w:rPr>
                <w:rFonts w:ascii="Arial" w:eastAsia="Arial" w:hAnsi="Arial" w:cs="Arial"/>
                <w:color w:val="000000"/>
                <w:sz w:val="24"/>
                <w:szCs w:val="24"/>
              </w:rPr>
            </w:pPr>
            <w:r>
              <w:rPr>
                <w:noProof/>
              </w:rPr>
              <w:lastRenderedPageBreak/>
              <w:drawing>
                <wp:inline distT="0" distB="0" distL="0" distR="0" wp14:anchorId="06F15A03" wp14:editId="7416D38B">
                  <wp:extent cx="2762602" cy="1537789"/>
                  <wp:effectExtent l="0" t="0" r="0" b="0"/>
                  <wp:docPr id="9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l="55864" t="28623" r="1267" b="28949"/>
                          <a:stretch>
                            <a:fillRect/>
                          </a:stretch>
                        </pic:blipFill>
                        <pic:spPr>
                          <a:xfrm>
                            <a:off x="0" y="0"/>
                            <a:ext cx="2762602" cy="1537789"/>
                          </a:xfrm>
                          <a:prstGeom prst="rect">
                            <a:avLst/>
                          </a:prstGeom>
                          <a:ln/>
                        </pic:spPr>
                      </pic:pic>
                    </a:graphicData>
                  </a:graphic>
                </wp:inline>
              </w:drawing>
            </w:r>
          </w:p>
          <w:p w14:paraId="66DE7B6E" w14:textId="77777777" w:rsidR="005B0C78" w:rsidRDefault="00F66729">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2ABE6D04" wp14:editId="6668ED1F">
                  <wp:extent cx="2707261" cy="1482473"/>
                  <wp:effectExtent l="0" t="0" r="0" b="0"/>
                  <wp:docPr id="9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l="55669" t="28621" r="1466" b="29644"/>
                          <a:stretch>
                            <a:fillRect/>
                          </a:stretch>
                        </pic:blipFill>
                        <pic:spPr>
                          <a:xfrm>
                            <a:off x="0" y="0"/>
                            <a:ext cx="2707261" cy="1482473"/>
                          </a:xfrm>
                          <a:prstGeom prst="rect">
                            <a:avLst/>
                          </a:prstGeom>
                          <a:ln/>
                        </pic:spPr>
                      </pic:pic>
                    </a:graphicData>
                  </a:graphic>
                </wp:inline>
              </w:drawing>
            </w:r>
          </w:p>
        </w:tc>
        <w:tc>
          <w:tcPr>
            <w:tcW w:w="4536" w:type="dxa"/>
          </w:tcPr>
          <w:p w14:paraId="0032221A" w14:textId="77777777" w:rsidR="005B0C78" w:rsidRDefault="00F66729">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Con un parque solar que no funciona, un parque fantasma y </w:t>
            </w:r>
            <w:r>
              <w:rPr>
                <w:rFonts w:ascii="Arial" w:eastAsia="Arial" w:hAnsi="Arial" w:cs="Arial"/>
                <w:b/>
                <w:color w:val="000000"/>
                <w:sz w:val="24"/>
                <w:szCs w:val="24"/>
              </w:rPr>
              <w:t>veintiocho mil millones de pesos tirados a la basura</w:t>
            </w:r>
            <w:r>
              <w:rPr>
                <w:rFonts w:ascii="Arial" w:eastAsia="Arial" w:hAnsi="Arial" w:cs="Arial"/>
                <w:color w:val="000000"/>
                <w:sz w:val="24"/>
                <w:szCs w:val="24"/>
              </w:rPr>
              <w:t>”</w:t>
            </w:r>
          </w:p>
          <w:p w14:paraId="1E52EB95" w14:textId="77777777" w:rsidR="005B0C78" w:rsidRDefault="005B0C78">
            <w:pPr>
              <w:pBdr>
                <w:top w:val="nil"/>
                <w:left w:val="nil"/>
                <w:bottom w:val="nil"/>
                <w:right w:val="nil"/>
                <w:between w:val="nil"/>
              </w:pBdr>
              <w:ind w:left="179" w:right="174"/>
              <w:jc w:val="both"/>
              <w:rPr>
                <w:rFonts w:ascii="Arial" w:eastAsia="Arial" w:hAnsi="Arial" w:cs="Arial"/>
                <w:color w:val="000000"/>
                <w:sz w:val="24"/>
                <w:szCs w:val="24"/>
              </w:rPr>
            </w:pPr>
          </w:p>
        </w:tc>
      </w:tr>
      <w:tr w:rsidR="005B0C78" w14:paraId="29E4C935" w14:textId="77777777">
        <w:trPr>
          <w:trHeight w:val="692"/>
          <w:jc w:val="center"/>
        </w:trPr>
        <w:tc>
          <w:tcPr>
            <w:tcW w:w="5098" w:type="dxa"/>
          </w:tcPr>
          <w:p w14:paraId="056D0947" w14:textId="77777777" w:rsidR="005B0C78" w:rsidRDefault="00F66729">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625DA0B7" wp14:editId="3CEB803F">
                  <wp:extent cx="2664392" cy="1484273"/>
                  <wp:effectExtent l="0" t="0" r="0" b="0"/>
                  <wp:docPr id="9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l="56250" t="28623" r="1264" b="29297"/>
                          <a:stretch>
                            <a:fillRect/>
                          </a:stretch>
                        </pic:blipFill>
                        <pic:spPr>
                          <a:xfrm>
                            <a:off x="0" y="0"/>
                            <a:ext cx="2664392" cy="1484273"/>
                          </a:xfrm>
                          <a:prstGeom prst="rect">
                            <a:avLst/>
                          </a:prstGeom>
                          <a:ln/>
                        </pic:spPr>
                      </pic:pic>
                    </a:graphicData>
                  </a:graphic>
                </wp:inline>
              </w:drawing>
            </w:r>
          </w:p>
        </w:tc>
        <w:tc>
          <w:tcPr>
            <w:tcW w:w="4536" w:type="dxa"/>
          </w:tcPr>
          <w:p w14:paraId="43098D95" w14:textId="77777777" w:rsidR="005B0C78" w:rsidRDefault="00F66729">
            <w:pPr>
              <w:pBdr>
                <w:top w:val="nil"/>
                <w:left w:val="nil"/>
                <w:bottom w:val="nil"/>
                <w:right w:val="nil"/>
                <w:between w:val="nil"/>
              </w:pBdr>
              <w:ind w:left="177" w:right="174"/>
              <w:jc w:val="both"/>
              <w:rPr>
                <w:rFonts w:ascii="Arial" w:eastAsia="Arial" w:hAnsi="Arial" w:cs="Arial"/>
                <w:i/>
                <w:color w:val="000000"/>
                <w:sz w:val="24"/>
                <w:szCs w:val="24"/>
              </w:rPr>
            </w:pPr>
            <w:r>
              <w:rPr>
                <w:rFonts w:ascii="Arial" w:eastAsia="Arial" w:hAnsi="Arial" w:cs="Arial"/>
                <w:i/>
                <w:color w:val="000000"/>
                <w:sz w:val="24"/>
                <w:szCs w:val="24"/>
              </w:rPr>
              <w:t>Voz en off:</w:t>
            </w:r>
          </w:p>
          <w:p w14:paraId="60896E16" w14:textId="77777777" w:rsidR="005B0C78" w:rsidRDefault="005B0C78">
            <w:pPr>
              <w:pBdr>
                <w:top w:val="nil"/>
                <w:left w:val="nil"/>
                <w:bottom w:val="nil"/>
                <w:right w:val="nil"/>
                <w:between w:val="nil"/>
              </w:pBdr>
              <w:ind w:left="177" w:right="174"/>
              <w:jc w:val="both"/>
              <w:rPr>
                <w:rFonts w:ascii="Arial" w:eastAsia="Arial" w:hAnsi="Arial" w:cs="Arial"/>
                <w:color w:val="000000"/>
                <w:sz w:val="24"/>
                <w:szCs w:val="24"/>
              </w:rPr>
            </w:pPr>
          </w:p>
          <w:p w14:paraId="13511D7C" w14:textId="77777777" w:rsidR="005B0C78" w:rsidRDefault="00F66729">
            <w:pPr>
              <w:pBdr>
                <w:top w:val="nil"/>
                <w:left w:val="nil"/>
                <w:bottom w:val="nil"/>
                <w:right w:val="nil"/>
                <w:between w:val="nil"/>
              </w:pBdr>
              <w:ind w:left="177" w:right="174"/>
              <w:jc w:val="both"/>
              <w:rPr>
                <w:rFonts w:ascii="Arial" w:eastAsia="Arial" w:hAnsi="Arial" w:cs="Arial"/>
                <w:color w:val="000000"/>
                <w:sz w:val="24"/>
                <w:szCs w:val="24"/>
              </w:rPr>
            </w:pPr>
            <w:r>
              <w:rPr>
                <w:rFonts w:ascii="Arial" w:eastAsia="Arial" w:hAnsi="Arial" w:cs="Arial"/>
                <w:color w:val="000000"/>
                <w:sz w:val="24"/>
                <w:szCs w:val="24"/>
              </w:rPr>
              <w:t>“Nora Ruvalcaba, candidata a gobernadora de Aguascalientes”</w:t>
            </w:r>
          </w:p>
        </w:tc>
      </w:tr>
    </w:tbl>
    <w:p w14:paraId="4907C1B5" w14:textId="77777777" w:rsidR="005B0C78" w:rsidRDefault="00F66729">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El quejoso refiere que </w:t>
      </w:r>
      <w:r>
        <w:rPr>
          <w:rFonts w:ascii="Arial" w:eastAsia="Arial" w:hAnsi="Arial" w:cs="Arial"/>
          <w:sz w:val="24"/>
          <w:szCs w:val="24"/>
        </w:rPr>
        <w:t>Morena</w:t>
      </w:r>
      <w:r>
        <w:rPr>
          <w:rFonts w:ascii="Arial" w:eastAsia="Arial" w:hAnsi="Arial" w:cs="Arial"/>
          <w:b/>
          <w:color w:val="000000"/>
          <w:sz w:val="24"/>
          <w:szCs w:val="24"/>
        </w:rPr>
        <w:t xml:space="preserve"> incumplió su deber de cuidar </w:t>
      </w:r>
      <w:r>
        <w:rPr>
          <w:rFonts w:ascii="Arial" w:eastAsia="Arial" w:hAnsi="Arial" w:cs="Arial"/>
          <w:color w:val="000000"/>
          <w:sz w:val="24"/>
          <w:szCs w:val="24"/>
        </w:rPr>
        <w:t>que la candidata no incumpliera la normativa electoral.</w:t>
      </w:r>
    </w:p>
    <w:p w14:paraId="499F1339" w14:textId="77777777" w:rsidR="005B0C78" w:rsidRDefault="005B0C78">
      <w:pPr>
        <w:pBdr>
          <w:top w:val="nil"/>
          <w:left w:val="nil"/>
          <w:bottom w:val="nil"/>
          <w:right w:val="nil"/>
          <w:between w:val="nil"/>
        </w:pBdr>
        <w:rPr>
          <w:color w:val="000000"/>
        </w:rPr>
      </w:pPr>
    </w:p>
    <w:p w14:paraId="76B13CB5" w14:textId="77777777" w:rsidR="005B0C78" w:rsidRDefault="00F66729">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lo siguiente: </w:t>
      </w:r>
    </w:p>
    <w:p w14:paraId="0872E524" w14:textId="77777777" w:rsidR="005B0C78" w:rsidRDefault="00F66729">
      <w:pPr>
        <w:numPr>
          <w:ilvl w:val="0"/>
          <w:numId w:val="6"/>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Argumentan que la autoridad administrativa no debió admitir la denuncia, </w:t>
      </w:r>
      <w:r>
        <w:rPr>
          <w:rFonts w:ascii="Arial" w:eastAsia="Arial" w:hAnsi="Arial" w:cs="Arial"/>
          <w:sz w:val="24"/>
          <w:szCs w:val="24"/>
        </w:rPr>
        <w:t>al no existir relación entre los hechos planteados y las probanzas ofrecidas,</w:t>
      </w:r>
      <w:r>
        <w:rPr>
          <w:rFonts w:ascii="Arial" w:eastAsia="Arial" w:hAnsi="Arial" w:cs="Arial"/>
          <w:color w:val="000000"/>
          <w:sz w:val="24"/>
          <w:szCs w:val="24"/>
        </w:rPr>
        <w:t xml:space="preserve"> pues </w:t>
      </w:r>
      <w:r>
        <w:rPr>
          <w:rFonts w:ascii="Arial" w:eastAsia="Arial" w:hAnsi="Arial" w:cs="Arial"/>
          <w:sz w:val="24"/>
          <w:szCs w:val="24"/>
        </w:rPr>
        <w:t>estas no</w:t>
      </w:r>
      <w:r>
        <w:rPr>
          <w:rFonts w:ascii="Arial" w:eastAsia="Arial" w:hAnsi="Arial" w:cs="Arial"/>
          <w:color w:val="000000"/>
          <w:sz w:val="24"/>
          <w:szCs w:val="24"/>
        </w:rPr>
        <w:t xml:space="preserve"> </w:t>
      </w:r>
      <w:r>
        <w:rPr>
          <w:rFonts w:ascii="Arial" w:eastAsia="Arial" w:hAnsi="Arial" w:cs="Arial"/>
          <w:sz w:val="24"/>
          <w:szCs w:val="24"/>
        </w:rPr>
        <w:t>logran</w:t>
      </w:r>
      <w:r>
        <w:rPr>
          <w:rFonts w:ascii="Arial" w:eastAsia="Arial" w:hAnsi="Arial" w:cs="Arial"/>
          <w:color w:val="000000"/>
          <w:sz w:val="24"/>
          <w:szCs w:val="24"/>
        </w:rPr>
        <w:t xml:space="preserve"> </w:t>
      </w:r>
      <w:r>
        <w:rPr>
          <w:rFonts w:ascii="Arial" w:eastAsia="Arial" w:hAnsi="Arial" w:cs="Arial"/>
          <w:sz w:val="24"/>
          <w:szCs w:val="24"/>
        </w:rPr>
        <w:t>acreditar</w:t>
      </w:r>
      <w:r>
        <w:rPr>
          <w:rFonts w:ascii="Arial" w:eastAsia="Arial" w:hAnsi="Arial" w:cs="Arial"/>
          <w:color w:val="000000"/>
          <w:sz w:val="24"/>
          <w:szCs w:val="24"/>
        </w:rPr>
        <w:t xml:space="preserve"> que la candidata cuestionada cometiera calumnia en perjuicio de los quejosos</w:t>
      </w:r>
      <w:r>
        <w:rPr>
          <w:rFonts w:ascii="Arial" w:eastAsia="Arial" w:hAnsi="Arial" w:cs="Arial"/>
          <w:sz w:val="24"/>
          <w:szCs w:val="24"/>
        </w:rPr>
        <w:t xml:space="preserve">, </w:t>
      </w:r>
      <w:r>
        <w:rPr>
          <w:rFonts w:ascii="Arial" w:eastAsia="Arial" w:hAnsi="Arial" w:cs="Arial"/>
          <w:color w:val="000000"/>
          <w:sz w:val="24"/>
          <w:szCs w:val="24"/>
        </w:rPr>
        <w:t>dado que, su supuesta existencia está basada en subjetividades del denunciante y no en indicios.</w:t>
      </w:r>
    </w:p>
    <w:p w14:paraId="3ACD5372" w14:textId="77777777" w:rsidR="005B0C78" w:rsidRDefault="00F66729">
      <w:pPr>
        <w:numPr>
          <w:ilvl w:val="0"/>
          <w:numId w:val="6"/>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Afirman que las manifestaciones del promocional denunciado, no configuran la imputación de la comisión de un delito o un hecho en concreto, sino que son un conjunto de opiniones, posiciones y visiones genéricas que devienen del contexto fáctico y hechos noticiosos y de dominio público.  </w:t>
      </w:r>
    </w:p>
    <w:p w14:paraId="72070D2F" w14:textId="77777777" w:rsidR="005B0C78" w:rsidRDefault="00F66729">
      <w:pPr>
        <w:numPr>
          <w:ilvl w:val="0"/>
          <w:numId w:val="6"/>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Estiman que las expresiones cuestionadas, si bien no dejan de ser una crítica fuerte, estas son producto de una opinión sobre el desempeño de la candidata María Teresa Jiménez Esquivel como presidenta municipal de Aguascalientes y sus vínculos con los actores políticos señalados, las cuales se encuentran amparadas por su derecho a la libertad de expresión en el contexto del debate político. </w:t>
      </w:r>
    </w:p>
    <w:p w14:paraId="1391BCF0" w14:textId="77777777" w:rsidR="005B0C78" w:rsidRDefault="005B0C78">
      <w:pPr>
        <w:pBdr>
          <w:top w:val="nil"/>
          <w:left w:val="nil"/>
          <w:bottom w:val="nil"/>
          <w:right w:val="nil"/>
          <w:between w:val="nil"/>
        </w:pBdr>
        <w:rPr>
          <w:color w:val="000000"/>
        </w:rPr>
      </w:pPr>
    </w:p>
    <w:p w14:paraId="5909F636" w14:textId="77777777" w:rsidR="005B0C78" w:rsidRDefault="00F66729">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lastRenderedPageBreak/>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sz w:val="24"/>
          <w:szCs w:val="24"/>
        </w:rPr>
        <w:t xml:space="preserve"> </w:t>
      </w:r>
    </w:p>
    <w:p w14:paraId="6E376A34" w14:textId="77777777" w:rsidR="005B0C78" w:rsidRDefault="005B0C78">
      <w:pPr>
        <w:pBdr>
          <w:top w:val="nil"/>
          <w:left w:val="nil"/>
          <w:bottom w:val="nil"/>
          <w:right w:val="nil"/>
          <w:between w:val="nil"/>
        </w:pBdr>
        <w:rPr>
          <w:color w:val="000000"/>
        </w:rPr>
      </w:pPr>
    </w:p>
    <w:p w14:paraId="5EF23F01" w14:textId="77777777" w:rsidR="005B0C78" w:rsidRDefault="00F66729">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partido político denunciante: </w:t>
      </w:r>
    </w:p>
    <w:p w14:paraId="0E67FBC8" w14:textId="77777777" w:rsidR="005B0C78" w:rsidRDefault="005B0C78">
      <w:pPr>
        <w:pBdr>
          <w:top w:val="nil"/>
          <w:left w:val="nil"/>
          <w:bottom w:val="nil"/>
          <w:right w:val="nil"/>
          <w:between w:val="nil"/>
        </w:pBdr>
        <w:rPr>
          <w:color w:val="000000"/>
        </w:rPr>
      </w:pPr>
    </w:p>
    <w:tbl>
      <w:tblPr>
        <w:tblStyle w:val="ac"/>
        <w:tblW w:w="9633"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99"/>
        <w:gridCol w:w="2757"/>
        <w:gridCol w:w="6377"/>
      </w:tblGrid>
      <w:tr w:rsidR="005B0C78" w14:paraId="0E22A92F" w14:textId="77777777" w:rsidTr="005B0C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4632E925" w14:textId="77777777" w:rsidR="005B0C78" w:rsidRDefault="00F66729">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2A2700D7" w14:textId="77777777" w:rsidR="005B0C78" w:rsidRDefault="00F6672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7" w:type="dxa"/>
          </w:tcPr>
          <w:p w14:paraId="35580E20" w14:textId="77777777" w:rsidR="005B0C78" w:rsidRDefault="00F6672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5B0C78" w14:paraId="252EF5D1" w14:textId="77777777" w:rsidTr="005B0C78">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2C13575" w14:textId="77777777" w:rsidR="005B0C78" w:rsidRDefault="00F66729">
            <w:pPr>
              <w:jc w:val="center"/>
              <w:rPr>
                <w:rFonts w:ascii="Arial" w:eastAsia="Arial" w:hAnsi="Arial" w:cs="Arial"/>
                <w:sz w:val="18"/>
                <w:szCs w:val="18"/>
              </w:rPr>
            </w:pPr>
            <w:r>
              <w:rPr>
                <w:rFonts w:ascii="Arial" w:eastAsia="Arial" w:hAnsi="Arial" w:cs="Arial"/>
                <w:sz w:val="18"/>
                <w:szCs w:val="18"/>
              </w:rPr>
              <w:t>1</w:t>
            </w:r>
          </w:p>
        </w:tc>
        <w:tc>
          <w:tcPr>
            <w:tcW w:w="2757" w:type="dxa"/>
          </w:tcPr>
          <w:p w14:paraId="292CAAFD" w14:textId="77777777" w:rsidR="005B0C78" w:rsidRDefault="00F6672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7" w:type="dxa"/>
          </w:tcPr>
          <w:p w14:paraId="31A86B73" w14:textId="77777777" w:rsidR="005B0C78" w:rsidRDefault="00F6672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hyperlink r:id="rId19">
              <w:r>
                <w:rPr>
                  <w:rFonts w:ascii="Arial" w:eastAsia="Arial" w:hAnsi="Arial" w:cs="Arial"/>
                  <w:color w:val="0000FF"/>
                  <w:u w:val="single"/>
                </w:rPr>
                <w:t>https://www.facebook.com/noraruvalcabamx/videos/</w:t>
              </w:r>
            </w:hyperlink>
            <w:r>
              <w:rPr>
                <w:rFonts w:ascii="Arial" w:eastAsia="Arial" w:hAnsi="Arial" w:cs="Arial"/>
                <w:color w:val="0000FF"/>
                <w:u w:val="single"/>
              </w:rPr>
              <w:t>1639147433101677</w:t>
            </w:r>
            <w:r>
              <w:rPr>
                <w:rFonts w:ascii="Arial" w:eastAsia="Arial" w:hAnsi="Arial" w:cs="Arial"/>
              </w:rPr>
              <w:t>,</w:t>
            </w:r>
            <w:r>
              <w:rPr>
                <w:rFonts w:ascii="Arial" w:eastAsia="Arial" w:hAnsi="Arial" w:cs="Arial"/>
                <w:sz w:val="18"/>
                <w:szCs w:val="18"/>
              </w:rPr>
              <w:t xml:space="preserve"> consistente en una publicación de Facebook de la candidata Nora Ruvalcaba Gámez.</w:t>
            </w:r>
          </w:p>
        </w:tc>
      </w:tr>
      <w:tr w:rsidR="005B0C78" w14:paraId="7CE30B97" w14:textId="77777777" w:rsidTr="005B0C78">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15992101" w14:textId="77777777" w:rsidR="005B0C78" w:rsidRDefault="00F66729">
            <w:pPr>
              <w:jc w:val="center"/>
              <w:rPr>
                <w:rFonts w:ascii="Arial" w:eastAsia="Arial" w:hAnsi="Arial" w:cs="Arial"/>
                <w:sz w:val="18"/>
                <w:szCs w:val="18"/>
              </w:rPr>
            </w:pPr>
            <w:r>
              <w:rPr>
                <w:rFonts w:ascii="Arial" w:eastAsia="Arial" w:hAnsi="Arial" w:cs="Arial"/>
                <w:sz w:val="18"/>
                <w:szCs w:val="18"/>
              </w:rPr>
              <w:t>2</w:t>
            </w:r>
          </w:p>
        </w:tc>
        <w:tc>
          <w:tcPr>
            <w:tcW w:w="2757" w:type="dxa"/>
          </w:tcPr>
          <w:p w14:paraId="2E93E12E" w14:textId="77777777" w:rsidR="005B0C78" w:rsidRDefault="00F6672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7" w:type="dxa"/>
          </w:tcPr>
          <w:p w14:paraId="7A3275ED" w14:textId="77777777" w:rsidR="005B0C78" w:rsidRDefault="00F6672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hyperlink r:id="rId20">
              <w:r>
                <w:rPr>
                  <w:rFonts w:ascii="Arial" w:eastAsia="Arial" w:hAnsi="Arial" w:cs="Arial"/>
                  <w:color w:val="0000FF"/>
                  <w:u w:val="single"/>
                </w:rPr>
                <w:t>https://www.facebook.com/</w:t>
              </w:r>
            </w:hyperlink>
            <w:r>
              <w:rPr>
                <w:rFonts w:ascii="Arial" w:eastAsia="Arial" w:hAnsi="Arial" w:cs="Arial"/>
                <w:color w:val="0000FF"/>
                <w:u w:val="single"/>
              </w:rPr>
              <w:t>ads/library/?active_status=all&amp;ad_type=political_and_issue_ads&amp;country=MX&amp;view_all_page_id=815161611910553&amp;sot_data[direction]=desc&amp;sort_data[mode]=relevancy_monthly_grouped&amp;serch_type=page&amp;media_type=all</w:t>
            </w:r>
            <w:r>
              <w:rPr>
                <w:rFonts w:ascii="Arial" w:eastAsia="Arial" w:hAnsi="Arial" w:cs="Arial"/>
              </w:rPr>
              <w:t>,</w:t>
            </w:r>
            <w:r>
              <w:rPr>
                <w:rFonts w:ascii="Arial" w:eastAsia="Arial" w:hAnsi="Arial" w:cs="Arial"/>
                <w:sz w:val="18"/>
                <w:szCs w:val="18"/>
              </w:rPr>
              <w:t xml:space="preserve"> consistente en un apartado del perfil de Facebook de la candidata Nora Ruvalcaba Gámez.</w:t>
            </w:r>
          </w:p>
        </w:tc>
      </w:tr>
      <w:tr w:rsidR="005B0C78" w14:paraId="134702A7" w14:textId="77777777" w:rsidTr="005B0C78">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2D40A1DC" w14:textId="77777777" w:rsidR="005B0C78" w:rsidRDefault="00F66729">
            <w:pPr>
              <w:jc w:val="center"/>
              <w:rPr>
                <w:rFonts w:ascii="Arial" w:eastAsia="Arial" w:hAnsi="Arial" w:cs="Arial"/>
                <w:sz w:val="18"/>
                <w:szCs w:val="18"/>
              </w:rPr>
            </w:pPr>
            <w:r>
              <w:rPr>
                <w:rFonts w:ascii="Arial" w:eastAsia="Arial" w:hAnsi="Arial" w:cs="Arial"/>
                <w:sz w:val="18"/>
                <w:szCs w:val="18"/>
              </w:rPr>
              <w:t>3</w:t>
            </w:r>
          </w:p>
        </w:tc>
        <w:tc>
          <w:tcPr>
            <w:tcW w:w="2757" w:type="dxa"/>
          </w:tcPr>
          <w:p w14:paraId="238E2E18" w14:textId="77777777" w:rsidR="005B0C78" w:rsidRDefault="00F6672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7" w:type="dxa"/>
          </w:tcPr>
          <w:p w14:paraId="208B18E6" w14:textId="77777777" w:rsidR="005B0C78" w:rsidRDefault="00F6672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r>
              <w:rPr>
                <w:rFonts w:ascii="Arial" w:eastAsia="Arial" w:hAnsi="Arial" w:cs="Arial"/>
                <w:color w:val="0000FF"/>
                <w:sz w:val="18"/>
                <w:szCs w:val="18"/>
                <w:u w:val="single"/>
              </w:rPr>
              <w:t>https://twitter.com/nora_ruvalcaba/status/1521504458613612550?s=28&amp;t=imgTTiRNsJZvqfabxvJMMq</w:t>
            </w:r>
            <w:r>
              <w:rPr>
                <w:rFonts w:ascii="Arial" w:eastAsia="Arial" w:hAnsi="Arial" w:cs="Arial"/>
                <w:sz w:val="18"/>
                <w:szCs w:val="18"/>
              </w:rPr>
              <w:t xml:space="preserve">, consistente en una publicación de Twitter de la candidata Nora Ruvalcaba Gámez. </w:t>
            </w:r>
          </w:p>
        </w:tc>
      </w:tr>
      <w:tr w:rsidR="005B0C78" w14:paraId="74AEE5F1" w14:textId="77777777" w:rsidTr="005B0C78">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263D8501" w14:textId="77777777" w:rsidR="005B0C78" w:rsidRDefault="00F66729">
            <w:pPr>
              <w:jc w:val="center"/>
              <w:rPr>
                <w:rFonts w:ascii="Arial" w:eastAsia="Arial" w:hAnsi="Arial" w:cs="Arial"/>
                <w:sz w:val="18"/>
                <w:szCs w:val="18"/>
              </w:rPr>
            </w:pPr>
            <w:r>
              <w:rPr>
                <w:rFonts w:ascii="Arial" w:eastAsia="Arial" w:hAnsi="Arial" w:cs="Arial"/>
                <w:sz w:val="18"/>
                <w:szCs w:val="18"/>
              </w:rPr>
              <w:t>4</w:t>
            </w:r>
          </w:p>
        </w:tc>
        <w:tc>
          <w:tcPr>
            <w:tcW w:w="2757" w:type="dxa"/>
          </w:tcPr>
          <w:p w14:paraId="21244404" w14:textId="77777777" w:rsidR="005B0C78" w:rsidRDefault="00F6672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Instrumental de actuaciones</w:t>
            </w:r>
          </w:p>
        </w:tc>
        <w:tc>
          <w:tcPr>
            <w:tcW w:w="6377" w:type="dxa"/>
          </w:tcPr>
          <w:p w14:paraId="07522054" w14:textId="77777777" w:rsidR="005B0C78" w:rsidRDefault="00F6672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5B0C78" w14:paraId="6C1BFB02" w14:textId="77777777" w:rsidTr="005B0C7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4B84DED" w14:textId="77777777" w:rsidR="005B0C78" w:rsidRDefault="00F66729">
            <w:pPr>
              <w:jc w:val="center"/>
              <w:rPr>
                <w:rFonts w:ascii="Arial" w:eastAsia="Arial" w:hAnsi="Arial" w:cs="Arial"/>
                <w:sz w:val="18"/>
                <w:szCs w:val="18"/>
              </w:rPr>
            </w:pPr>
            <w:r>
              <w:rPr>
                <w:rFonts w:ascii="Arial" w:eastAsia="Arial" w:hAnsi="Arial" w:cs="Arial"/>
                <w:sz w:val="18"/>
                <w:szCs w:val="18"/>
              </w:rPr>
              <w:t>5</w:t>
            </w:r>
          </w:p>
        </w:tc>
        <w:tc>
          <w:tcPr>
            <w:tcW w:w="2757" w:type="dxa"/>
          </w:tcPr>
          <w:p w14:paraId="5D927535" w14:textId="77777777" w:rsidR="005B0C78" w:rsidRDefault="00F6672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7" w:type="dxa"/>
          </w:tcPr>
          <w:p w14:paraId="56A752B0" w14:textId="77777777" w:rsidR="005B0C78" w:rsidRDefault="00F6672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08796A1A" w14:textId="77777777" w:rsidR="005B0C78" w:rsidRDefault="005B0C78">
      <w:pPr>
        <w:pBdr>
          <w:top w:val="nil"/>
          <w:left w:val="nil"/>
          <w:bottom w:val="nil"/>
          <w:right w:val="nil"/>
          <w:between w:val="nil"/>
        </w:pBdr>
        <w:rPr>
          <w:color w:val="000000"/>
          <w:sz w:val="36"/>
          <w:szCs w:val="36"/>
        </w:rPr>
      </w:pPr>
    </w:p>
    <w:p w14:paraId="34E809FD" w14:textId="77777777" w:rsidR="005B0C78" w:rsidRDefault="00F66729">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candidata y el partido político denunciados:</w:t>
      </w:r>
    </w:p>
    <w:p w14:paraId="44D3FEA2" w14:textId="77777777" w:rsidR="005B0C78" w:rsidRDefault="005B0C78">
      <w:pPr>
        <w:pBdr>
          <w:top w:val="nil"/>
          <w:left w:val="nil"/>
          <w:bottom w:val="nil"/>
          <w:right w:val="nil"/>
          <w:between w:val="nil"/>
        </w:pBdr>
        <w:rPr>
          <w:color w:val="000000"/>
        </w:rPr>
      </w:pPr>
    </w:p>
    <w:tbl>
      <w:tblPr>
        <w:tblStyle w:val="ad"/>
        <w:tblW w:w="9633"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99"/>
        <w:gridCol w:w="2757"/>
        <w:gridCol w:w="6377"/>
      </w:tblGrid>
      <w:tr w:rsidR="005B0C78" w14:paraId="1A2320A3" w14:textId="77777777" w:rsidTr="005B0C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C70E2" w14:textId="77777777" w:rsidR="005B0C78" w:rsidRDefault="00F66729">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0AE35463" w14:textId="77777777" w:rsidR="005B0C78" w:rsidRDefault="00F6672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7" w:type="dxa"/>
          </w:tcPr>
          <w:p w14:paraId="4E291BFA" w14:textId="77777777" w:rsidR="005B0C78" w:rsidRDefault="00F6672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5B0C78" w14:paraId="10891678" w14:textId="77777777" w:rsidTr="005B0C7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50A7C662" w14:textId="77777777" w:rsidR="005B0C78" w:rsidRDefault="00F66729">
            <w:pPr>
              <w:jc w:val="center"/>
              <w:rPr>
                <w:rFonts w:ascii="Arial" w:eastAsia="Arial" w:hAnsi="Arial" w:cs="Arial"/>
                <w:sz w:val="18"/>
                <w:szCs w:val="18"/>
              </w:rPr>
            </w:pPr>
            <w:r>
              <w:rPr>
                <w:rFonts w:ascii="Arial" w:eastAsia="Arial" w:hAnsi="Arial" w:cs="Arial"/>
                <w:sz w:val="18"/>
                <w:szCs w:val="18"/>
              </w:rPr>
              <w:t>1</w:t>
            </w:r>
          </w:p>
        </w:tc>
        <w:tc>
          <w:tcPr>
            <w:tcW w:w="2757" w:type="dxa"/>
          </w:tcPr>
          <w:p w14:paraId="4F728E25" w14:textId="77777777" w:rsidR="005B0C78" w:rsidRDefault="00F6672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377" w:type="dxa"/>
          </w:tcPr>
          <w:p w14:paraId="78C3F489" w14:textId="77777777" w:rsidR="005B0C78" w:rsidRDefault="00F6672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5B0C78" w14:paraId="3656B0D3" w14:textId="77777777" w:rsidTr="005B0C78">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762FC63E" w14:textId="77777777" w:rsidR="005B0C78" w:rsidRDefault="00F66729">
            <w:pPr>
              <w:jc w:val="center"/>
              <w:rPr>
                <w:rFonts w:ascii="Arial" w:eastAsia="Arial" w:hAnsi="Arial" w:cs="Arial"/>
                <w:sz w:val="18"/>
                <w:szCs w:val="18"/>
              </w:rPr>
            </w:pPr>
            <w:r>
              <w:rPr>
                <w:rFonts w:ascii="Arial" w:eastAsia="Arial" w:hAnsi="Arial" w:cs="Arial"/>
                <w:sz w:val="18"/>
                <w:szCs w:val="18"/>
              </w:rPr>
              <w:t>2</w:t>
            </w:r>
          </w:p>
        </w:tc>
        <w:tc>
          <w:tcPr>
            <w:tcW w:w="2757" w:type="dxa"/>
          </w:tcPr>
          <w:p w14:paraId="21D531C2" w14:textId="77777777" w:rsidR="005B0C78" w:rsidRDefault="00F6672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7" w:type="dxa"/>
          </w:tcPr>
          <w:p w14:paraId="0AE2B56C" w14:textId="77777777" w:rsidR="005B0C78" w:rsidRDefault="00F6672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36CA5828" w14:textId="77777777" w:rsidR="005B0C78" w:rsidRDefault="005B0C78">
      <w:pPr>
        <w:tabs>
          <w:tab w:val="left" w:pos="567"/>
        </w:tabs>
        <w:spacing w:line="360" w:lineRule="auto"/>
        <w:jc w:val="both"/>
        <w:rPr>
          <w:rFonts w:ascii="Arial" w:eastAsia="Arial" w:hAnsi="Arial" w:cs="Arial"/>
          <w:b/>
        </w:rPr>
      </w:pPr>
    </w:p>
    <w:p w14:paraId="0BA4D7A4" w14:textId="77777777" w:rsidR="005B0C78" w:rsidRDefault="00F66729">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7"/>
      </w:r>
    </w:p>
    <w:p w14:paraId="4DF171A3" w14:textId="77777777" w:rsidR="005B0C78" w:rsidRDefault="005B0C78">
      <w:pPr>
        <w:pBdr>
          <w:top w:val="nil"/>
          <w:left w:val="nil"/>
          <w:bottom w:val="nil"/>
          <w:right w:val="nil"/>
          <w:between w:val="nil"/>
        </w:pBdr>
        <w:rPr>
          <w:color w:val="000000"/>
        </w:rPr>
      </w:pPr>
    </w:p>
    <w:p w14:paraId="42A169DC" w14:textId="77777777" w:rsidR="005B0C78" w:rsidRDefault="00F66729">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4566E920" w14:textId="77777777" w:rsidR="005B0C78" w:rsidRDefault="005B0C78">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180A400D" w14:textId="77777777" w:rsidR="005B0C78" w:rsidRDefault="00F66729">
      <w:pPr>
        <w:numPr>
          <w:ilvl w:val="0"/>
          <w:numId w:val="3"/>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del ciudadano</w:t>
      </w:r>
      <w:r>
        <w:rPr>
          <w:rFonts w:ascii="Arial" w:eastAsia="Arial" w:hAnsi="Arial" w:cs="Arial"/>
          <w:sz w:val="24"/>
          <w:szCs w:val="24"/>
        </w:rPr>
        <w:t xml:space="preserve"> Israel Ángel Ramírez, como representante suplente del PAN y de la coalición “Va por Aguascalientes” ante el Consejo General. </w:t>
      </w:r>
    </w:p>
    <w:p w14:paraId="5C47FAE1" w14:textId="77777777" w:rsidR="005B0C78" w:rsidRDefault="00F66729">
      <w:pPr>
        <w:numPr>
          <w:ilvl w:val="0"/>
          <w:numId w:val="3"/>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La calidad de Nora Ruvalcaba Gámez, como candidata de Morena a la gubernatura del estado para el actual proceso electoral.</w:t>
      </w:r>
    </w:p>
    <w:p w14:paraId="50706081" w14:textId="77777777" w:rsidR="005B0C78" w:rsidRDefault="00F66729">
      <w:pPr>
        <w:numPr>
          <w:ilvl w:val="0"/>
          <w:numId w:val="3"/>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lastRenderedPageBreak/>
        <w:t xml:space="preserve">La calidad de Ricardo Barba Parra, como representante propietario de Morena ante el Consejo General. </w:t>
      </w:r>
    </w:p>
    <w:p w14:paraId="02331BBE" w14:textId="77777777" w:rsidR="005B0C78" w:rsidRDefault="00F66729">
      <w:pPr>
        <w:numPr>
          <w:ilvl w:val="0"/>
          <w:numId w:val="3"/>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 xml:space="preserve">La existencia de la publicación denunciada, misma que se difundió a través de los perfiles de Facebook y Twitter de la candidata cuestionada. </w:t>
      </w:r>
    </w:p>
    <w:p w14:paraId="7DBC0A8E" w14:textId="77777777" w:rsidR="005B0C78" w:rsidRDefault="005B0C78">
      <w:pPr>
        <w:pBdr>
          <w:top w:val="nil"/>
          <w:left w:val="nil"/>
          <w:bottom w:val="nil"/>
          <w:right w:val="nil"/>
          <w:between w:val="nil"/>
        </w:pBdr>
        <w:rPr>
          <w:color w:val="000000"/>
        </w:rPr>
      </w:pPr>
    </w:p>
    <w:p w14:paraId="31EDF52E" w14:textId="77777777" w:rsidR="005B0C78" w:rsidRDefault="00F6672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10E3BF67" w14:textId="77777777" w:rsidR="005B0C78" w:rsidRDefault="005B0C78">
      <w:pPr>
        <w:pBdr>
          <w:top w:val="nil"/>
          <w:left w:val="nil"/>
          <w:bottom w:val="nil"/>
          <w:right w:val="nil"/>
          <w:between w:val="nil"/>
        </w:pBdr>
        <w:rPr>
          <w:color w:val="000000"/>
          <w:sz w:val="14"/>
          <w:szCs w:val="14"/>
        </w:rPr>
      </w:pPr>
    </w:p>
    <w:p w14:paraId="0C329628" w14:textId="77777777" w:rsidR="005B0C78" w:rsidRDefault="00F66729">
      <w:pPr>
        <w:numPr>
          <w:ilvl w:val="0"/>
          <w:numId w:val="1"/>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0BB737CE" w14:textId="77777777" w:rsidR="005B0C78" w:rsidRDefault="005B0C78">
      <w:pPr>
        <w:pBdr>
          <w:top w:val="nil"/>
          <w:left w:val="nil"/>
          <w:bottom w:val="nil"/>
          <w:right w:val="nil"/>
          <w:between w:val="nil"/>
        </w:pBdr>
        <w:rPr>
          <w:color w:val="000000"/>
          <w:sz w:val="14"/>
          <w:szCs w:val="14"/>
        </w:rPr>
      </w:pPr>
    </w:p>
    <w:p w14:paraId="0EE480F4" w14:textId="77777777" w:rsidR="005B0C78" w:rsidRDefault="00F6672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 la publicación denunciada, actualiza la infracción de </w:t>
      </w:r>
      <w:r>
        <w:rPr>
          <w:rFonts w:ascii="Arial" w:eastAsia="Arial" w:hAnsi="Arial" w:cs="Arial"/>
          <w:b/>
          <w:sz w:val="24"/>
          <w:szCs w:val="24"/>
        </w:rPr>
        <w:t>calumnia</w:t>
      </w:r>
      <w:r>
        <w:rPr>
          <w:rFonts w:ascii="Arial" w:eastAsia="Arial" w:hAnsi="Arial" w:cs="Arial"/>
          <w:sz w:val="24"/>
          <w:szCs w:val="24"/>
        </w:rPr>
        <w:t xml:space="preserve"> a partir de la imputación falsa de un hecho, cometida en perjuicio del PAN, de la coalición “Va por Aguascalientes” y su candidata María Teresa Jiménez Esquivel?</w:t>
      </w:r>
    </w:p>
    <w:p w14:paraId="6F33BD12" w14:textId="77777777" w:rsidR="005B0C78" w:rsidRDefault="005B0C78">
      <w:pPr>
        <w:pBdr>
          <w:top w:val="nil"/>
          <w:left w:val="nil"/>
          <w:bottom w:val="nil"/>
          <w:right w:val="nil"/>
          <w:between w:val="nil"/>
        </w:pBdr>
        <w:rPr>
          <w:color w:val="000000"/>
          <w:sz w:val="14"/>
          <w:szCs w:val="14"/>
        </w:rPr>
      </w:pPr>
    </w:p>
    <w:p w14:paraId="2EE950BA" w14:textId="77777777" w:rsidR="005B0C78" w:rsidRDefault="00F66729">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47CACCB5" w14:textId="77777777" w:rsidR="005B0C78" w:rsidRDefault="005B0C78">
      <w:pPr>
        <w:pBdr>
          <w:top w:val="nil"/>
          <w:left w:val="nil"/>
          <w:bottom w:val="nil"/>
          <w:right w:val="nil"/>
          <w:between w:val="nil"/>
        </w:pBdr>
        <w:rPr>
          <w:color w:val="000000"/>
        </w:rPr>
      </w:pPr>
    </w:p>
    <w:p w14:paraId="4A1C0D20" w14:textId="77777777" w:rsidR="005B0C78" w:rsidRDefault="00F66729">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Este Tribunal Electoral</w:t>
      </w:r>
      <w:r>
        <w:rPr>
          <w:rFonts w:ascii="Arial" w:eastAsia="Arial" w:hAnsi="Arial" w:cs="Arial"/>
          <w:b/>
          <w:sz w:val="24"/>
          <w:szCs w:val="24"/>
        </w:rPr>
        <w:t xml:space="preserve"> </w:t>
      </w:r>
      <w:r>
        <w:rPr>
          <w:rFonts w:ascii="Arial" w:eastAsia="Arial" w:hAnsi="Arial" w:cs="Arial"/>
          <w:sz w:val="24"/>
          <w:szCs w:val="24"/>
        </w:rPr>
        <w:t xml:space="preserve">estima que debe declararse: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de calumnia en perjuicio del Partido Acción Nacional y de su candidata, María Teresa Jiménez Esquivel, atribuida a la ciudadana Nora Ruvalcaba Gámez, candidata a la gubernatura del estado por el partido Morena, y, </w:t>
      </w:r>
      <w:r>
        <w:rPr>
          <w:rFonts w:ascii="Arial" w:eastAsia="Arial" w:hAnsi="Arial" w:cs="Arial"/>
          <w:b/>
          <w:i/>
          <w:sz w:val="24"/>
          <w:szCs w:val="24"/>
        </w:rPr>
        <w:t xml:space="preserve">b) </w:t>
      </w:r>
      <w:r>
        <w:rPr>
          <w:rFonts w:ascii="Arial" w:eastAsia="Arial" w:hAnsi="Arial" w:cs="Arial"/>
          <w:sz w:val="24"/>
          <w:szCs w:val="24"/>
        </w:rPr>
        <w:t xml:space="preserve">la inexistencia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31306881" w14:textId="77777777" w:rsidR="005B0C78" w:rsidRDefault="00F66729">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 las expresiones cuestionadas, se advierte que estas </w:t>
      </w:r>
      <w:r>
        <w:rPr>
          <w:rFonts w:ascii="Arial" w:eastAsia="Arial" w:hAnsi="Arial" w:cs="Arial"/>
          <w:b/>
          <w:sz w:val="24"/>
          <w:szCs w:val="24"/>
        </w:rPr>
        <w:t>se trataron de críticas dirigidas a temas que forman parte de la gestión pública</w:t>
      </w:r>
      <w:r>
        <w:rPr>
          <w:rFonts w:ascii="Arial" w:eastAsia="Arial" w:hAnsi="Arial" w:cs="Arial"/>
          <w:sz w:val="24"/>
          <w:szCs w:val="24"/>
        </w:rPr>
        <w:t xml:space="preserve"> de la candidata quejosa cuando fungió como presidenta municipal de Aguascalientes que, a su vez, se encuentran permitidas en el contexto del debate político, al estar amparadas por el derecho de la libertad de expresión y, a su vez, el derecho de la ciudadanía a emitir un voto libre e informado, por lo cual no fue posible acreditar el elemento objetivo que exige la infracción de calumnia.</w:t>
      </w:r>
    </w:p>
    <w:p w14:paraId="2925FB93" w14:textId="77777777" w:rsidR="005B0C78" w:rsidRDefault="00F66729">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313100A8" w14:textId="77777777" w:rsidR="005B0C78" w:rsidRDefault="005B0C78">
      <w:pPr>
        <w:pBdr>
          <w:top w:val="nil"/>
          <w:left w:val="nil"/>
          <w:bottom w:val="nil"/>
          <w:right w:val="nil"/>
          <w:between w:val="nil"/>
        </w:pBdr>
        <w:rPr>
          <w:color w:val="000000"/>
        </w:rPr>
      </w:pPr>
    </w:p>
    <w:p w14:paraId="3FF30718" w14:textId="77777777" w:rsidR="005B0C78" w:rsidRDefault="00F66729">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69640A4B" w14:textId="77777777" w:rsidR="005B0C78" w:rsidRDefault="005B0C78">
      <w:pPr>
        <w:pBdr>
          <w:top w:val="nil"/>
          <w:left w:val="nil"/>
          <w:bottom w:val="nil"/>
          <w:right w:val="nil"/>
          <w:between w:val="nil"/>
        </w:pBdr>
        <w:rPr>
          <w:color w:val="000000"/>
        </w:rPr>
      </w:pPr>
    </w:p>
    <w:p w14:paraId="3DEBD2A3" w14:textId="77777777" w:rsidR="005B0C78" w:rsidRDefault="00F66729">
      <w:pPr>
        <w:numPr>
          <w:ilvl w:val="1"/>
          <w:numId w:val="4"/>
        </w:numPr>
        <w:pBdr>
          <w:top w:val="nil"/>
          <w:left w:val="nil"/>
          <w:bottom w:val="nil"/>
          <w:right w:val="nil"/>
          <w:between w:val="nil"/>
        </w:pBdr>
        <w:spacing w:line="360" w:lineRule="auto"/>
        <w:ind w:left="567" w:hanging="567"/>
        <w:jc w:val="both"/>
        <w:rPr>
          <w:rFonts w:ascii="Arial" w:eastAsia="Arial" w:hAnsi="Arial" w:cs="Arial"/>
          <w:b/>
          <w:color w:val="000000"/>
          <w:sz w:val="24"/>
          <w:szCs w:val="24"/>
        </w:rPr>
      </w:pPr>
      <w:r>
        <w:rPr>
          <w:rFonts w:ascii="Arial" w:eastAsia="Arial" w:hAnsi="Arial" w:cs="Arial"/>
          <w:b/>
          <w:color w:val="000000"/>
          <w:sz w:val="24"/>
          <w:szCs w:val="24"/>
        </w:rPr>
        <w:t>Marco normativo de calumnia.</w:t>
      </w:r>
    </w:p>
    <w:p w14:paraId="1AFC8691" w14:textId="77777777" w:rsidR="005B0C78" w:rsidRDefault="005B0C78">
      <w:pPr>
        <w:pBdr>
          <w:top w:val="nil"/>
          <w:left w:val="nil"/>
          <w:bottom w:val="nil"/>
          <w:right w:val="nil"/>
          <w:between w:val="nil"/>
        </w:pBdr>
        <w:rPr>
          <w:color w:val="000000"/>
        </w:rPr>
      </w:pPr>
    </w:p>
    <w:p w14:paraId="64C329DD" w14:textId="77777777" w:rsidR="005B0C78" w:rsidRDefault="00F66729">
      <w:pPr>
        <w:spacing w:line="360" w:lineRule="auto"/>
        <w:jc w:val="both"/>
      </w:pPr>
      <w:r>
        <w:rPr>
          <w:rFonts w:ascii="Arial" w:eastAsia="Arial" w:hAnsi="Arial" w:cs="Arial"/>
          <w:sz w:val="24"/>
          <w:szCs w:val="24"/>
        </w:rPr>
        <w:t>El artículo 6°, de la Constitución Federal</w:t>
      </w:r>
      <w:r>
        <w:rPr>
          <w:rFonts w:ascii="Arial" w:eastAsia="Arial" w:hAnsi="Arial" w:cs="Arial"/>
          <w:sz w:val="24"/>
          <w:szCs w:val="24"/>
          <w:vertAlign w:val="superscript"/>
        </w:rPr>
        <w:footnoteReference w:id="8"/>
      </w:r>
      <w:r>
        <w:rPr>
          <w:rFonts w:ascii="Arial" w:eastAsia="Arial" w:hAnsi="Arial" w:cs="Arial"/>
          <w:sz w:val="24"/>
          <w:szCs w:val="24"/>
        </w:rPr>
        <w:t xml:space="preserve"> establece que los supuestos en los cuales la libertad de expresión se encuentra limitada, son los siguientes: </w:t>
      </w:r>
      <w:r>
        <w:rPr>
          <w:rFonts w:ascii="Arial" w:eastAsia="Arial" w:hAnsi="Arial" w:cs="Arial"/>
          <w:b/>
          <w:i/>
          <w:sz w:val="24"/>
          <w:szCs w:val="24"/>
        </w:rPr>
        <w:t>a)</w:t>
      </w:r>
      <w:r>
        <w:rPr>
          <w:rFonts w:ascii="Arial" w:eastAsia="Arial" w:hAnsi="Arial" w:cs="Arial"/>
          <w:sz w:val="24"/>
          <w:szCs w:val="24"/>
        </w:rPr>
        <w:t xml:space="preserve"> cuando se ataque a la </w:t>
      </w:r>
      <w:r>
        <w:rPr>
          <w:rFonts w:ascii="Arial" w:eastAsia="Arial" w:hAnsi="Arial" w:cs="Arial"/>
          <w:sz w:val="24"/>
          <w:szCs w:val="24"/>
        </w:rPr>
        <w:lastRenderedPageBreak/>
        <w:t xml:space="preserve">moral, a la vida privada y los derechos de terceros, </w:t>
      </w:r>
      <w:r>
        <w:rPr>
          <w:rFonts w:ascii="Arial" w:eastAsia="Arial" w:hAnsi="Arial" w:cs="Arial"/>
          <w:b/>
          <w:i/>
          <w:sz w:val="24"/>
          <w:szCs w:val="24"/>
        </w:rPr>
        <w:t>b)</w:t>
      </w:r>
      <w:r>
        <w:rPr>
          <w:rFonts w:ascii="Arial" w:eastAsia="Arial" w:hAnsi="Arial" w:cs="Arial"/>
          <w:sz w:val="24"/>
          <w:szCs w:val="24"/>
        </w:rPr>
        <w:t xml:space="preserve"> cuando se provoque algún delito y/o, </w:t>
      </w:r>
      <w:r>
        <w:rPr>
          <w:rFonts w:ascii="Arial" w:eastAsia="Arial" w:hAnsi="Arial" w:cs="Arial"/>
          <w:b/>
          <w:i/>
          <w:sz w:val="24"/>
          <w:szCs w:val="24"/>
        </w:rPr>
        <w:t>c)</w:t>
      </w:r>
      <w:r>
        <w:rPr>
          <w:rFonts w:ascii="Arial" w:eastAsia="Arial" w:hAnsi="Arial" w:cs="Arial"/>
          <w:sz w:val="24"/>
          <w:szCs w:val="24"/>
        </w:rPr>
        <w:t xml:space="preserve"> se perturbe el orden público.</w:t>
      </w:r>
    </w:p>
    <w:p w14:paraId="2E29DE2D" w14:textId="77777777" w:rsidR="005B0C78" w:rsidRDefault="00F66729">
      <w:pPr>
        <w:spacing w:before="240" w:after="240" w:line="360" w:lineRule="auto"/>
        <w:jc w:val="both"/>
      </w:pPr>
      <w:r>
        <w:rPr>
          <w:rFonts w:ascii="Arial" w:eastAsia="Arial" w:hAnsi="Arial" w:cs="Arial"/>
          <w:sz w:val="24"/>
          <w:szCs w:val="24"/>
        </w:rPr>
        <w:t xml:space="preserve">De ahí que las limitaciones a la libertad de expresión tienen como finalidad: </w:t>
      </w:r>
      <w:r>
        <w:rPr>
          <w:rFonts w:ascii="Arial" w:eastAsia="Arial" w:hAnsi="Arial" w:cs="Arial"/>
          <w:b/>
          <w:i/>
          <w:sz w:val="24"/>
          <w:szCs w:val="24"/>
        </w:rPr>
        <w:t>i)</w:t>
      </w:r>
      <w:r>
        <w:rPr>
          <w:rFonts w:ascii="Arial" w:eastAsia="Arial" w:hAnsi="Arial" w:cs="Arial"/>
          <w:sz w:val="24"/>
          <w:szCs w:val="24"/>
        </w:rPr>
        <w:t xml:space="preserve"> el respeto a los derechos y reputación de los demás y, </w:t>
      </w:r>
      <w:r>
        <w:rPr>
          <w:rFonts w:ascii="Arial" w:eastAsia="Arial" w:hAnsi="Arial" w:cs="Arial"/>
          <w:b/>
          <w:i/>
          <w:sz w:val="24"/>
          <w:szCs w:val="24"/>
        </w:rPr>
        <w:t>ii)</w:t>
      </w:r>
      <w:r>
        <w:rPr>
          <w:rFonts w:ascii="Arial" w:eastAsia="Arial" w:hAnsi="Arial" w:cs="Arial"/>
          <w:sz w:val="24"/>
          <w:szCs w:val="24"/>
        </w:rPr>
        <w:t xml:space="preserve"> la protección a la seguridad nacional y el orden público.</w:t>
      </w:r>
    </w:p>
    <w:p w14:paraId="173D247D" w14:textId="77777777" w:rsidR="005B0C78" w:rsidRDefault="00F66729">
      <w:pPr>
        <w:spacing w:before="240" w:after="240" w:line="360" w:lineRule="auto"/>
        <w:jc w:val="both"/>
      </w:pPr>
      <w:r>
        <w:rPr>
          <w:rFonts w:ascii="Arial" w:eastAsia="Arial" w:hAnsi="Arial" w:cs="Arial"/>
          <w:sz w:val="24"/>
          <w:szCs w:val="24"/>
        </w:rPr>
        <w:t>A su vez, el artículo 41, Base II, apartado C</w:t>
      </w:r>
      <w:r>
        <w:rPr>
          <w:rFonts w:ascii="Arial" w:eastAsia="Arial" w:hAnsi="Arial" w:cs="Arial"/>
          <w:sz w:val="24"/>
          <w:szCs w:val="24"/>
          <w:vertAlign w:val="superscript"/>
        </w:rPr>
        <w:footnoteReference w:id="9"/>
      </w:r>
      <w:r>
        <w:rPr>
          <w:rFonts w:ascii="Arial" w:eastAsia="Arial" w:hAnsi="Arial" w:cs="Arial"/>
          <w:sz w:val="24"/>
          <w:szCs w:val="24"/>
        </w:rPr>
        <w:t xml:space="preserve"> del mismo ordenamiento, establece que los partidos políticos y candidatos deben abstenerse de difundir propaganda que calumnie a las personas o que cometan alguna infracción electoral.</w:t>
      </w:r>
    </w:p>
    <w:p w14:paraId="1FAD9578" w14:textId="77777777" w:rsidR="005B0C78" w:rsidRDefault="00F66729">
      <w:pPr>
        <w:spacing w:before="240" w:after="240" w:line="360" w:lineRule="auto"/>
        <w:jc w:val="both"/>
      </w:pPr>
      <w:r>
        <w:rPr>
          <w:rFonts w:ascii="Arial" w:eastAsia="Arial" w:hAnsi="Arial" w:cs="Arial"/>
          <w:sz w:val="24"/>
          <w:szCs w:val="24"/>
        </w:rPr>
        <w:t>Por otro lado, el artículo 471, segundo párrafo, de la LEGIPE</w:t>
      </w:r>
      <w:r>
        <w:rPr>
          <w:rFonts w:ascii="Arial" w:eastAsia="Arial" w:hAnsi="Arial" w:cs="Arial"/>
          <w:sz w:val="24"/>
          <w:szCs w:val="24"/>
          <w:vertAlign w:val="superscript"/>
        </w:rPr>
        <w:footnoteReference w:id="10"/>
      </w:r>
      <w:r>
        <w:rPr>
          <w:rFonts w:ascii="Arial" w:eastAsia="Arial" w:hAnsi="Arial" w:cs="Arial"/>
          <w:sz w:val="24"/>
          <w:szCs w:val="24"/>
        </w:rPr>
        <w:t xml:space="preserve"> establece que </w:t>
      </w:r>
      <w:r>
        <w:rPr>
          <w:rFonts w:ascii="Arial" w:eastAsia="Arial" w:hAnsi="Arial" w:cs="Arial"/>
          <w:b/>
          <w:sz w:val="24"/>
          <w:szCs w:val="24"/>
        </w:rPr>
        <w:t>la calumnia es la imputación de hechos o delitos falsos por parte de partidos políticos</w:t>
      </w:r>
      <w:r>
        <w:rPr>
          <w:rFonts w:ascii="Arial" w:eastAsia="Arial" w:hAnsi="Arial" w:cs="Arial"/>
          <w:sz w:val="24"/>
          <w:szCs w:val="24"/>
        </w:rPr>
        <w:t xml:space="preserve"> </w:t>
      </w:r>
      <w:r>
        <w:rPr>
          <w:rFonts w:ascii="Arial" w:eastAsia="Arial" w:hAnsi="Arial" w:cs="Arial"/>
          <w:b/>
          <w:sz w:val="24"/>
          <w:szCs w:val="24"/>
        </w:rPr>
        <w:t>o candidatos</w:t>
      </w:r>
      <w:r>
        <w:rPr>
          <w:rFonts w:ascii="Arial" w:eastAsia="Arial" w:hAnsi="Arial" w:cs="Arial"/>
          <w:sz w:val="24"/>
          <w:szCs w:val="24"/>
        </w:rPr>
        <w:t>, con impacto en un proceso electoral.</w:t>
      </w:r>
    </w:p>
    <w:p w14:paraId="614BF010" w14:textId="77777777" w:rsidR="005B0C78" w:rsidRDefault="00F66729">
      <w:pPr>
        <w:spacing w:before="240" w:after="240" w:line="360" w:lineRule="auto"/>
        <w:jc w:val="both"/>
      </w:pPr>
      <w:r>
        <w:rPr>
          <w:rFonts w:ascii="Arial" w:eastAsia="Arial" w:hAnsi="Arial" w:cs="Arial"/>
          <w:sz w:val="24"/>
          <w:szCs w:val="24"/>
        </w:rPr>
        <w:t>En tal sentido, la SCJN</w:t>
      </w:r>
      <w:r>
        <w:rPr>
          <w:rFonts w:ascii="Arial" w:eastAsia="Arial" w:hAnsi="Arial" w:cs="Arial"/>
          <w:sz w:val="24"/>
          <w:szCs w:val="24"/>
          <w:vertAlign w:val="superscript"/>
        </w:rPr>
        <w:footnoteReference w:id="11"/>
      </w:r>
      <w:r>
        <w:rPr>
          <w:rFonts w:ascii="Arial" w:eastAsia="Arial" w:hAnsi="Arial" w:cs="Arial"/>
          <w:sz w:val="24"/>
          <w:szCs w:val="24"/>
        </w:rPr>
        <w:t xml:space="preserve"> estableció que para poder acreditar la calumnia es necesario que se cumplan dos elementos, estos son: </w:t>
      </w:r>
      <w:r>
        <w:rPr>
          <w:rFonts w:ascii="Arial" w:eastAsia="Arial" w:hAnsi="Arial" w:cs="Arial"/>
          <w:b/>
          <w:i/>
          <w:sz w:val="24"/>
          <w:szCs w:val="24"/>
        </w:rPr>
        <w:t>a)</w:t>
      </w:r>
      <w:r>
        <w:rPr>
          <w:rFonts w:ascii="Arial" w:eastAsia="Arial" w:hAnsi="Arial" w:cs="Arial"/>
          <w:b/>
          <w:sz w:val="24"/>
          <w:szCs w:val="24"/>
        </w:rPr>
        <w:t xml:space="preserve"> personal</w:t>
      </w:r>
      <w:r>
        <w:rPr>
          <w:rFonts w:ascii="Arial" w:eastAsia="Arial" w:hAnsi="Arial" w:cs="Arial"/>
          <w:sz w:val="24"/>
          <w:szCs w:val="24"/>
        </w:rPr>
        <w:t xml:space="preserve">, que implica valorar al sujeto que fue denunciado que, por lo general, solo pueden ser sancionados por calumnia electoral los partidos políticos, las coaliciones y las </w:t>
      </w:r>
      <w:r>
        <w:rPr>
          <w:rFonts w:ascii="Arial" w:eastAsia="Arial" w:hAnsi="Arial" w:cs="Arial"/>
          <w:b/>
          <w:sz w:val="24"/>
          <w:szCs w:val="24"/>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el</w:t>
      </w:r>
      <w:r>
        <w:rPr>
          <w:rFonts w:ascii="Arial" w:eastAsia="Arial" w:hAnsi="Arial" w:cs="Arial"/>
          <w:b/>
          <w:sz w:val="24"/>
          <w:szCs w:val="24"/>
        </w:rPr>
        <w:t xml:space="preserve"> objetivo, </w:t>
      </w:r>
      <w:r>
        <w:rPr>
          <w:rFonts w:ascii="Arial" w:eastAsia="Arial" w:hAnsi="Arial" w:cs="Arial"/>
          <w:sz w:val="24"/>
          <w:szCs w:val="24"/>
        </w:rPr>
        <w:t xml:space="preserve">es decir, que exista una imputación de hechos o delitos falsos y, </w:t>
      </w:r>
      <w:r>
        <w:rPr>
          <w:rFonts w:ascii="Arial" w:eastAsia="Arial" w:hAnsi="Arial" w:cs="Arial"/>
          <w:b/>
          <w:sz w:val="24"/>
          <w:szCs w:val="24"/>
        </w:rPr>
        <w:t>c</w:t>
      </w:r>
      <w:r>
        <w:rPr>
          <w:rFonts w:ascii="Arial" w:eastAsia="Arial" w:hAnsi="Arial" w:cs="Arial"/>
          <w:b/>
          <w:i/>
          <w:sz w:val="24"/>
          <w:szCs w:val="24"/>
        </w:rPr>
        <w:t xml:space="preserve">) </w:t>
      </w:r>
      <w:r>
        <w:rPr>
          <w:rFonts w:ascii="Arial" w:eastAsia="Arial" w:hAnsi="Arial" w:cs="Arial"/>
          <w:sz w:val="24"/>
          <w:szCs w:val="24"/>
        </w:rPr>
        <w:t>el elemento</w:t>
      </w:r>
      <w:r>
        <w:rPr>
          <w:rFonts w:ascii="Arial" w:eastAsia="Arial" w:hAnsi="Arial" w:cs="Arial"/>
          <w:b/>
          <w:sz w:val="24"/>
          <w:szCs w:val="24"/>
        </w:rPr>
        <w:t xml:space="preserve"> subjetivo</w:t>
      </w:r>
      <w:r>
        <w:rPr>
          <w:rFonts w:ascii="Arial" w:eastAsia="Arial" w:hAnsi="Arial" w:cs="Arial"/>
          <w:sz w:val="24"/>
          <w:szCs w:val="24"/>
        </w:rPr>
        <w:t>, que implica que quien realiza la imputación sepa que los hechos y delitos son falsos.</w:t>
      </w:r>
    </w:p>
    <w:p w14:paraId="39457CFD" w14:textId="77777777" w:rsidR="005B0C78" w:rsidRDefault="00F66729">
      <w:pPr>
        <w:spacing w:before="240" w:after="240" w:line="360" w:lineRule="auto"/>
        <w:jc w:val="both"/>
      </w:pPr>
      <w:r>
        <w:rPr>
          <w:rFonts w:ascii="Arial" w:eastAsia="Arial" w:hAnsi="Arial" w:cs="Arial"/>
          <w:sz w:val="24"/>
          <w:szCs w:val="24"/>
        </w:rPr>
        <w:t xml:space="preserve">Por su parte, la Sala Superior estableció dos elementos adicionales para poder acreditar tal infracción y, en su caso, sancionar la calumnia. Estos son: </w:t>
      </w:r>
      <w:r>
        <w:rPr>
          <w:rFonts w:ascii="Arial" w:eastAsia="Arial" w:hAnsi="Arial" w:cs="Arial"/>
          <w:b/>
          <w:i/>
          <w:sz w:val="24"/>
          <w:szCs w:val="24"/>
        </w:rPr>
        <w:t>i)</w:t>
      </w:r>
      <w:r>
        <w:rPr>
          <w:rFonts w:ascii="Arial" w:eastAsia="Arial" w:hAnsi="Arial" w:cs="Arial"/>
          <w:sz w:val="24"/>
          <w:szCs w:val="24"/>
        </w:rPr>
        <w:t xml:space="preserve"> que las expresiones tengan un </w:t>
      </w:r>
      <w:r>
        <w:rPr>
          <w:rFonts w:ascii="Arial" w:eastAsia="Arial" w:hAnsi="Arial" w:cs="Arial"/>
          <w:b/>
          <w:sz w:val="24"/>
          <w:szCs w:val="24"/>
        </w:rPr>
        <w:t>impacto en el proceso</w:t>
      </w:r>
      <w:r>
        <w:rPr>
          <w:rFonts w:ascii="Arial" w:eastAsia="Arial" w:hAnsi="Arial" w:cs="Arial"/>
          <w:sz w:val="24"/>
          <w:szCs w:val="24"/>
        </w:rPr>
        <w:t xml:space="preserve"> electoral y; </w:t>
      </w:r>
      <w:r>
        <w:rPr>
          <w:rFonts w:ascii="Arial" w:eastAsia="Arial" w:hAnsi="Arial" w:cs="Arial"/>
          <w:b/>
          <w:i/>
          <w:sz w:val="24"/>
          <w:szCs w:val="24"/>
        </w:rPr>
        <w:t>ii)</w:t>
      </w:r>
      <w:r>
        <w:rPr>
          <w:rFonts w:ascii="Arial" w:eastAsia="Arial" w:hAnsi="Arial" w:cs="Arial"/>
          <w:sz w:val="24"/>
          <w:szCs w:val="24"/>
        </w:rPr>
        <w:t xml:space="preserve"> que las expresiones se hubiesen realizado de </w:t>
      </w:r>
      <w:r>
        <w:rPr>
          <w:rFonts w:ascii="Arial" w:eastAsia="Arial" w:hAnsi="Arial" w:cs="Arial"/>
          <w:b/>
          <w:sz w:val="24"/>
          <w:szCs w:val="24"/>
        </w:rPr>
        <w:t>forma maliciosa</w:t>
      </w:r>
      <w:r>
        <w:rPr>
          <w:rFonts w:ascii="Arial" w:eastAsia="Arial" w:hAnsi="Arial" w:cs="Arial"/>
          <w:sz w:val="24"/>
          <w:szCs w:val="24"/>
        </w:rPr>
        <w:t>. Asimismo, sostuvo que al establecer las expresiones que presuntamente constituyen calumnia no solo deben ser analizadas por su contenido, sino también en su contexto.</w:t>
      </w:r>
      <w:r>
        <w:rPr>
          <w:rFonts w:ascii="Arial" w:eastAsia="Arial" w:hAnsi="Arial" w:cs="Arial"/>
          <w:sz w:val="24"/>
          <w:szCs w:val="24"/>
          <w:vertAlign w:val="superscript"/>
        </w:rPr>
        <w:footnoteReference w:id="12"/>
      </w:r>
    </w:p>
    <w:p w14:paraId="39D8D452" w14:textId="77777777" w:rsidR="005B0C78" w:rsidRDefault="00F66729">
      <w:pPr>
        <w:spacing w:before="240" w:after="240" w:line="360" w:lineRule="auto"/>
        <w:jc w:val="both"/>
      </w:pPr>
      <w:r>
        <w:rPr>
          <w:rFonts w:ascii="Arial" w:eastAsia="Arial" w:hAnsi="Arial" w:cs="Arial"/>
          <w:sz w:val="24"/>
          <w:szCs w:val="24"/>
        </w:rPr>
        <w:t xml:space="preserve">De lo anterior, podemos concluir que </w:t>
      </w:r>
      <w:r>
        <w:rPr>
          <w:rFonts w:ascii="Arial" w:eastAsia="Arial" w:hAnsi="Arial" w:cs="Arial"/>
          <w:b/>
          <w:sz w:val="24"/>
          <w:szCs w:val="24"/>
        </w:rPr>
        <w:t>la restricción a la libertad de expresión en el ámbito electoral, es constitucional</w:t>
      </w:r>
      <w:r>
        <w:rPr>
          <w:rFonts w:ascii="Arial" w:eastAsia="Arial" w:hAnsi="Arial" w:cs="Arial"/>
          <w:sz w:val="24"/>
          <w:szCs w:val="24"/>
        </w:rPr>
        <w:t xml:space="preserve">. Pues dicha restricción no limita la libre circulación de crítica, ya que </w:t>
      </w:r>
      <w:r>
        <w:rPr>
          <w:rFonts w:ascii="Arial" w:eastAsia="Arial" w:hAnsi="Arial" w:cs="Arial"/>
          <w:b/>
          <w:sz w:val="24"/>
          <w:szCs w:val="24"/>
        </w:rPr>
        <w:t>incluso permite expresiones severas, vehementes, molestas o perturbadoras</w:t>
      </w:r>
      <w:r>
        <w:rPr>
          <w:rFonts w:ascii="Arial" w:eastAsia="Arial" w:hAnsi="Arial" w:cs="Arial"/>
          <w:sz w:val="24"/>
          <w:szCs w:val="24"/>
        </w:rPr>
        <w:t>.</w:t>
      </w:r>
    </w:p>
    <w:p w14:paraId="4E562288" w14:textId="77777777" w:rsidR="005B0C78" w:rsidRDefault="00F66729">
      <w:pPr>
        <w:spacing w:before="240" w:after="240" w:line="360" w:lineRule="auto"/>
        <w:jc w:val="both"/>
      </w:pPr>
      <w:r>
        <w:rPr>
          <w:rFonts w:ascii="Arial" w:eastAsia="Arial" w:hAnsi="Arial" w:cs="Arial"/>
          <w:b/>
          <w:sz w:val="24"/>
          <w:szCs w:val="24"/>
        </w:rPr>
        <w:lastRenderedPageBreak/>
        <w:t>1.2.</w:t>
      </w:r>
      <w:r>
        <w:rPr>
          <w:sz w:val="14"/>
          <w:szCs w:val="14"/>
        </w:rPr>
        <w:t xml:space="preserve">     </w:t>
      </w:r>
      <w:r>
        <w:rPr>
          <w:rFonts w:ascii="Arial" w:eastAsia="Arial" w:hAnsi="Arial" w:cs="Arial"/>
          <w:b/>
          <w:sz w:val="24"/>
          <w:szCs w:val="24"/>
        </w:rPr>
        <w:t>Marco normativo de la libertad de expresión en las redes sociales.</w:t>
      </w:r>
    </w:p>
    <w:p w14:paraId="5977A5F4" w14:textId="77777777" w:rsidR="005B0C78" w:rsidRDefault="00F66729">
      <w:pPr>
        <w:spacing w:before="240" w:after="240" w:line="360" w:lineRule="auto"/>
        <w:jc w:val="both"/>
      </w:pPr>
      <w:r>
        <w:rPr>
          <w:rFonts w:ascii="Arial" w:eastAsia="Arial" w:hAnsi="Arial" w:cs="Arial"/>
          <w:sz w:val="24"/>
          <w:szCs w:val="24"/>
        </w:rPr>
        <w:t>Las redes sociales constituyen una herramienta útil para general la comunicación social, ya que permite a un número indefinido de personas, a fin de que puedan acceder, compartir e intercambiar información, de manera global, instantánea y a un bajo costo.</w:t>
      </w:r>
    </w:p>
    <w:p w14:paraId="5E2666B8" w14:textId="77777777" w:rsidR="005B0C78" w:rsidRDefault="00F66729">
      <w:pPr>
        <w:spacing w:before="240" w:after="240" w:line="360" w:lineRule="auto"/>
        <w:jc w:val="both"/>
      </w:pPr>
      <w:r>
        <w:rPr>
          <w:rFonts w:ascii="Arial" w:eastAsia="Arial" w:hAnsi="Arial" w:cs="Arial"/>
          <w:sz w:val="24"/>
          <w:szCs w:val="24"/>
        </w:rPr>
        <w:t>Además, este medio de comunicación tiene la ventaja de que la comunicación no es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023F7BF6" w14:textId="77777777" w:rsidR="005B0C78" w:rsidRDefault="00F66729">
      <w:pPr>
        <w:spacing w:before="240" w:after="240" w:line="360" w:lineRule="auto"/>
        <w:jc w:val="both"/>
      </w:pPr>
      <w:r>
        <w:rPr>
          <w:rFonts w:ascii="Arial" w:eastAsia="Arial" w:hAnsi="Arial" w:cs="Arial"/>
          <w:sz w:val="24"/>
          <w:szCs w:val="24"/>
        </w:rPr>
        <w:t xml:space="preserve">Igualmente, tales medios fungen como un medio de comunicación masivo que </w:t>
      </w:r>
      <w:r>
        <w:rPr>
          <w:rFonts w:ascii="Arial" w:eastAsia="Arial" w:hAnsi="Arial" w:cs="Arial"/>
          <w:b/>
          <w:sz w:val="24"/>
          <w:szCs w:val="24"/>
        </w:rPr>
        <w:t>permite a los usuarios tener un debate amplio y robusto</w:t>
      </w:r>
      <w:r>
        <w:rPr>
          <w:rFonts w:ascii="Arial" w:eastAsia="Arial" w:hAnsi="Arial" w:cs="Arial"/>
          <w:sz w:val="24"/>
          <w:szCs w:val="24"/>
        </w:rPr>
        <w:t xml:space="preserve">, en el que los usuarios </w:t>
      </w:r>
      <w:r>
        <w:rPr>
          <w:rFonts w:ascii="Arial" w:eastAsia="Arial" w:hAnsi="Arial" w:cs="Arial"/>
          <w:b/>
          <w:sz w:val="24"/>
          <w:szCs w:val="24"/>
        </w:rPr>
        <w:t>intercambien ideas y opiniones, positivas o negativas</w:t>
      </w:r>
      <w:r>
        <w:rPr>
          <w:rFonts w:ascii="Arial" w:eastAsia="Arial" w:hAnsi="Arial" w:cs="Arial"/>
          <w:sz w:val="24"/>
          <w:szCs w:val="24"/>
        </w:rPr>
        <w:t>, de manera ágil y fluida. Por ende, las redes sociales se vuelven un vehículo de suma importancia para la democracia.</w:t>
      </w:r>
      <w:r>
        <w:t xml:space="preserve"> </w:t>
      </w:r>
    </w:p>
    <w:p w14:paraId="58833B0C"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t xml:space="preserve">De lo anterior es posible concluir que,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3D7D1B6C" w14:textId="77777777" w:rsidR="005B0C78" w:rsidRDefault="005B0C78">
      <w:pPr>
        <w:pBdr>
          <w:top w:val="nil"/>
          <w:left w:val="nil"/>
          <w:bottom w:val="nil"/>
          <w:right w:val="nil"/>
          <w:between w:val="nil"/>
        </w:pBdr>
        <w:tabs>
          <w:tab w:val="left" w:pos="284"/>
        </w:tabs>
        <w:ind w:right="36"/>
        <w:jc w:val="both"/>
        <w:rPr>
          <w:rFonts w:ascii="Arial" w:eastAsia="Arial" w:hAnsi="Arial" w:cs="Arial"/>
          <w:sz w:val="24"/>
          <w:szCs w:val="24"/>
        </w:rPr>
      </w:pPr>
    </w:p>
    <w:p w14:paraId="0391C379" w14:textId="77777777" w:rsidR="005B0C78" w:rsidRDefault="00F66729">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color w:val="000000"/>
          <w:sz w:val="24"/>
          <w:szCs w:val="24"/>
        </w:rPr>
        <w:t>2. Caso Concreto</w:t>
      </w:r>
    </w:p>
    <w:p w14:paraId="0A04A624" w14:textId="77777777" w:rsidR="005B0C78" w:rsidRDefault="005B0C78">
      <w:pPr>
        <w:pBdr>
          <w:top w:val="nil"/>
          <w:left w:val="nil"/>
          <w:bottom w:val="nil"/>
          <w:right w:val="nil"/>
          <w:between w:val="nil"/>
        </w:pBdr>
        <w:rPr>
          <w:color w:val="000000"/>
        </w:rPr>
      </w:pPr>
    </w:p>
    <w:p w14:paraId="6F667ADB" w14:textId="77777777" w:rsidR="005B0C78" w:rsidRDefault="00F66729">
      <w:pPr>
        <w:spacing w:line="360" w:lineRule="auto"/>
        <w:jc w:val="both"/>
        <w:rPr>
          <w:rFonts w:ascii="Arial" w:eastAsia="Arial" w:hAnsi="Arial" w:cs="Arial"/>
          <w:sz w:val="24"/>
          <w:szCs w:val="24"/>
        </w:rPr>
      </w:pPr>
      <w:r>
        <w:rPr>
          <w:rFonts w:ascii="Arial" w:eastAsia="Arial" w:hAnsi="Arial" w:cs="Arial"/>
          <w:sz w:val="24"/>
          <w:szCs w:val="24"/>
        </w:rPr>
        <w:t xml:space="preserve">El PAN, en el contexto del proceso electoral 2021-2022 en el que se renueva a la gubernatura de Aguascalientes, presentó una queja ante el Instituto Local en contra de Nora Ruvalcaba Gámez, en su calidad de candidata por Morena, y del propio instituto político porque, a su parecer, la primera cometió calumnia en perjuicio del propio instituto político y de su candidata María Teresa Jiménez Esquivel, a partir de la realización de una publicación difundida en los perfiles de Facebook y Twitter de la candidata cuestionada, en el cual se realizaron una serie de expresiones que consistieron en la imputación de una serie de hechos falsos. </w:t>
      </w:r>
    </w:p>
    <w:p w14:paraId="49842436" w14:textId="77777777" w:rsidR="005B0C78" w:rsidRDefault="005B0C78">
      <w:pPr>
        <w:pBdr>
          <w:top w:val="nil"/>
          <w:left w:val="nil"/>
          <w:bottom w:val="nil"/>
          <w:right w:val="nil"/>
          <w:between w:val="nil"/>
        </w:pBdr>
        <w:rPr>
          <w:color w:val="000000"/>
        </w:rPr>
      </w:pPr>
    </w:p>
    <w:p w14:paraId="6D6E00CF" w14:textId="77777777" w:rsidR="005B0C78" w:rsidRDefault="00F66729">
      <w:pPr>
        <w:spacing w:line="360" w:lineRule="auto"/>
        <w:jc w:val="both"/>
        <w:rPr>
          <w:rFonts w:ascii="Arial" w:eastAsia="Arial" w:hAnsi="Arial" w:cs="Arial"/>
          <w:sz w:val="24"/>
          <w:szCs w:val="24"/>
        </w:rPr>
      </w:pPr>
      <w:r>
        <w:rPr>
          <w:rFonts w:ascii="Arial" w:eastAsia="Arial" w:hAnsi="Arial" w:cs="Arial"/>
          <w:sz w:val="24"/>
          <w:szCs w:val="24"/>
        </w:rPr>
        <w:t xml:space="preserve">El mensaje cuestionado es el siguiente: </w:t>
      </w:r>
    </w:p>
    <w:p w14:paraId="3021F332" w14:textId="77777777" w:rsidR="005B0C78" w:rsidRDefault="005B0C78">
      <w:pPr>
        <w:pBdr>
          <w:top w:val="nil"/>
          <w:left w:val="nil"/>
          <w:bottom w:val="nil"/>
          <w:right w:val="nil"/>
          <w:between w:val="nil"/>
        </w:pBdr>
        <w:rPr>
          <w:color w:val="000000"/>
        </w:rPr>
      </w:pPr>
    </w:p>
    <w:p w14:paraId="217B9185" w14:textId="77777777" w:rsidR="005B0C78" w:rsidRDefault="00F66729" w:rsidP="00233ED4">
      <w:pPr>
        <w:pBdr>
          <w:top w:val="nil"/>
          <w:left w:val="nil"/>
          <w:bottom w:val="nil"/>
          <w:right w:val="nil"/>
          <w:between w:val="nil"/>
        </w:pBdr>
        <w:tabs>
          <w:tab w:val="left" w:pos="7797"/>
        </w:tabs>
        <w:ind w:left="1276" w:right="1750"/>
        <w:jc w:val="both"/>
        <w:rPr>
          <w:rFonts w:ascii="Arial" w:eastAsia="Arial" w:hAnsi="Arial" w:cs="Arial"/>
          <w:i/>
          <w:sz w:val="22"/>
          <w:szCs w:val="22"/>
        </w:rPr>
      </w:pPr>
      <w:r>
        <w:rPr>
          <w:rFonts w:ascii="Arial" w:eastAsia="Arial" w:hAnsi="Arial" w:cs="Arial"/>
          <w:sz w:val="22"/>
          <w:szCs w:val="22"/>
        </w:rPr>
        <w:t>TÍTULO DE LA PUBLICACIÓN:</w:t>
      </w:r>
      <w:r>
        <w:rPr>
          <w:rFonts w:ascii="Arial" w:eastAsia="Arial" w:hAnsi="Arial" w:cs="Arial"/>
          <w:i/>
          <w:sz w:val="22"/>
          <w:szCs w:val="22"/>
        </w:rPr>
        <w:t xml:space="preserve"> “Hoy el PAN pide paneles solares gratuitos, claro, para seguir llenándose los bolsillos. Para muestra Aguascalientes y </w:t>
      </w:r>
      <w:r>
        <w:rPr>
          <w:rFonts w:ascii="Arial" w:eastAsia="Arial" w:hAnsi="Arial" w:cs="Arial"/>
          <w:b/>
          <w:i/>
          <w:sz w:val="22"/>
          <w:szCs w:val="22"/>
        </w:rPr>
        <w:t>28 MIL MILLONES de pesos tirados a la basura por la candidata del PRIAN Teresa Jiménez</w:t>
      </w:r>
      <w:r>
        <w:rPr>
          <w:rFonts w:ascii="Arial" w:eastAsia="Arial" w:hAnsi="Arial" w:cs="Arial"/>
          <w:i/>
          <w:sz w:val="22"/>
          <w:szCs w:val="22"/>
        </w:rPr>
        <w:t xml:space="preserve">.” </w:t>
      </w:r>
    </w:p>
    <w:p w14:paraId="1C8A5251" w14:textId="77777777" w:rsidR="005B0C78" w:rsidRDefault="005B0C78" w:rsidP="00233ED4">
      <w:pPr>
        <w:pBdr>
          <w:top w:val="nil"/>
          <w:left w:val="nil"/>
          <w:bottom w:val="nil"/>
          <w:right w:val="nil"/>
          <w:between w:val="nil"/>
        </w:pBdr>
        <w:tabs>
          <w:tab w:val="left" w:pos="7797"/>
        </w:tabs>
        <w:ind w:left="1276" w:right="1750"/>
        <w:jc w:val="both"/>
        <w:rPr>
          <w:rFonts w:ascii="Arial" w:eastAsia="Arial" w:hAnsi="Arial" w:cs="Arial"/>
          <w:sz w:val="22"/>
          <w:szCs w:val="22"/>
        </w:rPr>
      </w:pPr>
    </w:p>
    <w:p w14:paraId="0184AD58" w14:textId="77777777" w:rsidR="005B0C78" w:rsidRDefault="00F66729" w:rsidP="00233ED4">
      <w:pPr>
        <w:pBdr>
          <w:top w:val="nil"/>
          <w:left w:val="nil"/>
          <w:bottom w:val="nil"/>
          <w:right w:val="nil"/>
          <w:between w:val="nil"/>
        </w:pBdr>
        <w:tabs>
          <w:tab w:val="left" w:pos="7797"/>
        </w:tabs>
        <w:ind w:left="1276" w:right="1750"/>
        <w:jc w:val="both"/>
        <w:rPr>
          <w:rFonts w:ascii="Arial" w:eastAsia="Arial" w:hAnsi="Arial" w:cs="Arial"/>
          <w:i/>
          <w:sz w:val="22"/>
          <w:szCs w:val="22"/>
        </w:rPr>
      </w:pPr>
      <w:r>
        <w:rPr>
          <w:rFonts w:ascii="Arial" w:eastAsia="Arial" w:hAnsi="Arial" w:cs="Arial"/>
          <w:sz w:val="22"/>
          <w:szCs w:val="22"/>
        </w:rPr>
        <w:lastRenderedPageBreak/>
        <w:t>CONTENIDO DEL VIDEO:</w:t>
      </w:r>
      <w:r>
        <w:rPr>
          <w:rFonts w:ascii="Arial" w:eastAsia="Arial" w:hAnsi="Arial" w:cs="Arial"/>
          <w:i/>
          <w:sz w:val="22"/>
          <w:szCs w:val="22"/>
        </w:rPr>
        <w:t xml:space="preserve"> “Vine a conocer otro de los </w:t>
      </w:r>
      <w:r>
        <w:rPr>
          <w:rFonts w:ascii="Arial" w:eastAsia="Arial" w:hAnsi="Arial" w:cs="Arial"/>
          <w:b/>
          <w:i/>
          <w:sz w:val="22"/>
          <w:szCs w:val="22"/>
        </w:rPr>
        <w:t>emblemas de la corrupción de Teresa Jiménez</w:t>
      </w:r>
      <w:r>
        <w:rPr>
          <w:rFonts w:ascii="Arial" w:eastAsia="Arial" w:hAnsi="Arial" w:cs="Arial"/>
          <w:i/>
          <w:sz w:val="22"/>
          <w:szCs w:val="22"/>
        </w:rPr>
        <w:t xml:space="preserve">, </w:t>
      </w:r>
      <w:r>
        <w:rPr>
          <w:rFonts w:ascii="Arial" w:eastAsia="Arial" w:hAnsi="Arial" w:cs="Arial"/>
          <w:b/>
          <w:i/>
          <w:sz w:val="22"/>
          <w:szCs w:val="22"/>
        </w:rPr>
        <w:t>el parque de energía solar que no produce energía</w:t>
      </w:r>
      <w:r>
        <w:rPr>
          <w:rFonts w:ascii="Arial" w:eastAsia="Arial" w:hAnsi="Arial" w:cs="Arial"/>
          <w:i/>
          <w:sz w:val="22"/>
          <w:szCs w:val="22"/>
        </w:rPr>
        <w:t>. [...]</w:t>
      </w:r>
    </w:p>
    <w:p w14:paraId="59FABA1F" w14:textId="77777777" w:rsidR="005B0C78" w:rsidRDefault="00F66729" w:rsidP="00233ED4">
      <w:pPr>
        <w:tabs>
          <w:tab w:val="left" w:pos="7797"/>
        </w:tabs>
        <w:ind w:left="1276" w:right="1750"/>
        <w:jc w:val="both"/>
        <w:rPr>
          <w:rFonts w:ascii="Arial" w:eastAsia="Arial" w:hAnsi="Arial" w:cs="Arial"/>
          <w:sz w:val="22"/>
          <w:szCs w:val="22"/>
        </w:rPr>
      </w:pPr>
      <w:r>
        <w:rPr>
          <w:rFonts w:ascii="Arial" w:eastAsia="Arial" w:hAnsi="Arial" w:cs="Arial"/>
          <w:sz w:val="22"/>
          <w:szCs w:val="22"/>
        </w:rPr>
        <w:t>Teresa Jiménez, te lo digo de frente, las cuentas no te cuadran.</w:t>
      </w:r>
      <w:r>
        <w:rPr>
          <w:rFonts w:ascii="Arial" w:eastAsia="Arial" w:hAnsi="Arial" w:cs="Arial"/>
          <w:b/>
          <w:sz w:val="22"/>
          <w:szCs w:val="22"/>
        </w:rPr>
        <w:t xml:space="preserve"> Este proyecto que le entregaste a tu amiga Jovita Morín</w:t>
      </w:r>
      <w:r>
        <w:rPr>
          <w:rFonts w:ascii="Arial" w:eastAsia="Arial" w:hAnsi="Arial" w:cs="Arial"/>
          <w:sz w:val="22"/>
          <w:szCs w:val="22"/>
        </w:rPr>
        <w:t>, accionista de Next Energy, nos costó veintiocho mil millones de pesos, cuando generar electricidad por treinta años sólo cuesta cuatrocientos veinte millones.</w:t>
      </w:r>
    </w:p>
    <w:p w14:paraId="02C3171A" w14:textId="77777777" w:rsidR="005B0C78" w:rsidRDefault="00F66729" w:rsidP="00233ED4">
      <w:pPr>
        <w:tabs>
          <w:tab w:val="left" w:pos="7797"/>
        </w:tabs>
        <w:ind w:left="1276" w:right="1750"/>
        <w:jc w:val="both"/>
        <w:rPr>
          <w:rFonts w:ascii="Arial" w:eastAsia="Arial" w:hAnsi="Arial" w:cs="Arial"/>
          <w:color w:val="555555"/>
          <w:sz w:val="22"/>
          <w:szCs w:val="22"/>
        </w:rPr>
      </w:pPr>
      <w:r>
        <w:rPr>
          <w:rFonts w:ascii="Arial" w:eastAsia="Arial" w:hAnsi="Arial" w:cs="Arial"/>
          <w:sz w:val="22"/>
          <w:szCs w:val="22"/>
        </w:rPr>
        <w:t>La corrupción engendra más corrupción. [...]</w:t>
      </w:r>
      <w:r>
        <w:rPr>
          <w:rFonts w:ascii="Arial" w:eastAsia="Arial" w:hAnsi="Arial" w:cs="Arial"/>
          <w:color w:val="000000"/>
          <w:sz w:val="22"/>
          <w:szCs w:val="22"/>
        </w:rPr>
        <w:t>”</w:t>
      </w:r>
    </w:p>
    <w:p w14:paraId="323B3397" w14:textId="77777777" w:rsidR="00233ED4" w:rsidRPr="00233ED4" w:rsidRDefault="00233ED4">
      <w:pPr>
        <w:spacing w:before="240" w:after="240" w:line="360" w:lineRule="auto"/>
        <w:ind w:right="40"/>
        <w:jc w:val="both"/>
        <w:rPr>
          <w:rFonts w:ascii="Arial" w:eastAsia="Arial" w:hAnsi="Arial" w:cs="Arial"/>
          <w:b/>
        </w:rPr>
      </w:pPr>
    </w:p>
    <w:p w14:paraId="1159E53D" w14:textId="4C45F0FF" w:rsidR="005B0C78" w:rsidRDefault="00F66729">
      <w:pPr>
        <w:spacing w:before="240" w:after="240" w:line="360" w:lineRule="auto"/>
        <w:ind w:right="40"/>
        <w:jc w:val="both"/>
        <w:rPr>
          <w:rFonts w:ascii="Arial" w:eastAsia="Arial" w:hAnsi="Arial" w:cs="Arial"/>
          <w:b/>
          <w:sz w:val="24"/>
          <w:szCs w:val="24"/>
        </w:rPr>
      </w:pPr>
      <w:r>
        <w:rPr>
          <w:rFonts w:ascii="Arial" w:eastAsia="Arial" w:hAnsi="Arial" w:cs="Arial"/>
          <w:b/>
          <w:sz w:val="24"/>
          <w:szCs w:val="24"/>
        </w:rPr>
        <w:t>3. Valoración</w:t>
      </w:r>
    </w:p>
    <w:p w14:paraId="40BC0FC2"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a partir de una análisis contextual en el cual surgieron las expresiones cuestionadas, es posible concluir que, distinto a lo que refiere la parte denunciante, </w:t>
      </w:r>
      <w:r>
        <w:rPr>
          <w:rFonts w:ascii="Arial" w:eastAsia="Arial" w:hAnsi="Arial" w:cs="Arial"/>
          <w:b/>
          <w:sz w:val="24"/>
          <w:szCs w:val="24"/>
        </w:rPr>
        <w:t>tales comentarios</w:t>
      </w:r>
      <w:r>
        <w:rPr>
          <w:rFonts w:ascii="Arial" w:eastAsia="Arial" w:hAnsi="Arial" w:cs="Arial"/>
          <w:sz w:val="24"/>
          <w:szCs w:val="24"/>
        </w:rPr>
        <w:t xml:space="preserve"> </w:t>
      </w:r>
      <w:r>
        <w:rPr>
          <w:rFonts w:ascii="Arial" w:eastAsia="Arial" w:hAnsi="Arial" w:cs="Arial"/>
          <w:b/>
          <w:sz w:val="24"/>
          <w:szCs w:val="24"/>
        </w:rPr>
        <w:t xml:space="preserve">no constituyeron calumnia </w:t>
      </w:r>
      <w:r>
        <w:rPr>
          <w:rFonts w:ascii="Arial" w:eastAsia="Arial" w:hAnsi="Arial" w:cs="Arial"/>
          <w:sz w:val="24"/>
          <w:szCs w:val="24"/>
        </w:rPr>
        <w:t xml:space="preserve">en contra del partido político denunciante ni de su candidata, pues no se logró advertir la existencia de una imputación de un delito o hecho falso atribuido a tales sujetos, sino que de tal análisis, es posible asumir que </w:t>
      </w:r>
      <w:r>
        <w:rPr>
          <w:rFonts w:ascii="Arial" w:eastAsia="Arial" w:hAnsi="Arial" w:cs="Arial"/>
          <w:b/>
          <w:sz w:val="24"/>
          <w:szCs w:val="24"/>
        </w:rPr>
        <w:t>se trataron de críticas dirigidas a temas que forman parte de la gestión pública</w:t>
      </w:r>
      <w:r>
        <w:rPr>
          <w:rFonts w:ascii="Arial" w:eastAsia="Arial" w:hAnsi="Arial" w:cs="Arial"/>
          <w:sz w:val="24"/>
          <w:szCs w:val="24"/>
        </w:rPr>
        <w:t xml:space="preserve"> que, a su vez, se encuentran permitidas en el contexto del debate político, por lo cual no fue posible acreditar el elemento objetivo que exige la infracción de calumnia.</w:t>
      </w:r>
    </w:p>
    <w:p w14:paraId="09B5519B"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t xml:space="preserve">De ahí que, con independencia de que la parte denunciada no hubiese contado con algún sustento probatorio para emitir tales opiniones y críticas, ello no es motivo para acreditar la malicia efectiva -elemento subjetivo-, pues, como ya se refirió, el hecho de que se trataran de </w:t>
      </w:r>
      <w:r>
        <w:rPr>
          <w:rFonts w:ascii="Arial" w:eastAsia="Arial" w:hAnsi="Arial" w:cs="Arial"/>
          <w:b/>
          <w:sz w:val="24"/>
          <w:szCs w:val="24"/>
        </w:rPr>
        <w:t>críticas severas en contra del supuesto manejo de recursos públicos de la candidata</w:t>
      </w:r>
      <w:r>
        <w:rPr>
          <w:rFonts w:ascii="Arial" w:eastAsia="Arial" w:hAnsi="Arial" w:cs="Arial"/>
          <w:sz w:val="24"/>
          <w:szCs w:val="24"/>
        </w:rPr>
        <w:t xml:space="preserve"> denunciante cuando fungió como gobernante, en particular, el parque de energía solar, demuestra que se trató de un tema que forma parte del interés público.</w:t>
      </w:r>
    </w:p>
    <w:p w14:paraId="0C086FC5"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al tratarse de temáticas relacionadas con la transparencia, rendición de cuentas y lucha contra la corrupción de las y los servidores públicos, quienes cuentan con un </w:t>
      </w:r>
      <w:r>
        <w:rPr>
          <w:rFonts w:ascii="Arial" w:eastAsia="Arial" w:hAnsi="Arial" w:cs="Arial"/>
          <w:b/>
          <w:sz w:val="24"/>
          <w:szCs w:val="24"/>
        </w:rPr>
        <w:t>margen de tolerancia más amplio</w:t>
      </w:r>
      <w:r>
        <w:rPr>
          <w:rFonts w:ascii="Arial" w:eastAsia="Arial" w:hAnsi="Arial" w:cs="Arial"/>
          <w:sz w:val="24"/>
          <w:szCs w:val="24"/>
        </w:rPr>
        <w:t>, de ahí que tales expresiones se encuentren permitidas por el derecho a la libertad de expresión en materia político electoral.</w:t>
      </w:r>
    </w:p>
    <w:p w14:paraId="3AB47E7B"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t xml:space="preserve">Al respecto, debe tomarse en cuenta que de acuerdo a la línea jurisprudencial emitida por la SCJN y reiterada por la Sala Superior, para analizar los hechos que posiblemente puedan constituir calumnia, es necesario estudiarlos a través de los elementos siguientes: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i/>
          <w:sz w:val="24"/>
          <w:szCs w:val="24"/>
        </w:rPr>
        <w:t>personal</w:t>
      </w:r>
      <w:r>
        <w:rPr>
          <w:rFonts w:ascii="Arial" w:eastAsia="Arial" w:hAnsi="Arial" w:cs="Arial"/>
          <w:b/>
          <w:sz w:val="24"/>
          <w:szCs w:val="24"/>
        </w:rPr>
        <w:t>:</w:t>
      </w:r>
      <w:r>
        <w:rPr>
          <w:rFonts w:ascii="Arial" w:eastAsia="Arial" w:hAnsi="Arial" w:cs="Arial"/>
          <w:sz w:val="24"/>
          <w:szCs w:val="24"/>
        </w:rPr>
        <w:t xml:space="preserve"> entendido como el sujeto que fue denunciado -sólo pueden ser sancionados por calumnia electoral los partidos políticos, coaliciones y </w:t>
      </w:r>
      <w:r>
        <w:rPr>
          <w:rFonts w:ascii="Arial" w:eastAsia="Arial" w:hAnsi="Arial" w:cs="Arial"/>
          <w:b/>
          <w:sz w:val="24"/>
          <w:szCs w:val="24"/>
          <w:u w:val="single"/>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w:t>
      </w:r>
      <w:r>
        <w:rPr>
          <w:rFonts w:ascii="Arial" w:eastAsia="Arial" w:hAnsi="Arial" w:cs="Arial"/>
          <w:b/>
          <w:sz w:val="24"/>
          <w:szCs w:val="24"/>
        </w:rPr>
        <w:t xml:space="preserve">objetivo: </w:t>
      </w:r>
      <w:r>
        <w:rPr>
          <w:rFonts w:ascii="Arial" w:eastAsia="Arial" w:hAnsi="Arial" w:cs="Arial"/>
          <w:sz w:val="24"/>
          <w:szCs w:val="24"/>
        </w:rPr>
        <w:t xml:space="preserve">es decir, que exista la imputación de algún hecho o delito falso y, </w:t>
      </w:r>
      <w:r>
        <w:rPr>
          <w:rFonts w:ascii="Arial" w:eastAsia="Arial" w:hAnsi="Arial" w:cs="Arial"/>
          <w:b/>
          <w:i/>
          <w:sz w:val="24"/>
          <w:szCs w:val="24"/>
        </w:rPr>
        <w:t xml:space="preserve">c) </w:t>
      </w:r>
      <w:r>
        <w:rPr>
          <w:rFonts w:ascii="Arial" w:eastAsia="Arial" w:hAnsi="Arial" w:cs="Arial"/>
          <w:b/>
          <w:sz w:val="24"/>
          <w:szCs w:val="24"/>
        </w:rPr>
        <w:t>subjetivo:</w:t>
      </w:r>
      <w:r>
        <w:rPr>
          <w:rFonts w:ascii="Arial" w:eastAsia="Arial" w:hAnsi="Arial" w:cs="Arial"/>
          <w:sz w:val="24"/>
          <w:szCs w:val="24"/>
        </w:rPr>
        <w:t xml:space="preserve"> a sabiendas que el hecho o delito que se imputa es falso.</w:t>
      </w:r>
    </w:p>
    <w:p w14:paraId="39650B14"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lastRenderedPageBreak/>
        <w:t>Ante ello, si bien en el presente caso se logró acreditar el elemento personal de la infracción en cuestión, ya que es un hecho no controvertido que a quien se le atribuye la imputación de calumnia es a la candidata Nora Ruvalcaba Gámez, quien es postulada por Morena para el proceso electoral (2021-2022) en el que se renovará la gubernatura de Aguascalientes.</w:t>
      </w:r>
    </w:p>
    <w:p w14:paraId="7466C24C" w14:textId="77777777" w:rsidR="005B0C78" w:rsidRDefault="00F66729">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No obstante, también es cierto que, como ya se adelantó, </w:t>
      </w:r>
      <w:r>
        <w:rPr>
          <w:rFonts w:ascii="Arial" w:eastAsia="Arial" w:hAnsi="Arial" w:cs="Arial"/>
          <w:b/>
          <w:sz w:val="24"/>
          <w:szCs w:val="24"/>
        </w:rPr>
        <w:t>el elemento objetivo</w:t>
      </w:r>
      <w:r>
        <w:rPr>
          <w:rFonts w:ascii="Arial" w:eastAsia="Arial" w:hAnsi="Arial" w:cs="Arial"/>
          <w:sz w:val="24"/>
          <w:szCs w:val="24"/>
        </w:rPr>
        <w:t xml:space="preserve"> que exige la imputación de algún hecho o delito falso, </w:t>
      </w:r>
      <w:r>
        <w:rPr>
          <w:rFonts w:ascii="Arial" w:eastAsia="Arial" w:hAnsi="Arial" w:cs="Arial"/>
          <w:b/>
          <w:sz w:val="24"/>
          <w:szCs w:val="24"/>
        </w:rPr>
        <w:t>no se acreditó</w:t>
      </w:r>
      <w:r>
        <w:rPr>
          <w:rFonts w:ascii="Arial" w:eastAsia="Arial" w:hAnsi="Arial" w:cs="Arial"/>
          <w:sz w:val="24"/>
          <w:szCs w:val="24"/>
        </w:rPr>
        <w:t xml:space="preserve">, pues además de que los comentarios que se cuestionan no contienen tal imputación -delito o hecho falso-, también debe tomarse en cuenta que </w:t>
      </w:r>
      <w:r>
        <w:rPr>
          <w:rFonts w:ascii="Arial" w:eastAsia="Arial" w:hAnsi="Arial" w:cs="Arial"/>
          <w:b/>
          <w:sz w:val="24"/>
          <w:szCs w:val="24"/>
        </w:rPr>
        <w:t>las expresiones únicamente estuvieron encaminadas en cuestionar acciones concretas de la administración pública municipal.</w:t>
      </w:r>
    </w:p>
    <w:p w14:paraId="2538DB1E" w14:textId="77777777" w:rsidR="005B0C78" w:rsidRDefault="00F6672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es así, porque del análisis contextual de tal mensaje es posible identificar que se trató de una publicación en las redes sociales de Facebook y Twitter, con el encabezado siguiente: </w:t>
      </w:r>
      <w:r>
        <w:rPr>
          <w:rFonts w:ascii="Arial" w:eastAsia="Arial" w:hAnsi="Arial" w:cs="Arial"/>
          <w:i/>
          <w:sz w:val="22"/>
          <w:szCs w:val="22"/>
        </w:rPr>
        <w:t xml:space="preserve">“Hoy el PAN pide paneles solares gratuitos, claro, para seguir llenándose los bolsillos. Para muestra Aguascalientes y </w:t>
      </w:r>
      <w:r>
        <w:rPr>
          <w:rFonts w:ascii="Arial" w:eastAsia="Arial" w:hAnsi="Arial" w:cs="Arial"/>
          <w:b/>
          <w:i/>
          <w:sz w:val="22"/>
          <w:szCs w:val="22"/>
        </w:rPr>
        <w:t>28 MIL MILLONES de pesos tirados a la basura por la candidata del PRIAN Teresa Jiménez</w:t>
      </w:r>
      <w:r>
        <w:rPr>
          <w:rFonts w:ascii="Arial" w:eastAsia="Arial" w:hAnsi="Arial" w:cs="Arial"/>
          <w:i/>
          <w:sz w:val="22"/>
          <w:szCs w:val="22"/>
        </w:rPr>
        <w:t>.”</w:t>
      </w:r>
    </w:p>
    <w:p w14:paraId="113ACAF8" w14:textId="77777777" w:rsidR="005B0C78" w:rsidRDefault="00F6672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del contenido del video se advierte que, en esencia, las expresiones más severas son: </w:t>
      </w:r>
      <w:r>
        <w:rPr>
          <w:rFonts w:ascii="Arial" w:eastAsia="Arial" w:hAnsi="Arial" w:cs="Arial"/>
          <w:b/>
          <w:i/>
          <w:sz w:val="24"/>
          <w:szCs w:val="24"/>
        </w:rPr>
        <w:t>i)</w:t>
      </w:r>
      <w:r>
        <w:rPr>
          <w:rFonts w:ascii="Arial" w:eastAsia="Arial" w:hAnsi="Arial" w:cs="Arial"/>
          <w:sz w:val="24"/>
          <w:szCs w:val="24"/>
        </w:rPr>
        <w:t xml:space="preserve"> </w:t>
      </w:r>
      <w:r>
        <w:rPr>
          <w:rFonts w:ascii="Arial" w:eastAsia="Arial" w:hAnsi="Arial" w:cs="Arial"/>
          <w:i/>
          <w:sz w:val="22"/>
          <w:szCs w:val="22"/>
        </w:rPr>
        <w:t xml:space="preserve">“Vine a conocer otro de los </w:t>
      </w:r>
      <w:r>
        <w:rPr>
          <w:rFonts w:ascii="Arial" w:eastAsia="Arial" w:hAnsi="Arial" w:cs="Arial"/>
          <w:b/>
          <w:i/>
          <w:sz w:val="22"/>
          <w:szCs w:val="22"/>
        </w:rPr>
        <w:t>emblemas de la corrupción de Teresa Jiménez</w:t>
      </w:r>
      <w:r>
        <w:rPr>
          <w:rFonts w:ascii="Arial" w:eastAsia="Arial" w:hAnsi="Arial" w:cs="Arial"/>
          <w:i/>
          <w:sz w:val="22"/>
          <w:szCs w:val="22"/>
        </w:rPr>
        <w:t xml:space="preserve">, </w:t>
      </w:r>
      <w:r>
        <w:rPr>
          <w:rFonts w:ascii="Arial" w:eastAsia="Arial" w:hAnsi="Arial" w:cs="Arial"/>
          <w:b/>
          <w:i/>
          <w:sz w:val="22"/>
          <w:szCs w:val="22"/>
        </w:rPr>
        <w:t>el parque de energía solar que no produce energía</w:t>
      </w:r>
      <w:r>
        <w:rPr>
          <w:rFonts w:ascii="Arial" w:eastAsia="Arial" w:hAnsi="Arial" w:cs="Arial"/>
          <w:i/>
          <w:sz w:val="22"/>
          <w:szCs w:val="22"/>
        </w:rPr>
        <w:t xml:space="preserve">”; </w:t>
      </w:r>
      <w:r>
        <w:rPr>
          <w:rFonts w:ascii="Arial" w:eastAsia="Arial" w:hAnsi="Arial" w:cs="Arial"/>
          <w:b/>
          <w:i/>
          <w:sz w:val="24"/>
          <w:szCs w:val="24"/>
        </w:rPr>
        <w:t>ii)</w:t>
      </w:r>
      <w:r>
        <w:rPr>
          <w:rFonts w:ascii="Arial" w:eastAsia="Arial" w:hAnsi="Arial" w:cs="Arial"/>
          <w:i/>
          <w:sz w:val="22"/>
          <w:szCs w:val="22"/>
        </w:rPr>
        <w:t xml:space="preserve"> “</w:t>
      </w:r>
      <w:r>
        <w:rPr>
          <w:rFonts w:ascii="Arial" w:eastAsia="Arial" w:hAnsi="Arial" w:cs="Arial"/>
          <w:sz w:val="22"/>
          <w:szCs w:val="22"/>
        </w:rPr>
        <w:t>Teresa Jiménez, te lo digo de frente, las cuentas no te cuadran.</w:t>
      </w:r>
      <w:r>
        <w:rPr>
          <w:rFonts w:ascii="Arial" w:eastAsia="Arial" w:hAnsi="Arial" w:cs="Arial"/>
          <w:b/>
          <w:sz w:val="22"/>
          <w:szCs w:val="22"/>
        </w:rPr>
        <w:t xml:space="preserve"> Este proyecto que le entregaste a tu amiga Jovita Morín</w:t>
      </w:r>
      <w:r>
        <w:rPr>
          <w:rFonts w:ascii="Arial" w:eastAsia="Arial" w:hAnsi="Arial" w:cs="Arial"/>
          <w:sz w:val="22"/>
          <w:szCs w:val="22"/>
        </w:rPr>
        <w:t>, accionista de Next Energy, nos costó veintiocho mil millones de pesos, cuando generar electricidad por treinta años sólo cuesta cuatrocientos veinte millones. La corrupción engendra más corrupción. [...]”</w:t>
      </w:r>
    </w:p>
    <w:p w14:paraId="178940FF"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t>Por lo expuesto, es posible concluir que tal publicación versó en una opinión de la candidata a partir de un testimonio en relación con el parque de energía solar que supuestamente implementó la administración pública municipal y, a su vez, cuestionó el gasto que conllevó su construcción y, por tanto, a su juicio, explica la poca eficiencia que tuvo el parque en relación con el supuesto presupuesto derogado.</w:t>
      </w:r>
    </w:p>
    <w:p w14:paraId="078F3342" w14:textId="77777777" w:rsidR="005B0C78" w:rsidRDefault="00F66729">
      <w:pPr>
        <w:spacing w:before="240" w:after="240" w:line="360" w:lineRule="auto"/>
        <w:jc w:val="both"/>
        <w:rPr>
          <w:rFonts w:ascii="Arial" w:eastAsia="Arial" w:hAnsi="Arial" w:cs="Arial"/>
          <w:sz w:val="24"/>
          <w:szCs w:val="24"/>
        </w:rPr>
      </w:pPr>
      <w:r>
        <w:rPr>
          <w:rFonts w:ascii="Arial" w:eastAsia="Arial" w:hAnsi="Arial" w:cs="Arial"/>
          <w:sz w:val="24"/>
          <w:szCs w:val="24"/>
        </w:rPr>
        <w:t>Esto, porque ha sido criterio de la Sala Superior que el material de propaganda que contenga críticas, opiniones o posicionamientos respecto a los partidos políticos, a sus candidaturas o gobiernos, implica un espectro de permisibilidad más amplio en relación al contenido y la intensidad del debate que se genere a consecuencia de tal discusión, pues este se incrementa cuando se trata de temas de carácter público y de interés general.</w:t>
      </w:r>
      <w:r>
        <w:rPr>
          <w:rFonts w:ascii="Arial" w:eastAsia="Arial" w:hAnsi="Arial" w:cs="Arial"/>
          <w:sz w:val="24"/>
          <w:szCs w:val="24"/>
          <w:vertAlign w:val="superscript"/>
        </w:rPr>
        <w:footnoteReference w:id="13"/>
      </w:r>
    </w:p>
    <w:p w14:paraId="1BAE1C6F" w14:textId="77777777" w:rsidR="005B0C78" w:rsidRDefault="00F6672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tal sentido, estimó que las críticas al desempeño del ejercicio de cargos públicos y logros de gobiernos se utilizan frecuentemente en los discursos políticos y, además, son críticas </w:t>
      </w:r>
      <w:r>
        <w:rPr>
          <w:rFonts w:ascii="Arial" w:eastAsia="Arial" w:hAnsi="Arial" w:cs="Arial"/>
          <w:sz w:val="24"/>
          <w:szCs w:val="24"/>
        </w:rPr>
        <w:lastRenderedPageBreak/>
        <w:t>válidas por parte de los partidos políticos entre sí, así como de los cargos públicos que desempeñan o desempeñaron sus contrincantes.</w:t>
      </w:r>
    </w:p>
    <w:p w14:paraId="01857D4F"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t xml:space="preserve">Así, ha señalado que </w:t>
      </w:r>
      <w:r>
        <w:rPr>
          <w:rFonts w:ascii="Arial" w:eastAsia="Arial" w:hAnsi="Arial" w:cs="Arial"/>
          <w:b/>
          <w:sz w:val="24"/>
          <w:szCs w:val="24"/>
        </w:rPr>
        <w:t>las opiniones o críticas</w:t>
      </w:r>
      <w:r>
        <w:rPr>
          <w:rFonts w:ascii="Arial" w:eastAsia="Arial" w:hAnsi="Arial" w:cs="Arial"/>
          <w:sz w:val="24"/>
          <w:szCs w:val="24"/>
        </w:rPr>
        <w:t xml:space="preserve"> de las o los contendientes de un proceso comicial, </w:t>
      </w:r>
      <w:r>
        <w:rPr>
          <w:rFonts w:ascii="Arial" w:eastAsia="Arial" w:hAnsi="Arial" w:cs="Arial"/>
          <w:b/>
          <w:sz w:val="24"/>
          <w:szCs w:val="24"/>
        </w:rPr>
        <w:t>no pueden ni deben desincentivarse</w:t>
      </w:r>
      <w:r>
        <w:rPr>
          <w:rFonts w:ascii="Arial" w:eastAsia="Arial" w:hAnsi="Arial" w:cs="Arial"/>
          <w:sz w:val="24"/>
          <w:szCs w:val="24"/>
        </w:rPr>
        <w:t>, sino que, por el contrario, deben permitirse con la finalidad de enriquecer el debate político respecto de temas de interés público, como en el caso lo son, la creación y operación de un proyecto de la candidata durante su pasada administración, particularmente, la creación de un parque eléctrico en el estado y, a su vez, el uso y destino de los recursos públicos que se emplearon para ello.</w:t>
      </w:r>
    </w:p>
    <w:p w14:paraId="7924EEE7"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t xml:space="preserve">De ahí que la discusión de dichas problemáticas encuentre </w:t>
      </w:r>
      <w:r>
        <w:rPr>
          <w:rFonts w:ascii="Arial" w:eastAsia="Arial" w:hAnsi="Arial" w:cs="Arial"/>
          <w:b/>
          <w:sz w:val="24"/>
          <w:szCs w:val="24"/>
        </w:rPr>
        <w:t>amparo en el derecho de la libertad de expresión</w:t>
      </w:r>
      <w:r>
        <w:rPr>
          <w:rFonts w:ascii="Arial" w:eastAsia="Arial" w:hAnsi="Arial" w:cs="Arial"/>
          <w:sz w:val="24"/>
          <w:szCs w:val="24"/>
        </w:rPr>
        <w:t xml:space="preserve">, tanto en su dimensión individual como colectiva, privilegiando, a su vez, el </w:t>
      </w:r>
      <w:r>
        <w:rPr>
          <w:rFonts w:ascii="Arial" w:eastAsia="Arial" w:hAnsi="Arial" w:cs="Arial"/>
          <w:b/>
          <w:sz w:val="24"/>
          <w:szCs w:val="24"/>
        </w:rPr>
        <w:t xml:space="preserve">derecho de la sociedad a recibir información </w:t>
      </w:r>
      <w:r>
        <w:rPr>
          <w:rFonts w:ascii="Arial" w:eastAsia="Arial" w:hAnsi="Arial" w:cs="Arial"/>
          <w:sz w:val="24"/>
          <w:szCs w:val="24"/>
        </w:rPr>
        <w:t>y enterarse de los cuestionamientos y posturas de los partidos políticos y candidaturas participantes en un proceso comicial hacia temas de interés general para la ciudadanía hidrocálida.</w:t>
      </w:r>
    </w:p>
    <w:p w14:paraId="18EDFE65" w14:textId="77777777" w:rsidR="005B0C78" w:rsidRDefault="00F66729">
      <w:pPr>
        <w:spacing w:before="240" w:after="240" w:line="360" w:lineRule="auto"/>
        <w:jc w:val="both"/>
        <w:rPr>
          <w:rFonts w:ascii="Arial" w:eastAsia="Arial" w:hAnsi="Arial" w:cs="Arial"/>
          <w:sz w:val="24"/>
          <w:szCs w:val="24"/>
        </w:rPr>
      </w:pPr>
      <w:r>
        <w:rPr>
          <w:rFonts w:ascii="Arial" w:eastAsia="Arial" w:hAnsi="Arial" w:cs="Arial"/>
          <w:sz w:val="24"/>
          <w:szCs w:val="24"/>
        </w:rPr>
        <w:t>Lo anterior, también encuadra dentro de las permisiones otorgadas a las y los sujetos políticos en cuanto a posibilidad de emitir propaganda no sólo propositiva, sino también de crítica y contraste de acciones de los gobiernos, lo cual, no puede considerarse como una afectación al debate público, sino que, por el contrario lo enriquece al permitir que la recurrente pueda refutar tales manifestaciones, permitiendo la formación de una opinión pública libre y, por ende, abona a una cultura democrática.</w:t>
      </w:r>
      <w:r>
        <w:rPr>
          <w:rFonts w:ascii="Arial" w:eastAsia="Arial" w:hAnsi="Arial" w:cs="Arial"/>
          <w:sz w:val="24"/>
          <w:szCs w:val="24"/>
          <w:vertAlign w:val="superscript"/>
        </w:rPr>
        <w:footnoteReference w:id="14"/>
      </w:r>
    </w:p>
    <w:p w14:paraId="7D452C0C" w14:textId="77777777" w:rsidR="005B0C78" w:rsidRDefault="00F66729">
      <w:pPr>
        <w:spacing w:before="240" w:line="360" w:lineRule="auto"/>
        <w:jc w:val="both"/>
        <w:rPr>
          <w:rFonts w:ascii="Arial" w:eastAsia="Arial" w:hAnsi="Arial" w:cs="Arial"/>
          <w:sz w:val="24"/>
          <w:szCs w:val="24"/>
        </w:rPr>
      </w:pPr>
      <w:r>
        <w:rPr>
          <w:rFonts w:ascii="Arial" w:eastAsia="Arial" w:hAnsi="Arial" w:cs="Arial"/>
          <w:sz w:val="24"/>
          <w:szCs w:val="24"/>
        </w:rPr>
        <w:t>No obstante, dicha Sala también ha establecido que se consideran temas de interés público aquellas opiniones emitidas sobre asuntos en los cuales la ciudadanía tiene un interés legítimo de mantenerse informada, de conocer lo que incide en el funcionamiento del Estado, o que afecta derechos e intereses generales que le acarrean consecuencias importantes.</w:t>
      </w:r>
      <w:r>
        <w:rPr>
          <w:rFonts w:ascii="Arial" w:eastAsia="Arial" w:hAnsi="Arial" w:cs="Arial"/>
          <w:sz w:val="24"/>
          <w:szCs w:val="24"/>
          <w:vertAlign w:val="superscript"/>
        </w:rPr>
        <w:footnoteReference w:id="15"/>
      </w:r>
      <w:r>
        <w:rPr>
          <w:rFonts w:ascii="Arial" w:eastAsia="Arial" w:hAnsi="Arial" w:cs="Arial"/>
          <w:sz w:val="24"/>
          <w:szCs w:val="24"/>
        </w:rPr>
        <w:t xml:space="preserve"> </w:t>
      </w:r>
    </w:p>
    <w:p w14:paraId="61B7D3E0" w14:textId="77777777" w:rsidR="005B0C78" w:rsidRDefault="00F66729">
      <w:pPr>
        <w:spacing w:before="240" w:after="240" w:line="360" w:lineRule="auto"/>
        <w:jc w:val="both"/>
        <w:rPr>
          <w:rFonts w:ascii="Arial" w:eastAsia="Arial" w:hAnsi="Arial" w:cs="Arial"/>
          <w:sz w:val="24"/>
          <w:szCs w:val="24"/>
        </w:rPr>
      </w:pPr>
      <w:r>
        <w:rPr>
          <w:rFonts w:ascii="Arial" w:eastAsia="Arial" w:hAnsi="Arial" w:cs="Arial"/>
          <w:sz w:val="24"/>
          <w:szCs w:val="24"/>
        </w:rPr>
        <w:t>Por tanto, este Tribunal Electoral concluye que las manifestaciones de opiniones y críticas dirigidas hacia un gobierno están amparadas por el derecho fundamental de la libertad de expresión, incluso si estas pudieran resultar chocantes, ofensivas, incómodas o perturbadoras, sin que puedan sujetarse a un parámetro de veracidad, dada su naturaleza (crítica o juicio de valor).</w:t>
      </w:r>
    </w:p>
    <w:p w14:paraId="64481A9B" w14:textId="6DEED253" w:rsidR="005B0C78" w:rsidRDefault="00F66729">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De ahí que sea posible asumir que, en el caso, </w:t>
      </w:r>
      <w:r>
        <w:rPr>
          <w:rFonts w:ascii="Arial" w:eastAsia="Arial" w:hAnsi="Arial" w:cs="Arial"/>
          <w:b/>
          <w:sz w:val="24"/>
          <w:szCs w:val="24"/>
        </w:rPr>
        <w:t>las manifestaciones denunciadas no tienen contenido calumnioso</w:t>
      </w:r>
      <w:r>
        <w:rPr>
          <w:rFonts w:ascii="Arial" w:eastAsia="Arial" w:hAnsi="Arial" w:cs="Arial"/>
          <w:sz w:val="24"/>
          <w:szCs w:val="24"/>
        </w:rPr>
        <w:t xml:space="preserve"> en perjuicio de la parte denunciante y, en consecuencia, es inexistente la infracción denunciada.</w:t>
      </w:r>
    </w:p>
    <w:p w14:paraId="09CFC372" w14:textId="77777777" w:rsidR="001A1762" w:rsidRPr="00000B6B" w:rsidRDefault="001A1762" w:rsidP="001A1762">
      <w:pPr>
        <w:spacing w:line="360" w:lineRule="auto"/>
        <w:jc w:val="both"/>
        <w:rPr>
          <w:rFonts w:ascii="Arial" w:eastAsia="Arial" w:hAnsi="Arial" w:cs="Arial"/>
          <w:sz w:val="24"/>
          <w:szCs w:val="24"/>
        </w:rPr>
      </w:pPr>
      <w:r>
        <w:rPr>
          <w:rFonts w:ascii="Arial" w:eastAsia="Arial" w:hAnsi="Arial" w:cs="Arial"/>
          <w:sz w:val="24"/>
          <w:szCs w:val="24"/>
        </w:rPr>
        <w:t>Ahora bien, e</w:t>
      </w:r>
      <w:r w:rsidRPr="00000B6B">
        <w:rPr>
          <w:rFonts w:ascii="Arial" w:eastAsia="Arial" w:hAnsi="Arial" w:cs="Arial"/>
          <w:sz w:val="24"/>
          <w:szCs w:val="24"/>
        </w:rPr>
        <w:t xml:space="preserve">n atención a la pretensión del promovente encaminada a demostrar que la calumnia es en perjuicio de la colación en su conjunto, debe tomarse en cuenta que el marco normativo en materia de calumnia establece como presupuesto procesal que para su presentación </w:t>
      </w:r>
      <w:r w:rsidRPr="00000B6B">
        <w:rPr>
          <w:rFonts w:ascii="Arial" w:eastAsia="Arial" w:hAnsi="Arial" w:cs="Arial"/>
          <w:b/>
          <w:bCs/>
          <w:sz w:val="24"/>
          <w:szCs w:val="24"/>
        </w:rPr>
        <w:t>debe comparecer la parte que se considera afectada</w:t>
      </w:r>
      <w:r w:rsidRPr="00000B6B">
        <w:rPr>
          <w:rFonts w:ascii="Arial" w:eastAsia="Arial" w:hAnsi="Arial" w:cs="Arial"/>
          <w:sz w:val="24"/>
          <w:szCs w:val="24"/>
        </w:rPr>
        <w:t xml:space="preserve">, por lo cual, en todo caso, debieron comparecer los partidos políticos coaligantes </w:t>
      </w:r>
      <w:r w:rsidRPr="00000B6B">
        <w:rPr>
          <w:rFonts w:ascii="Arial" w:eastAsia="Arial" w:hAnsi="Arial" w:cs="Arial"/>
          <w:b/>
          <w:bCs/>
          <w:sz w:val="24"/>
          <w:szCs w:val="24"/>
        </w:rPr>
        <w:t>en lo individual.</w:t>
      </w:r>
      <w:r w:rsidRPr="00000B6B">
        <w:rPr>
          <w:rFonts w:ascii="Arial" w:eastAsia="Arial" w:hAnsi="Arial" w:cs="Arial"/>
          <w:sz w:val="24"/>
          <w:szCs w:val="24"/>
        </w:rPr>
        <w:t xml:space="preserve"> </w:t>
      </w:r>
    </w:p>
    <w:p w14:paraId="0289AE6E" w14:textId="77777777" w:rsidR="001A1762" w:rsidRDefault="001A1762" w:rsidP="001A1762">
      <w:pPr>
        <w:pStyle w:val="Sinespaciado"/>
        <w:rPr>
          <w:rFonts w:eastAsia="Arial"/>
        </w:rPr>
      </w:pPr>
    </w:p>
    <w:p w14:paraId="76F56668" w14:textId="77777777" w:rsidR="001A1762" w:rsidRPr="00000B6B" w:rsidRDefault="001A1762" w:rsidP="001A1762">
      <w:pPr>
        <w:spacing w:line="360" w:lineRule="auto"/>
        <w:jc w:val="both"/>
        <w:rPr>
          <w:rFonts w:ascii="Arial" w:eastAsia="Arial" w:hAnsi="Arial" w:cs="Arial"/>
          <w:sz w:val="24"/>
          <w:szCs w:val="24"/>
        </w:rPr>
      </w:pPr>
      <w:r w:rsidRPr="00000B6B">
        <w:rPr>
          <w:rFonts w:ascii="Arial" w:eastAsia="Arial" w:hAnsi="Arial" w:cs="Arial"/>
          <w:sz w:val="24"/>
          <w:szCs w:val="24"/>
        </w:rPr>
        <w:t xml:space="preserve">Asimismo, debe tomarse en cuenta que la Sala Superior ha sostenido que los partidos políticos sí tienen legitimación activa para cuestionar la calumnia en contra de las candidaturas que postulan en atención al estrecho vínculo que existe entre estos. </w:t>
      </w:r>
    </w:p>
    <w:p w14:paraId="3F66A9AE" w14:textId="77777777" w:rsidR="001A1762" w:rsidRDefault="001A1762" w:rsidP="001A1762">
      <w:pPr>
        <w:pStyle w:val="Sinespaciado"/>
        <w:rPr>
          <w:rFonts w:eastAsia="Arial"/>
        </w:rPr>
      </w:pPr>
    </w:p>
    <w:p w14:paraId="7E07BC4D" w14:textId="0FB189FB" w:rsidR="001A1762" w:rsidRDefault="001A1762" w:rsidP="001A1762">
      <w:pPr>
        <w:spacing w:line="360" w:lineRule="auto"/>
        <w:jc w:val="both"/>
        <w:rPr>
          <w:rFonts w:ascii="Arial" w:eastAsia="Arial" w:hAnsi="Arial" w:cs="Arial"/>
          <w:sz w:val="24"/>
          <w:szCs w:val="24"/>
        </w:rPr>
      </w:pPr>
      <w:r w:rsidRPr="00000B6B">
        <w:rPr>
          <w:rFonts w:ascii="Arial" w:eastAsia="Arial" w:hAnsi="Arial" w:cs="Arial"/>
          <w:sz w:val="24"/>
          <w:szCs w:val="24"/>
        </w:rPr>
        <w:t>De ahí que no sea viable acreditar la calumnia en contra de la coalición en conjunto, sino que como se explicó, el análisis debe hacerse en lo individual, tal y como se aborda en el desarrollo de la presente resolución.</w:t>
      </w:r>
    </w:p>
    <w:p w14:paraId="3D318B2B" w14:textId="77777777" w:rsidR="005B0C78" w:rsidRDefault="00F66729">
      <w:pPr>
        <w:numPr>
          <w:ilvl w:val="0"/>
          <w:numId w:val="5"/>
        </w:numPr>
        <w:pBdr>
          <w:top w:val="nil"/>
          <w:left w:val="nil"/>
          <w:bottom w:val="nil"/>
          <w:right w:val="nil"/>
          <w:between w:val="nil"/>
        </w:pBdr>
        <w:spacing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Culpa in vigilando.</w:t>
      </w:r>
      <w:r>
        <w:rPr>
          <w:rFonts w:ascii="Arial" w:eastAsia="Arial" w:hAnsi="Arial" w:cs="Arial"/>
          <w:color w:val="000000"/>
          <w:sz w:val="24"/>
          <w:szCs w:val="24"/>
        </w:rPr>
        <w:t xml:space="preserve"> </w:t>
      </w:r>
      <w:r>
        <w:rPr>
          <w:rFonts w:ascii="Arial" w:eastAsia="Arial" w:hAnsi="Arial" w:cs="Arial"/>
          <w:sz w:val="24"/>
          <w:szCs w:val="24"/>
        </w:rPr>
        <w:t>Este órgano jurisdiccional estima que, dado que no se acreditó la infracción denunciada en contra de la candidata a la gubernatura del estado, Nora Ruvalcaba Gómez, debe desestimarse la responsabilidad imputada a Morena.</w:t>
      </w:r>
    </w:p>
    <w:p w14:paraId="30B4C8D0" w14:textId="77777777" w:rsidR="005B0C78" w:rsidRDefault="00F66729">
      <w:pPr>
        <w:spacing w:line="360" w:lineRule="auto"/>
        <w:jc w:val="center"/>
        <w:rPr>
          <w:rFonts w:ascii="Arial" w:eastAsia="Arial" w:hAnsi="Arial" w:cs="Arial"/>
          <w:b/>
          <w:sz w:val="24"/>
          <w:szCs w:val="24"/>
        </w:rPr>
      </w:pPr>
      <w:r>
        <w:rPr>
          <w:rFonts w:ascii="Arial" w:eastAsia="Arial" w:hAnsi="Arial" w:cs="Arial"/>
          <w:b/>
          <w:sz w:val="24"/>
          <w:szCs w:val="24"/>
        </w:rPr>
        <w:t>VI. Resolutivos:</w:t>
      </w:r>
    </w:p>
    <w:p w14:paraId="2288A563" w14:textId="77777777" w:rsidR="005B0C78" w:rsidRDefault="005B0C78">
      <w:pPr>
        <w:pBdr>
          <w:top w:val="nil"/>
          <w:left w:val="nil"/>
          <w:bottom w:val="nil"/>
          <w:right w:val="nil"/>
          <w:between w:val="nil"/>
        </w:pBdr>
        <w:rPr>
          <w:color w:val="000000"/>
        </w:rPr>
      </w:pPr>
    </w:p>
    <w:p w14:paraId="6F3D87ED" w14:textId="77777777" w:rsidR="005B0C78" w:rsidRDefault="00F66729">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declara la </w:t>
      </w:r>
      <w:r>
        <w:rPr>
          <w:rFonts w:ascii="Arial" w:eastAsia="Arial" w:hAnsi="Arial" w:cs="Arial"/>
          <w:b/>
          <w:sz w:val="24"/>
          <w:szCs w:val="24"/>
        </w:rPr>
        <w:t xml:space="preserve">inexistencia </w:t>
      </w:r>
      <w:r>
        <w:rPr>
          <w:rFonts w:ascii="Arial" w:eastAsia="Arial" w:hAnsi="Arial" w:cs="Arial"/>
          <w:sz w:val="24"/>
          <w:szCs w:val="24"/>
        </w:rPr>
        <w:t>de</w:t>
      </w:r>
      <w:r>
        <w:rPr>
          <w:rFonts w:ascii="Arial" w:eastAsia="Arial" w:hAnsi="Arial" w:cs="Arial"/>
          <w:b/>
          <w:sz w:val="24"/>
          <w:szCs w:val="24"/>
        </w:rPr>
        <w:t xml:space="preserve"> </w:t>
      </w:r>
      <w:r>
        <w:rPr>
          <w:rFonts w:ascii="Arial" w:eastAsia="Arial" w:hAnsi="Arial" w:cs="Arial"/>
          <w:sz w:val="24"/>
          <w:szCs w:val="24"/>
        </w:rPr>
        <w:t>la infracción atribuida a Nora Ruvalcaba Gámez.</w:t>
      </w:r>
    </w:p>
    <w:p w14:paraId="26947B72" w14:textId="77777777" w:rsidR="005B0C78" w:rsidRDefault="005B0C78">
      <w:pPr>
        <w:pBdr>
          <w:top w:val="nil"/>
          <w:left w:val="nil"/>
          <w:bottom w:val="nil"/>
          <w:right w:val="nil"/>
          <w:between w:val="nil"/>
        </w:pBdr>
        <w:rPr>
          <w:color w:val="000000"/>
        </w:rPr>
      </w:pPr>
    </w:p>
    <w:p w14:paraId="29509111" w14:textId="77777777" w:rsidR="005B0C78" w:rsidRDefault="00F66729">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12DA0C0D" w14:textId="77777777" w:rsidR="005B0C78" w:rsidRDefault="005B0C78">
      <w:pPr>
        <w:pBdr>
          <w:top w:val="nil"/>
          <w:left w:val="nil"/>
          <w:bottom w:val="nil"/>
          <w:right w:val="nil"/>
          <w:between w:val="nil"/>
        </w:pBdr>
        <w:rPr>
          <w:color w:val="000000"/>
        </w:rPr>
      </w:pPr>
    </w:p>
    <w:p w14:paraId="520CFE27" w14:textId="052768B8" w:rsidR="005B0C78" w:rsidRDefault="00F66729" w:rsidP="001A1762">
      <w:pPr>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577EF72F" w14:textId="77777777" w:rsidR="005B0C78" w:rsidRDefault="005B0C78">
      <w:pPr>
        <w:pBdr>
          <w:top w:val="nil"/>
          <w:left w:val="nil"/>
          <w:bottom w:val="nil"/>
          <w:right w:val="nil"/>
          <w:between w:val="nil"/>
        </w:pBdr>
        <w:rPr>
          <w:color w:val="000000"/>
        </w:rPr>
      </w:pPr>
    </w:p>
    <w:p w14:paraId="3CDD97D2" w14:textId="77777777" w:rsidR="005B0C78" w:rsidRDefault="00F66729">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en funciones que lo integran, ante el Secretario General de Acuerdos, quien autoriza y da fe.</w:t>
      </w:r>
    </w:p>
    <w:p w14:paraId="1C1633A6" w14:textId="77777777" w:rsidR="005B0C78" w:rsidRDefault="005B0C78">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1AC83169" w14:textId="77777777" w:rsidR="005B0C78" w:rsidRDefault="005B0C78">
      <w:pPr>
        <w:pBdr>
          <w:top w:val="nil"/>
          <w:left w:val="nil"/>
          <w:bottom w:val="nil"/>
          <w:right w:val="nil"/>
          <w:between w:val="nil"/>
        </w:pBdr>
        <w:rPr>
          <w:color w:val="000000"/>
        </w:rPr>
      </w:pPr>
    </w:p>
    <w:tbl>
      <w:tblPr>
        <w:tblStyle w:val="ae"/>
        <w:tblW w:w="9120" w:type="dxa"/>
        <w:jc w:val="center"/>
        <w:tblInd w:w="0" w:type="dxa"/>
        <w:tblLayout w:type="fixed"/>
        <w:tblLook w:val="0400" w:firstRow="0" w:lastRow="0" w:firstColumn="0" w:lastColumn="0" w:noHBand="0" w:noVBand="1"/>
      </w:tblPr>
      <w:tblGrid>
        <w:gridCol w:w="4559"/>
        <w:gridCol w:w="4561"/>
      </w:tblGrid>
      <w:tr w:rsidR="005B0C78" w14:paraId="00DA8DE9" w14:textId="77777777">
        <w:trPr>
          <w:trHeight w:val="1211"/>
          <w:jc w:val="center"/>
        </w:trPr>
        <w:tc>
          <w:tcPr>
            <w:tcW w:w="9120" w:type="dxa"/>
            <w:gridSpan w:val="2"/>
          </w:tcPr>
          <w:p w14:paraId="0D1C5546" w14:textId="77777777" w:rsidR="005B0C78" w:rsidRDefault="00F66729">
            <w:pPr>
              <w:spacing w:line="360" w:lineRule="auto"/>
              <w:jc w:val="center"/>
              <w:rPr>
                <w:rFonts w:ascii="Arial" w:eastAsia="Arial" w:hAnsi="Arial" w:cs="Arial"/>
                <w:b/>
                <w:color w:val="000000"/>
                <w:sz w:val="24"/>
                <w:szCs w:val="24"/>
              </w:rPr>
            </w:pPr>
            <w:bookmarkStart w:id="5" w:name="_heading=h.3znysh7" w:colFirst="0" w:colLast="0"/>
            <w:bookmarkEnd w:id="5"/>
            <w:r>
              <w:rPr>
                <w:rFonts w:ascii="Arial" w:eastAsia="Arial" w:hAnsi="Arial" w:cs="Arial"/>
                <w:b/>
                <w:color w:val="000000"/>
                <w:sz w:val="24"/>
                <w:szCs w:val="24"/>
              </w:rPr>
              <w:t>MAGISTRADA PRESIDENTA</w:t>
            </w:r>
          </w:p>
          <w:p w14:paraId="130026E3" w14:textId="77777777" w:rsidR="005B0C78" w:rsidRDefault="005B0C78">
            <w:pPr>
              <w:pBdr>
                <w:top w:val="nil"/>
                <w:left w:val="nil"/>
                <w:bottom w:val="nil"/>
                <w:right w:val="nil"/>
                <w:between w:val="nil"/>
              </w:pBdr>
              <w:rPr>
                <w:color w:val="000000"/>
                <w:sz w:val="24"/>
                <w:szCs w:val="24"/>
              </w:rPr>
            </w:pPr>
          </w:p>
          <w:p w14:paraId="07E09EBF" w14:textId="77777777" w:rsidR="005B0C78" w:rsidRDefault="00F6672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4F36B56A" w14:textId="77777777" w:rsidR="005B0C78" w:rsidRDefault="005B0C78">
            <w:pPr>
              <w:spacing w:line="360" w:lineRule="auto"/>
              <w:jc w:val="center"/>
              <w:rPr>
                <w:rFonts w:ascii="Arial" w:eastAsia="Arial" w:hAnsi="Arial" w:cs="Arial"/>
                <w:b/>
                <w:color w:val="000000"/>
                <w:sz w:val="24"/>
                <w:szCs w:val="24"/>
              </w:rPr>
            </w:pPr>
          </w:p>
        </w:tc>
      </w:tr>
      <w:tr w:rsidR="005B0C78" w14:paraId="0734C667" w14:textId="77777777">
        <w:trPr>
          <w:trHeight w:val="1549"/>
          <w:jc w:val="center"/>
        </w:trPr>
        <w:tc>
          <w:tcPr>
            <w:tcW w:w="4559" w:type="dxa"/>
          </w:tcPr>
          <w:p w14:paraId="5B82D46C" w14:textId="77777777" w:rsidR="005B0C78" w:rsidRDefault="00F6672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lastRenderedPageBreak/>
              <w:t>MAGISTRADA</w:t>
            </w:r>
          </w:p>
          <w:p w14:paraId="451C1697" w14:textId="77777777" w:rsidR="005B0C78" w:rsidRDefault="005B0C78">
            <w:pPr>
              <w:pBdr>
                <w:top w:val="nil"/>
                <w:left w:val="nil"/>
                <w:bottom w:val="nil"/>
                <w:right w:val="nil"/>
                <w:between w:val="nil"/>
              </w:pBdr>
              <w:rPr>
                <w:color w:val="000000"/>
                <w:sz w:val="24"/>
                <w:szCs w:val="24"/>
              </w:rPr>
            </w:pPr>
          </w:p>
          <w:p w14:paraId="619B7E9D" w14:textId="77777777" w:rsidR="005B0C78" w:rsidRDefault="00F66729">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5552C1F" w14:textId="77777777" w:rsidR="005B0C78" w:rsidRDefault="00F66729">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4F8A67FE" w14:textId="77777777" w:rsidR="005B0C78" w:rsidRDefault="00F6672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0BC46719" w14:textId="77777777" w:rsidR="005B0C78" w:rsidRDefault="005B0C78">
            <w:pPr>
              <w:rPr>
                <w:sz w:val="28"/>
                <w:szCs w:val="28"/>
              </w:rPr>
            </w:pPr>
          </w:p>
          <w:p w14:paraId="08B3EC2C" w14:textId="77777777" w:rsidR="005B0C78" w:rsidRDefault="00F66729">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79780F66" w14:textId="77777777" w:rsidR="005B0C78" w:rsidRDefault="00F66729">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0DF3BDD5" w14:textId="77777777" w:rsidR="005B0C78" w:rsidRDefault="005B0C78">
            <w:pPr>
              <w:jc w:val="center"/>
              <w:rPr>
                <w:rFonts w:ascii="Arial" w:eastAsia="Arial" w:hAnsi="Arial" w:cs="Arial"/>
                <w:b/>
                <w:color w:val="000000"/>
                <w:sz w:val="24"/>
                <w:szCs w:val="24"/>
              </w:rPr>
            </w:pPr>
          </w:p>
          <w:p w14:paraId="5AC65EEE" w14:textId="77777777" w:rsidR="005B0C78" w:rsidRDefault="005B0C78">
            <w:pPr>
              <w:rPr>
                <w:sz w:val="24"/>
                <w:szCs w:val="24"/>
              </w:rPr>
            </w:pPr>
          </w:p>
        </w:tc>
      </w:tr>
      <w:tr w:rsidR="005B0C78" w14:paraId="1093CE03" w14:textId="77777777">
        <w:trPr>
          <w:jc w:val="center"/>
        </w:trPr>
        <w:tc>
          <w:tcPr>
            <w:tcW w:w="9120" w:type="dxa"/>
            <w:gridSpan w:val="2"/>
          </w:tcPr>
          <w:p w14:paraId="0EAC0D27" w14:textId="77777777" w:rsidR="005B0C78" w:rsidRDefault="00F6672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79813954" w14:textId="77777777" w:rsidR="005B0C78" w:rsidRDefault="005B0C78">
            <w:pPr>
              <w:pBdr>
                <w:top w:val="nil"/>
                <w:left w:val="nil"/>
                <w:bottom w:val="nil"/>
                <w:right w:val="nil"/>
                <w:between w:val="nil"/>
              </w:pBdr>
              <w:rPr>
                <w:color w:val="000000"/>
                <w:sz w:val="24"/>
                <w:szCs w:val="24"/>
              </w:rPr>
            </w:pPr>
          </w:p>
          <w:p w14:paraId="6D813324" w14:textId="77777777" w:rsidR="005B0C78" w:rsidRDefault="00F6672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11530C27" w14:textId="77777777" w:rsidR="005B0C78" w:rsidRDefault="005B0C78">
      <w:pPr>
        <w:spacing w:line="360" w:lineRule="auto"/>
        <w:rPr>
          <w:rFonts w:ascii="Arial" w:eastAsia="Arial" w:hAnsi="Arial" w:cs="Arial"/>
          <w:sz w:val="24"/>
          <w:szCs w:val="24"/>
        </w:rPr>
      </w:pPr>
    </w:p>
    <w:p w14:paraId="3A05FD73" w14:textId="77777777" w:rsidR="005B0C78" w:rsidRDefault="005B0C78">
      <w:pPr>
        <w:spacing w:before="240" w:after="240" w:line="360" w:lineRule="auto"/>
        <w:jc w:val="both"/>
        <w:rPr>
          <w:highlight w:val="yellow"/>
        </w:rPr>
      </w:pPr>
    </w:p>
    <w:sectPr w:rsidR="005B0C78">
      <w:headerReference w:type="even" r:id="rId21"/>
      <w:headerReference w:type="default" r:id="rId22"/>
      <w:footerReference w:type="even" r:id="rId23"/>
      <w:footerReference w:type="default" r:id="rId24"/>
      <w:headerReference w:type="first" r:id="rId25"/>
      <w:footerReference w:type="first" r:id="rId26"/>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A3F15" w14:textId="77777777" w:rsidR="005420BD" w:rsidRDefault="005420BD">
      <w:r>
        <w:separator/>
      </w:r>
    </w:p>
  </w:endnote>
  <w:endnote w:type="continuationSeparator" w:id="0">
    <w:p w14:paraId="4114E986" w14:textId="77777777" w:rsidR="005420BD" w:rsidRDefault="00542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B7F7D" w14:textId="77777777" w:rsidR="005B0C78" w:rsidRDefault="005B0C7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740EB" w14:textId="77777777" w:rsidR="005B0C78" w:rsidRDefault="005B0C78">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F226" w14:textId="77777777" w:rsidR="005B0C78" w:rsidRDefault="005B0C7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442EF" w14:textId="77777777" w:rsidR="005420BD" w:rsidRDefault="005420BD">
      <w:r>
        <w:separator/>
      </w:r>
    </w:p>
  </w:footnote>
  <w:footnote w:type="continuationSeparator" w:id="0">
    <w:p w14:paraId="3294E069" w14:textId="77777777" w:rsidR="005420BD" w:rsidRDefault="005420BD">
      <w:r>
        <w:continuationSeparator/>
      </w:r>
    </w:p>
  </w:footnote>
  <w:footnote w:id="1">
    <w:p w14:paraId="06169593" w14:textId="77777777" w:rsidR="005B0C78" w:rsidRDefault="00F66729">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2B74D12A" w14:textId="77777777" w:rsidR="005B0C78" w:rsidRDefault="00F66729">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3B890AE8" w14:textId="77777777" w:rsidR="005B0C78" w:rsidRDefault="00F66729">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1374272C" w14:textId="77777777" w:rsidR="005B0C78" w:rsidRDefault="00F66729">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6A0F81FF" w14:textId="77777777" w:rsidR="005B0C78" w:rsidRDefault="00F66729">
      <w:pPr>
        <w:jc w:val="both"/>
        <w:rPr>
          <w:rFonts w:ascii="Arial" w:eastAsia="Arial" w:hAnsi="Arial" w:cs="Arial"/>
        </w:rPr>
      </w:pPr>
      <w:r>
        <w:rPr>
          <w:vertAlign w:val="superscript"/>
        </w:rPr>
        <w:footnoteRef/>
      </w:r>
      <w:r>
        <w:rPr>
          <w:rFonts w:ascii="Arial" w:eastAsia="Arial" w:hAnsi="Arial" w:cs="Arial"/>
        </w:rPr>
        <w:t xml:space="preserve"> Véase la resolución SUP-AG-142/2021. </w:t>
      </w:r>
    </w:p>
  </w:footnote>
  <w:footnote w:id="6">
    <w:p w14:paraId="6FFB0A9F" w14:textId="77777777" w:rsidR="005B0C78" w:rsidRDefault="00F66729">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0CD360B0" w14:textId="77777777" w:rsidR="005B0C78" w:rsidRDefault="00F66729">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2430FB35" w14:textId="77777777" w:rsidR="005B0C78" w:rsidRDefault="00F66729">
      <w:pPr>
        <w:jc w:val="both"/>
        <w:rPr>
          <w:rFonts w:ascii="Arial" w:eastAsia="Arial" w:hAnsi="Arial" w:cs="Arial"/>
        </w:rPr>
      </w:pPr>
      <w:r>
        <w:rPr>
          <w:rFonts w:ascii="Arial" w:eastAsia="Arial" w:hAnsi="Arial" w:cs="Arial"/>
        </w:rPr>
        <w:t>III. El denunciante no aporte ni ofrezca prueba alguna de sus dichos; […]</w:t>
      </w:r>
    </w:p>
    <w:p w14:paraId="0621EDBC" w14:textId="77777777" w:rsidR="005B0C78" w:rsidRDefault="00F66729">
      <w:pPr>
        <w:jc w:val="both"/>
        <w:rPr>
          <w:rFonts w:ascii="Arial" w:eastAsia="Arial" w:hAnsi="Arial" w:cs="Arial"/>
        </w:rPr>
      </w:pPr>
      <w:r>
        <w:rPr>
          <w:rFonts w:ascii="Arial" w:eastAsia="Arial" w:hAnsi="Arial" w:cs="Arial"/>
        </w:rPr>
        <w:t>V. La denuncia sea evidentemente frívola. […]</w:t>
      </w:r>
    </w:p>
    <w:p w14:paraId="5EA9F1BA" w14:textId="77777777" w:rsidR="005B0C78" w:rsidRDefault="005B0C78">
      <w:pPr>
        <w:rPr>
          <w:rFonts w:ascii="Arial" w:eastAsia="Arial" w:hAnsi="Arial" w:cs="Arial"/>
        </w:rPr>
      </w:pPr>
    </w:p>
  </w:footnote>
  <w:footnote w:id="7">
    <w:p w14:paraId="38AB61C2" w14:textId="77777777" w:rsidR="005B0C78" w:rsidRDefault="00F66729">
      <w:pPr>
        <w:pBdr>
          <w:top w:val="nil"/>
          <w:left w:val="nil"/>
          <w:bottom w:val="nil"/>
          <w:right w:val="nil"/>
          <w:between w:val="nil"/>
        </w:pBdr>
        <w:jc w:val="both"/>
        <w:rPr>
          <w:rFonts w:ascii="Arial" w:eastAsia="Arial" w:hAnsi="Arial" w:cs="Arial"/>
          <w:i/>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 xml:space="preserve">Prueba técnica: </w:t>
      </w:r>
      <w:r>
        <w:rPr>
          <w:rFonts w:ascii="Arial" w:eastAsia="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21D22C9D" w14:textId="77777777" w:rsidR="005B0C78" w:rsidRDefault="00F66729">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17065469" w14:textId="77777777" w:rsidR="005B0C78" w:rsidRDefault="00F66729">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68E0FDA9" w14:textId="77777777" w:rsidR="005B0C78" w:rsidRDefault="005B0C78">
      <w:pPr>
        <w:pBdr>
          <w:top w:val="nil"/>
          <w:left w:val="nil"/>
          <w:bottom w:val="nil"/>
          <w:right w:val="nil"/>
          <w:between w:val="nil"/>
        </w:pBdr>
        <w:rPr>
          <w:rFonts w:ascii="Arial" w:eastAsia="Arial" w:hAnsi="Arial" w:cs="Arial"/>
          <w:color w:val="000000"/>
        </w:rPr>
      </w:pPr>
    </w:p>
  </w:footnote>
  <w:footnote w:id="8">
    <w:p w14:paraId="1A701B1B" w14:textId="77777777" w:rsidR="005B0C78" w:rsidRDefault="00F66729">
      <w:pPr>
        <w:jc w:val="both"/>
        <w:rPr>
          <w:rFonts w:ascii="Arial" w:eastAsia="Arial" w:hAnsi="Arial" w:cs="Arial"/>
        </w:rPr>
      </w:pPr>
      <w:r>
        <w:rPr>
          <w:vertAlign w:val="superscript"/>
        </w:rPr>
        <w:footnoteRef/>
      </w:r>
      <w:r>
        <w:rPr>
          <w:rFonts w:ascii="Arial" w:eastAsia="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9">
    <w:p w14:paraId="59CCA510" w14:textId="77777777" w:rsidR="005B0C78" w:rsidRDefault="00F66729">
      <w:pPr>
        <w:jc w:val="both"/>
        <w:rPr>
          <w:rFonts w:ascii="Arial" w:eastAsia="Arial" w:hAnsi="Arial" w:cs="Arial"/>
        </w:rPr>
      </w:pPr>
      <w:r>
        <w:rPr>
          <w:vertAlign w:val="superscript"/>
        </w:rPr>
        <w:footnoteRef/>
      </w:r>
      <w:r>
        <w:rPr>
          <w:rFonts w:ascii="Arial" w:eastAsia="Arial" w:hAnsi="Arial" w:cs="Arial"/>
        </w:rPr>
        <w:t xml:space="preserve"> Apartado C. En la propaganda política o electoral que difundan los partidos y candidatos deberán abstenerse de expresiones que calumnien a las personas</w:t>
      </w:r>
    </w:p>
  </w:footnote>
  <w:footnote w:id="10">
    <w:p w14:paraId="1AE530E1" w14:textId="77777777" w:rsidR="005B0C78" w:rsidRDefault="00F66729">
      <w:pPr>
        <w:jc w:val="both"/>
        <w:rPr>
          <w:rFonts w:ascii="Arial" w:eastAsia="Arial" w:hAnsi="Arial" w:cs="Arial"/>
        </w:rPr>
      </w:pPr>
      <w:r>
        <w:rPr>
          <w:vertAlign w:val="superscript"/>
        </w:rPr>
        <w:footnoteRef/>
      </w:r>
      <w:r>
        <w:rPr>
          <w:rFonts w:ascii="Arial" w:eastAsia="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1">
    <w:p w14:paraId="6590E7F3" w14:textId="77777777" w:rsidR="005B0C78" w:rsidRDefault="00F66729">
      <w:pPr>
        <w:jc w:val="both"/>
      </w:pPr>
      <w:r>
        <w:rPr>
          <w:vertAlign w:val="superscript"/>
        </w:rPr>
        <w:footnoteRef/>
      </w:r>
      <w:r>
        <w:rPr>
          <w:rFonts w:ascii="Arial" w:eastAsia="Arial" w:hAnsi="Arial" w:cs="Arial"/>
        </w:rPr>
        <w:t xml:space="preserve"> Véase la resolución de la Acción de Inconstitucionalidad 64/2015 y sus acumuladas 65/2015, 66/2015, 68/2015 y 70/2015 (Ley de Instituciones y Procedimientos Electorales del Estado de Sinaloa), y la resolución de la Acción de Inconstitucionalidad 129/2015 y sus acumuladas 130/2015, 131/2015, 132/2015, 133/2015 y 137/2015 (Ley Electoral del estado de Quintana Roo.)</w:t>
      </w:r>
    </w:p>
  </w:footnote>
  <w:footnote w:id="12">
    <w:p w14:paraId="031F48AC" w14:textId="77777777" w:rsidR="005B0C78" w:rsidRDefault="00F66729">
      <w:r>
        <w:rPr>
          <w:vertAlign w:val="superscript"/>
        </w:rPr>
        <w:footnoteRef/>
      </w:r>
      <w:r>
        <w:t xml:space="preserve"> </w:t>
      </w:r>
      <w:r>
        <w:rPr>
          <w:rFonts w:ascii="Arial" w:eastAsia="Arial" w:hAnsi="Arial" w:cs="Arial"/>
        </w:rPr>
        <w:t>Véase el asunto SUP-REP-042/2018.</w:t>
      </w:r>
    </w:p>
  </w:footnote>
  <w:footnote w:id="13">
    <w:p w14:paraId="62339778" w14:textId="77777777" w:rsidR="005B0C78" w:rsidRDefault="00F66729" w:rsidP="001A1762">
      <w:pPr>
        <w:jc w:val="both"/>
      </w:pPr>
      <w:r>
        <w:rPr>
          <w:vertAlign w:val="superscript"/>
        </w:rPr>
        <w:footnoteRef/>
      </w:r>
      <w:r>
        <w:t xml:space="preserve"> </w:t>
      </w:r>
      <w:r w:rsidRPr="001A1762">
        <w:rPr>
          <w:rFonts w:ascii="Arial" w:hAnsi="Arial" w:cs="Arial"/>
        </w:rPr>
        <w:t>Véase la sentencia SUP-REP-290/2022.</w:t>
      </w:r>
    </w:p>
  </w:footnote>
  <w:footnote w:id="14">
    <w:p w14:paraId="7046BE25" w14:textId="77777777" w:rsidR="005B0C78" w:rsidRPr="001A1762" w:rsidRDefault="00F66729" w:rsidP="001A1762">
      <w:pPr>
        <w:jc w:val="both"/>
        <w:rPr>
          <w:rFonts w:ascii="Arial" w:hAnsi="Arial" w:cs="Arial"/>
        </w:rPr>
      </w:pPr>
      <w:r w:rsidRPr="001A1762">
        <w:rPr>
          <w:rFonts w:ascii="Arial" w:hAnsi="Arial" w:cs="Arial"/>
          <w:vertAlign w:val="superscript"/>
        </w:rPr>
        <w:footnoteRef/>
      </w:r>
      <w:r w:rsidRPr="001A1762">
        <w:rPr>
          <w:rFonts w:ascii="Arial" w:hAnsi="Arial" w:cs="Arial"/>
        </w:rPr>
        <w:t xml:space="preserve"> Véase la sentencia </w:t>
      </w:r>
      <w:r w:rsidRPr="001A1762">
        <w:rPr>
          <w:rFonts w:ascii="Arial" w:eastAsia="Arial" w:hAnsi="Arial" w:cs="Arial"/>
          <w:highlight w:val="white"/>
        </w:rPr>
        <w:t>SUP-REP</w:t>
      </w:r>
      <w:r w:rsidRPr="001A1762">
        <w:rPr>
          <w:rFonts w:ascii="Arial" w:eastAsia="Arial" w:hAnsi="Arial" w:cs="Arial"/>
        </w:rPr>
        <w:t>-213/2022.</w:t>
      </w:r>
    </w:p>
  </w:footnote>
  <w:footnote w:id="15">
    <w:p w14:paraId="64F98355" w14:textId="77777777" w:rsidR="005B0C78" w:rsidRDefault="00F66729" w:rsidP="001A1762">
      <w:pPr>
        <w:jc w:val="both"/>
      </w:pPr>
      <w:r w:rsidRPr="001A1762">
        <w:rPr>
          <w:rFonts w:ascii="Arial" w:hAnsi="Arial" w:cs="Arial"/>
          <w:vertAlign w:val="superscript"/>
        </w:rPr>
        <w:footnoteRef/>
      </w:r>
      <w:r w:rsidRPr="001A1762">
        <w:rPr>
          <w:rFonts w:ascii="Arial" w:hAnsi="Arial" w:cs="Arial"/>
        </w:rPr>
        <w:t xml:space="preserve"> Véase la sentencia </w:t>
      </w:r>
      <w:r w:rsidRPr="001A1762">
        <w:rPr>
          <w:rFonts w:ascii="Arial" w:eastAsia="Arial" w:hAnsi="Arial" w:cs="Arial"/>
          <w:highlight w:val="white"/>
        </w:rPr>
        <w:t>SUP-</w:t>
      </w:r>
      <w:r w:rsidRPr="001A1762">
        <w:rPr>
          <w:rFonts w:ascii="Arial" w:hAnsi="Arial" w:cs="Arial"/>
        </w:rPr>
        <w:t>REP-303/2022.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4DD06" w14:textId="13ED922B" w:rsidR="005B0C78" w:rsidRDefault="005420BD">
    <w:pPr>
      <w:pBdr>
        <w:top w:val="nil"/>
        <w:left w:val="nil"/>
        <w:bottom w:val="nil"/>
        <w:right w:val="nil"/>
        <w:between w:val="nil"/>
      </w:pBdr>
      <w:tabs>
        <w:tab w:val="center" w:pos="4419"/>
        <w:tab w:val="right" w:pos="8838"/>
      </w:tabs>
      <w:rPr>
        <w:color w:val="000000"/>
      </w:rPr>
    </w:pPr>
    <w:r>
      <w:rPr>
        <w:noProof/>
      </w:rPr>
      <w:pict w14:anchorId="6698ED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830485"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F66729">
      <w:rPr>
        <w:noProof/>
        <w:color w:val="000000"/>
      </w:rPr>
      <mc:AlternateContent>
        <mc:Choice Requires="wps">
          <w:drawing>
            <wp:anchor distT="0" distB="0" distL="0" distR="0" simplePos="0" relativeHeight="251658240" behindDoc="1" locked="0" layoutInCell="1" hidden="0" allowOverlap="1" wp14:anchorId="1A80E795" wp14:editId="5E410C14">
              <wp:simplePos x="0" y="0"/>
              <wp:positionH relativeFrom="margin">
                <wp:align>center</wp:align>
              </wp:positionH>
              <wp:positionV relativeFrom="margin">
                <wp:align>center</wp:align>
              </wp:positionV>
              <wp:extent cx="63784586" cy="63784586"/>
              <wp:effectExtent l="0" t="0" r="0" b="0"/>
              <wp:wrapNone/>
              <wp:docPr id="86" name="Rectángulo 86"/>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7AE0B74E" w14:textId="77777777" w:rsidR="005B0C78" w:rsidRDefault="00F66729">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1A80E795" id="Rectángulo 86" o:spid="_x0000_s1026" style="position:absolute;margin-left:0;margin-top:0;width:5022.4pt;height:5022.4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" filled="f" stroked="f">
              <v:textbox inset="2.53958mm,2.53958mm,2.53958mm,2.53958mm">
                <w:txbxContent>
                  <w:p w14:paraId="7AE0B74E" w14:textId="77777777" w:rsidR="005B0C78" w:rsidRDefault="00F66729">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54D2" w14:textId="22897D5C" w:rsidR="005B0C78" w:rsidRDefault="005420BD">
    <w:pPr>
      <w:pBdr>
        <w:top w:val="nil"/>
        <w:left w:val="nil"/>
        <w:bottom w:val="nil"/>
        <w:right w:val="nil"/>
        <w:between w:val="nil"/>
      </w:pBdr>
      <w:tabs>
        <w:tab w:val="center" w:pos="4419"/>
        <w:tab w:val="right" w:pos="8838"/>
      </w:tabs>
    </w:pPr>
    <w:r>
      <w:rPr>
        <w:noProof/>
      </w:rPr>
      <w:pict w14:anchorId="1EC5BA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830486"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536089494"/>
      <w:docPartObj>
        <w:docPartGallery w:val="Page Numbers (Margins)"/>
        <w:docPartUnique/>
      </w:docPartObj>
    </w:sdtPr>
    <w:sdtEndPr/>
    <w:sdtContent>
      <w:p w14:paraId="7786B088" w14:textId="77777777" w:rsidR="005B0C78" w:rsidRDefault="00233ED4">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24779918" wp14:editId="53C6C6A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B39029D" w14:textId="77777777" w:rsidR="00233ED4" w:rsidRDefault="00233ED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79918"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B39029D" w14:textId="77777777" w:rsidR="00233ED4" w:rsidRDefault="00233ED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03BBF381" w14:textId="77777777" w:rsidR="005B0C78" w:rsidRDefault="005B0C78">
    <w:pPr>
      <w:pBdr>
        <w:top w:val="nil"/>
        <w:left w:val="nil"/>
        <w:bottom w:val="nil"/>
        <w:right w:val="nil"/>
        <w:between w:val="nil"/>
      </w:pBdr>
      <w:tabs>
        <w:tab w:val="center" w:pos="4419"/>
        <w:tab w:val="right" w:pos="8838"/>
      </w:tabs>
    </w:pPr>
  </w:p>
  <w:p w14:paraId="5C794F0A" w14:textId="77777777" w:rsidR="005B0C78" w:rsidRDefault="005B0C78">
    <w:pPr>
      <w:pBdr>
        <w:top w:val="nil"/>
        <w:left w:val="nil"/>
        <w:bottom w:val="nil"/>
        <w:right w:val="nil"/>
        <w:between w:val="nil"/>
      </w:pBdr>
      <w:tabs>
        <w:tab w:val="center" w:pos="4419"/>
        <w:tab w:val="right" w:pos="8838"/>
      </w:tabs>
    </w:pPr>
  </w:p>
  <w:p w14:paraId="34DA0ECC" w14:textId="77777777" w:rsidR="005B0C78" w:rsidRDefault="00F66729">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00794A04" wp14:editId="48191A66">
          <wp:extent cx="995527" cy="1154534"/>
          <wp:effectExtent l="0" t="0" r="0" b="0"/>
          <wp:docPr id="9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D4ED" w14:textId="3988D5EA" w:rsidR="005B0C78" w:rsidRDefault="005420BD">
    <w:pPr>
      <w:pBdr>
        <w:top w:val="nil"/>
        <w:left w:val="nil"/>
        <w:bottom w:val="nil"/>
        <w:right w:val="nil"/>
        <w:between w:val="nil"/>
      </w:pBdr>
      <w:tabs>
        <w:tab w:val="center" w:pos="4419"/>
        <w:tab w:val="right" w:pos="8838"/>
      </w:tabs>
      <w:rPr>
        <w:color w:val="000000"/>
      </w:rPr>
    </w:pPr>
    <w:r>
      <w:rPr>
        <w:noProof/>
      </w:rPr>
      <w:pict w14:anchorId="794079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830484"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1F21"/>
    <w:multiLevelType w:val="multilevel"/>
    <w:tmpl w:val="E940F840"/>
    <w:lvl w:ilvl="0">
      <w:start w:val="1"/>
      <w:numFmt w:val="bullet"/>
      <w:lvlText w:val="⮚"/>
      <w:lvlJc w:val="left"/>
      <w:pPr>
        <w:ind w:left="72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B50823"/>
    <w:multiLevelType w:val="multilevel"/>
    <w:tmpl w:val="9BEE8680"/>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2" w15:restartNumberingAfterBreak="0">
    <w:nsid w:val="496A341A"/>
    <w:multiLevelType w:val="multilevel"/>
    <w:tmpl w:val="2368D1E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5E482F3B"/>
    <w:multiLevelType w:val="multilevel"/>
    <w:tmpl w:val="6DD2A812"/>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903947"/>
    <w:multiLevelType w:val="multilevel"/>
    <w:tmpl w:val="433CA6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FA850B5"/>
    <w:multiLevelType w:val="multilevel"/>
    <w:tmpl w:val="C89A5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59480485">
    <w:abstractNumId w:val="5"/>
  </w:num>
  <w:num w:numId="2" w16cid:durableId="279993270">
    <w:abstractNumId w:val="1"/>
  </w:num>
  <w:num w:numId="3" w16cid:durableId="785660855">
    <w:abstractNumId w:val="3"/>
  </w:num>
  <w:num w:numId="4" w16cid:durableId="625432920">
    <w:abstractNumId w:val="2"/>
  </w:num>
  <w:num w:numId="5" w16cid:durableId="1277909517">
    <w:abstractNumId w:val="0"/>
  </w:num>
  <w:num w:numId="6" w16cid:durableId="664281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C78"/>
    <w:rsid w:val="001A1762"/>
    <w:rsid w:val="00233ED4"/>
    <w:rsid w:val="0034307A"/>
    <w:rsid w:val="004C6905"/>
    <w:rsid w:val="005420BD"/>
    <w:rsid w:val="005B0C78"/>
    <w:rsid w:val="00E069C7"/>
    <w:rsid w:val="00F667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C5DC0"/>
  <w15:docId w15:val="{7D239657-36D4-4C2D-9F21-0BC97EF8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DEE"/>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inespaciado">
    <w:name w:val="No Spacing"/>
    <w:uiPriority w:val="1"/>
    <w:qFormat/>
    <w:rsid w:val="00A56DE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56DEE"/>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A56DEE"/>
    <w:rPr>
      <w:rFonts w:ascii="Times New Roman" w:eastAsia="Times New Roman" w:hAnsi="Times New Roman" w:cs="Times New Roman"/>
      <w:sz w:val="20"/>
      <w:szCs w:val="20"/>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A56DEE"/>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A56DEE"/>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A56DEE"/>
    <w:rPr>
      <w:vertAlign w:val="superscript"/>
    </w:rPr>
  </w:style>
  <w:style w:type="table" w:customStyle="1" w:styleId="Tabladecuadrcula4-nfasis31">
    <w:name w:val="Tabla de cuadrícula 4 - Énfasis 31"/>
    <w:basedOn w:val="Tablanormal"/>
    <w:next w:val="Tablaconcuadrcula4-nfasis3"/>
    <w:uiPriority w:val="49"/>
    <w:rsid w:val="00A56DEE"/>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56DEE"/>
    <w:pPr>
      <w:jc w:val="both"/>
    </w:pPr>
    <w:rPr>
      <w:rFonts w:asciiTheme="minorHAnsi" w:eastAsiaTheme="minorHAnsi" w:hAnsiTheme="minorHAnsi" w:cstheme="minorBidi"/>
      <w:sz w:val="22"/>
      <w:szCs w:val="22"/>
      <w:vertAlign w:val="superscript"/>
      <w:lang w:eastAsia="en-US"/>
    </w:rPr>
  </w:style>
  <w:style w:type="table" w:styleId="Tablaconcuadrcula4-nfasis3">
    <w:name w:val="Grid Table 4 Accent 3"/>
    <w:basedOn w:val="Tablanormal"/>
    <w:uiPriority w:val="49"/>
    <w:rsid w:val="00A56DE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
    <w:name w:val="Hyperlink"/>
    <w:basedOn w:val="Fuentedeprrafopredeter"/>
    <w:uiPriority w:val="99"/>
    <w:unhideWhenUsed/>
    <w:rsid w:val="00A57704"/>
    <w:rPr>
      <w:color w:val="0563C1" w:themeColor="hyperlink"/>
      <w:u w:val="single"/>
    </w:rPr>
  </w:style>
  <w:style w:type="character" w:styleId="Mencinsinresolver">
    <w:name w:val="Unresolved Mention"/>
    <w:basedOn w:val="Fuentedeprrafopredeter"/>
    <w:uiPriority w:val="99"/>
    <w:semiHidden/>
    <w:unhideWhenUsed/>
    <w:rsid w:val="00A5770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1"/>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1"/>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1"/>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1"/>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1"/>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d">
    <w:basedOn w:val="TableNormal0"/>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www.facebook.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facebook.com/noraruvalcabamx/video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veaVtTP5/Q00d3aByLhljhvzl6A==">AMUW2mXHMYvS8TvATTgbvbApOkDrjv4m2r4Kxgbbb+xEStCcO7iTk/QMPxt6JcfawQeANX76ch6MiYCIsTzl4JVlOt/YjUT0B1bkgWv/Hb+wNW/gvJSt2tm3r++1eZ3mTW+0SfgmeNoHaky36K+Fig68meTeNWCw5WS2s0I2JHNXw+JWxbx97fhcZUwk0ajf5o4VgNiNzqRkgFoHI5uKEzvU9Ux03p4D1Q==</go:docsCustomData>
</go:gDocsCustomXmlDataStorage>
</file>

<file path=customXml/itemProps1.xml><?xml version="1.0" encoding="utf-8"?>
<ds:datastoreItem xmlns:ds="http://schemas.openxmlformats.org/officeDocument/2006/customXml" ds:itemID="{2786516B-CDAC-4D09-A50A-1830A84C4F1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4494</Words>
  <Characters>24720</Characters>
  <Application>Microsoft Office Word</Application>
  <DocSecurity>0</DocSecurity>
  <Lines>206</Lines>
  <Paragraphs>58</Paragraphs>
  <ScaleCrop>false</ScaleCrop>
  <Company/>
  <LinksUpToDate>false</LinksUpToDate>
  <CharactersWithSpaces>29156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TEEA-LAP-ONE</dc:creator>
  <cp:lastModifiedBy>Secretario Gral</cp:lastModifiedBy>
  <cp:revision>2</cp:revision>
  <cp:lastPrinted>2022-05-20T16:36:00Z</cp:lastPrinted>
  <dcterms:created xsi:type="dcterms:W3CDTF">2022-05-21T01:36:00Z</dcterms:created>
  <dcterms:modified xsi:type="dcterms:W3CDTF">2022-05-21T01:36:00Z</dcterms:modified>
</cp:coreProperties>
</file>