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C7E7F" w14:textId="77777777" w:rsidR="00187EF5" w:rsidRDefault="00745C3F">
      <w:pPr>
        <w:ind w:left="3826" w:right="36"/>
        <w:jc w:val="both"/>
        <w:rPr>
          <w:rFonts w:ascii="Arial" w:eastAsia="Arial" w:hAnsi="Arial" w:cs="Arial"/>
          <w:b/>
          <w:sz w:val="24"/>
          <w:szCs w:val="24"/>
        </w:rPr>
      </w:pPr>
      <w:bookmarkStart w:id="0" w:name="_heading=h.gjdgxs" w:colFirst="0" w:colLast="0"/>
      <w:bookmarkEnd w:id="0"/>
      <w:r>
        <w:rPr>
          <w:rFonts w:ascii="Arial" w:eastAsia="Arial" w:hAnsi="Arial" w:cs="Arial"/>
          <w:b/>
          <w:sz w:val="24"/>
          <w:szCs w:val="24"/>
        </w:rPr>
        <w:t>PROCEDIMIENTO ESPECIAL SANCIONADOR.</w:t>
      </w:r>
    </w:p>
    <w:p w14:paraId="381DA847" w14:textId="77777777" w:rsidR="00187EF5" w:rsidRDefault="00187EF5">
      <w:pPr>
        <w:pBdr>
          <w:top w:val="nil"/>
          <w:left w:val="nil"/>
          <w:bottom w:val="nil"/>
          <w:right w:val="nil"/>
          <w:between w:val="nil"/>
        </w:pBdr>
        <w:ind w:left="3826"/>
        <w:rPr>
          <w:rFonts w:ascii="Arial" w:eastAsia="Arial" w:hAnsi="Arial" w:cs="Arial"/>
          <w:color w:val="000000"/>
          <w:sz w:val="14"/>
          <w:szCs w:val="14"/>
        </w:rPr>
      </w:pPr>
    </w:p>
    <w:p w14:paraId="64CD72F9" w14:textId="77777777" w:rsidR="00187EF5" w:rsidRDefault="00745C3F">
      <w:pPr>
        <w:ind w:left="3826"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TEEA-PES-029/2022.</w:t>
      </w:r>
      <w:r>
        <w:rPr>
          <w:rFonts w:ascii="Arial" w:eastAsia="Arial" w:hAnsi="Arial" w:cs="Arial"/>
          <w:b/>
          <w:sz w:val="24"/>
          <w:szCs w:val="24"/>
        </w:rPr>
        <w:t xml:space="preserve"> </w:t>
      </w:r>
    </w:p>
    <w:p w14:paraId="38C0A9BA" w14:textId="77777777" w:rsidR="00187EF5" w:rsidRDefault="00187EF5">
      <w:pPr>
        <w:ind w:left="3826" w:right="36"/>
        <w:jc w:val="both"/>
        <w:rPr>
          <w:rFonts w:ascii="Arial" w:eastAsia="Arial" w:hAnsi="Arial" w:cs="Arial"/>
          <w:b/>
          <w:sz w:val="14"/>
          <w:szCs w:val="14"/>
        </w:rPr>
      </w:pPr>
    </w:p>
    <w:p w14:paraId="523C144B" w14:textId="77777777" w:rsidR="00187EF5" w:rsidRDefault="00745C3F">
      <w:pPr>
        <w:ind w:left="3826"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ISRAEL ÁNGEL RAMÍREZ, REPRESENTANTE SUPLENTE DEL PARTIDO ACCIÓN NACIONAL Y DE LA COALICIÓN “VA POR AGUASCALIENTES”.</w:t>
      </w:r>
    </w:p>
    <w:p w14:paraId="65E36546" w14:textId="77777777" w:rsidR="00187EF5" w:rsidRDefault="00187EF5">
      <w:pPr>
        <w:pBdr>
          <w:top w:val="nil"/>
          <w:left w:val="nil"/>
          <w:bottom w:val="nil"/>
          <w:right w:val="nil"/>
          <w:between w:val="nil"/>
        </w:pBdr>
        <w:ind w:left="3826"/>
        <w:rPr>
          <w:rFonts w:ascii="Arial" w:eastAsia="Arial" w:hAnsi="Arial" w:cs="Arial"/>
          <w:color w:val="000000"/>
          <w:sz w:val="14"/>
          <w:szCs w:val="14"/>
        </w:rPr>
      </w:pPr>
    </w:p>
    <w:p w14:paraId="5FB11B13" w14:textId="77777777" w:rsidR="00187EF5" w:rsidRDefault="00745C3F">
      <w:pPr>
        <w:ind w:left="3826" w:right="36"/>
        <w:jc w:val="both"/>
        <w:rPr>
          <w:rFonts w:ascii="Arial" w:eastAsia="Arial" w:hAnsi="Arial" w:cs="Arial"/>
          <w:sz w:val="24"/>
          <w:szCs w:val="24"/>
        </w:rPr>
      </w:pPr>
      <w:r>
        <w:rPr>
          <w:rFonts w:ascii="Arial" w:eastAsia="Arial" w:hAnsi="Arial" w:cs="Arial"/>
          <w:b/>
          <w:sz w:val="24"/>
          <w:szCs w:val="24"/>
        </w:rPr>
        <w:t>DENUNCIADA:</w:t>
      </w:r>
      <w:r>
        <w:rPr>
          <w:rFonts w:ascii="Arial" w:eastAsia="Arial" w:hAnsi="Arial" w:cs="Arial"/>
          <w:sz w:val="24"/>
          <w:szCs w:val="24"/>
        </w:rPr>
        <w:t xml:space="preserve"> NORA RUVALCABA GÁMEZ, CANDIDATA DE MORENA A LA GUBERNATURA DEL ESTADO Y OTRO. </w:t>
      </w:r>
    </w:p>
    <w:p w14:paraId="28689047" w14:textId="77777777" w:rsidR="00187EF5" w:rsidRDefault="00187EF5">
      <w:pPr>
        <w:pBdr>
          <w:top w:val="nil"/>
          <w:left w:val="nil"/>
          <w:bottom w:val="nil"/>
          <w:right w:val="nil"/>
          <w:between w:val="nil"/>
        </w:pBdr>
        <w:ind w:left="3826"/>
        <w:rPr>
          <w:rFonts w:ascii="Arial" w:eastAsia="Arial" w:hAnsi="Arial" w:cs="Arial"/>
          <w:color w:val="000000"/>
          <w:sz w:val="14"/>
          <w:szCs w:val="14"/>
        </w:rPr>
      </w:pPr>
    </w:p>
    <w:p w14:paraId="4E73CE9B" w14:textId="77777777" w:rsidR="00187EF5" w:rsidRDefault="00745C3F">
      <w:pPr>
        <w:ind w:left="3826"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4BC9EFD7" w14:textId="77777777" w:rsidR="00187EF5" w:rsidRDefault="00187EF5">
      <w:pPr>
        <w:pBdr>
          <w:top w:val="nil"/>
          <w:left w:val="nil"/>
          <w:bottom w:val="nil"/>
          <w:right w:val="nil"/>
          <w:between w:val="nil"/>
        </w:pBdr>
        <w:ind w:left="3826"/>
        <w:rPr>
          <w:rFonts w:ascii="Arial" w:eastAsia="Arial" w:hAnsi="Arial" w:cs="Arial"/>
          <w:color w:val="000000"/>
          <w:sz w:val="14"/>
          <w:szCs w:val="14"/>
        </w:rPr>
      </w:pPr>
    </w:p>
    <w:p w14:paraId="1D02FBA6" w14:textId="77777777" w:rsidR="00187EF5" w:rsidRDefault="00745C3F">
      <w:pPr>
        <w:ind w:left="3826"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167CE267" w14:textId="77777777" w:rsidR="00187EF5" w:rsidRDefault="00187EF5">
      <w:pPr>
        <w:ind w:left="3826" w:right="36"/>
        <w:jc w:val="both"/>
        <w:rPr>
          <w:rFonts w:ascii="Arial" w:eastAsia="Arial" w:hAnsi="Arial" w:cs="Arial"/>
          <w:sz w:val="14"/>
          <w:szCs w:val="14"/>
        </w:rPr>
      </w:pPr>
    </w:p>
    <w:p w14:paraId="50064DC0" w14:textId="77777777" w:rsidR="00187EF5" w:rsidRDefault="00745C3F">
      <w:pPr>
        <w:ind w:left="3826"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1CE1B1C4" w14:textId="77777777" w:rsidR="00187EF5" w:rsidRDefault="00187EF5">
      <w:pPr>
        <w:ind w:left="3826" w:right="36"/>
        <w:jc w:val="both"/>
        <w:rPr>
          <w:rFonts w:ascii="Arial" w:eastAsia="Arial" w:hAnsi="Arial" w:cs="Arial"/>
          <w:sz w:val="24"/>
          <w:szCs w:val="24"/>
        </w:rPr>
      </w:pPr>
    </w:p>
    <w:p w14:paraId="196D7F14" w14:textId="77777777" w:rsidR="00187EF5" w:rsidRDefault="00187EF5">
      <w:pPr>
        <w:pBdr>
          <w:top w:val="nil"/>
          <w:left w:val="nil"/>
          <w:bottom w:val="nil"/>
          <w:right w:val="nil"/>
          <w:between w:val="nil"/>
        </w:pBdr>
        <w:rPr>
          <w:color w:val="000000"/>
        </w:rPr>
      </w:pPr>
    </w:p>
    <w:p w14:paraId="18B0D1B3" w14:textId="53F55793" w:rsidR="00187EF5" w:rsidRDefault="00745C3F">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w:t>
      </w:r>
      <w:r w:rsidRPr="004A6C88">
        <w:rPr>
          <w:rFonts w:ascii="Arial" w:eastAsia="Arial" w:hAnsi="Arial" w:cs="Arial"/>
          <w:sz w:val="24"/>
          <w:szCs w:val="24"/>
        </w:rPr>
        <w:t xml:space="preserve">Aguascalientes, </w:t>
      </w:r>
      <w:r w:rsidRPr="004A6C88">
        <w:rPr>
          <w:rFonts w:ascii="Arial" w:eastAsia="Arial" w:hAnsi="Arial" w:cs="Arial"/>
          <w:color w:val="000000"/>
          <w:sz w:val="24"/>
          <w:szCs w:val="24"/>
        </w:rPr>
        <w:t xml:space="preserve">a </w:t>
      </w:r>
      <w:r w:rsidR="005C09BA">
        <w:rPr>
          <w:rFonts w:ascii="Arial" w:eastAsia="Arial" w:hAnsi="Arial" w:cs="Arial"/>
          <w:sz w:val="24"/>
          <w:szCs w:val="24"/>
        </w:rPr>
        <w:t>20</w:t>
      </w:r>
      <w:r w:rsidRPr="004A6C88">
        <w:rPr>
          <w:rFonts w:ascii="Arial" w:eastAsia="Arial" w:hAnsi="Arial" w:cs="Arial"/>
          <w:color w:val="000000"/>
          <w:sz w:val="24"/>
          <w:szCs w:val="24"/>
        </w:rPr>
        <w:t xml:space="preserve"> de mayo</w:t>
      </w:r>
      <w:r>
        <w:rPr>
          <w:rFonts w:ascii="Arial" w:eastAsia="Arial" w:hAnsi="Arial" w:cs="Arial"/>
          <w:color w:val="000000"/>
          <w:sz w:val="24"/>
          <w:szCs w:val="24"/>
        </w:rPr>
        <w:t xml:space="preserve"> de 2022</w:t>
      </w:r>
      <w:r>
        <w:rPr>
          <w:rFonts w:ascii="Arial" w:eastAsia="Arial" w:hAnsi="Arial" w:cs="Arial"/>
          <w:sz w:val="24"/>
          <w:szCs w:val="24"/>
        </w:rPr>
        <w:t>.</w:t>
      </w:r>
    </w:p>
    <w:p w14:paraId="526972AE" w14:textId="77777777" w:rsidR="00187EF5" w:rsidRDefault="00187EF5">
      <w:pPr>
        <w:pBdr>
          <w:top w:val="nil"/>
          <w:left w:val="nil"/>
          <w:bottom w:val="nil"/>
          <w:right w:val="nil"/>
          <w:between w:val="nil"/>
        </w:pBdr>
        <w:rPr>
          <w:b/>
          <w:color w:val="000000"/>
          <w:sz w:val="18"/>
          <w:szCs w:val="18"/>
        </w:rPr>
      </w:pPr>
    </w:p>
    <w:p w14:paraId="32614EF5" w14:textId="77777777" w:rsidR="00187EF5" w:rsidRDefault="00745C3F">
      <w:pPr>
        <w:spacing w:after="240"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w:t>
      </w:r>
      <w:r>
        <w:rPr>
          <w:rFonts w:ascii="Arial" w:eastAsia="Arial" w:hAnsi="Arial" w:cs="Arial"/>
          <w:sz w:val="24"/>
          <w:szCs w:val="24"/>
        </w:rPr>
        <w:t>del Tribunal Electoral</w:t>
      </w:r>
      <w:r>
        <w:rPr>
          <w:rFonts w:ascii="Arial" w:eastAsia="Arial" w:hAnsi="Arial" w:cs="Arial"/>
          <w:b/>
          <w:sz w:val="24"/>
          <w:szCs w:val="24"/>
        </w:rPr>
        <w:t xml:space="preserve"> </w:t>
      </w:r>
      <w:r>
        <w:rPr>
          <w:rFonts w:ascii="Arial" w:eastAsia="Arial" w:hAnsi="Arial" w:cs="Arial"/>
          <w:sz w:val="24"/>
          <w:szCs w:val="24"/>
        </w:rPr>
        <w:t xml:space="preserve">que declara: </w:t>
      </w:r>
      <w:r>
        <w:rPr>
          <w:rFonts w:ascii="Arial" w:eastAsia="Arial" w:hAnsi="Arial" w:cs="Arial"/>
          <w:b/>
          <w:i/>
          <w:sz w:val="24"/>
          <w:szCs w:val="24"/>
        </w:rPr>
        <w:t>a)</w:t>
      </w:r>
      <w:r>
        <w:rPr>
          <w:rFonts w:ascii="Arial" w:eastAsia="Arial" w:hAnsi="Arial" w:cs="Arial"/>
          <w:b/>
          <w:sz w:val="24"/>
          <w:szCs w:val="24"/>
        </w:rPr>
        <w:t xml:space="preserve"> </w:t>
      </w:r>
      <w:r>
        <w:rPr>
          <w:rFonts w:ascii="Arial" w:eastAsia="Arial" w:hAnsi="Arial" w:cs="Arial"/>
          <w:sz w:val="24"/>
          <w:szCs w:val="24"/>
        </w:rPr>
        <w:t xml:space="preserve">la </w:t>
      </w:r>
      <w:r>
        <w:rPr>
          <w:rFonts w:ascii="Arial" w:eastAsia="Arial" w:hAnsi="Arial" w:cs="Arial"/>
          <w:b/>
          <w:sz w:val="24"/>
          <w:szCs w:val="24"/>
        </w:rPr>
        <w:t xml:space="preserve">existencia </w:t>
      </w:r>
      <w:r>
        <w:rPr>
          <w:rFonts w:ascii="Arial" w:eastAsia="Arial" w:hAnsi="Arial" w:cs="Arial"/>
          <w:sz w:val="24"/>
          <w:szCs w:val="24"/>
        </w:rPr>
        <w:t xml:space="preserve">de la infracción de calumnia en perjuicio del Partido Acción Nacional, atribuida a la ciudadana Nora Ruvalcaba Gámez, candidata a la gubernatura del estado por el partido Morena, derivado de realización de una publicación a través de sus redes sociales Facebook y Twitter, la cual contiene expresiones que constituyen calumnia y, </w:t>
      </w:r>
      <w:r>
        <w:rPr>
          <w:rFonts w:ascii="Arial" w:eastAsia="Arial" w:hAnsi="Arial" w:cs="Arial"/>
          <w:b/>
          <w:i/>
          <w:sz w:val="24"/>
          <w:szCs w:val="24"/>
        </w:rPr>
        <w:t xml:space="preserve">b) </w:t>
      </w:r>
      <w:r>
        <w:rPr>
          <w:rFonts w:ascii="Arial" w:eastAsia="Arial" w:hAnsi="Arial" w:cs="Arial"/>
          <w:sz w:val="24"/>
          <w:szCs w:val="24"/>
        </w:rPr>
        <w:t xml:space="preserve">la existencia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5A1EED5C" w14:textId="77777777" w:rsidR="00187EF5" w:rsidRDefault="00745C3F">
      <w:pPr>
        <w:spacing w:before="240" w:after="240" w:line="360" w:lineRule="auto"/>
        <w:jc w:val="both"/>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 la publicación denunciada, fue posible advertir que la candidata cuestionada le atribuyó de manera directa a los partidos denunciantes la comisión del delito de robo, sin que de las constancias que existen en el expediente se lograra demostrar con prueba alguna que sustente tal imputación, situación que implica que la parte denunciada tuvo el propósito de provocar un daño a la reputación del PAN, en relación con su imagen frente al electorado, de forma maliciosa.</w:t>
      </w:r>
    </w:p>
    <w:p w14:paraId="6F84D2E3" w14:textId="77777777" w:rsidR="00187EF5" w:rsidRDefault="00745C3F">
      <w:pPr>
        <w:spacing w:before="240" w:line="360" w:lineRule="auto"/>
        <w:jc w:val="both"/>
        <w:rPr>
          <w:rFonts w:ascii="Arial" w:eastAsia="Arial" w:hAnsi="Arial" w:cs="Arial"/>
          <w:b/>
          <w:color w:val="000000"/>
          <w:sz w:val="16"/>
          <w:szCs w:val="16"/>
        </w:rPr>
      </w:pPr>
      <w:bookmarkStart w:id="2" w:name="_heading=h.g687188sr8bc" w:colFirst="0" w:colLast="0"/>
      <w:bookmarkEnd w:id="2"/>
      <w:r>
        <w:rPr>
          <w:rFonts w:ascii="Arial" w:eastAsia="Arial" w:hAnsi="Arial" w:cs="Arial"/>
          <w:b/>
          <w:color w:val="000000"/>
          <w:sz w:val="16"/>
          <w:szCs w:val="16"/>
        </w:rPr>
        <w:t xml:space="preserve">                                                                                       Índice</w:t>
      </w:r>
    </w:p>
    <w:p w14:paraId="559B40F4" w14:textId="77777777" w:rsidR="00187EF5" w:rsidRDefault="00745C3F">
      <w:pPr>
        <w:ind w:left="993" w:right="616"/>
        <w:rPr>
          <w:rFonts w:ascii="Arial" w:eastAsia="Arial" w:hAnsi="Arial" w:cs="Arial"/>
          <w:b/>
          <w:sz w:val="16"/>
          <w:szCs w:val="16"/>
        </w:rPr>
      </w:pPr>
      <w:r>
        <w:rPr>
          <w:rFonts w:ascii="Arial" w:eastAsia="Arial" w:hAnsi="Arial" w:cs="Arial"/>
          <w:b/>
          <w:sz w:val="16"/>
          <w:szCs w:val="16"/>
        </w:rPr>
        <w:t>Contexto del caso ……………………………………………………………………………………………...2</w:t>
      </w:r>
    </w:p>
    <w:p w14:paraId="4017BF76" w14:textId="77777777" w:rsidR="00187EF5" w:rsidRDefault="00745C3F">
      <w:pPr>
        <w:ind w:left="993" w:right="616"/>
        <w:rPr>
          <w:rFonts w:ascii="Arial" w:eastAsia="Arial" w:hAnsi="Arial" w:cs="Arial"/>
          <w:b/>
          <w:sz w:val="16"/>
          <w:szCs w:val="16"/>
        </w:rPr>
      </w:pPr>
      <w:r>
        <w:rPr>
          <w:rFonts w:ascii="Arial" w:eastAsia="Arial" w:hAnsi="Arial" w:cs="Arial"/>
          <w:b/>
          <w:sz w:val="16"/>
          <w:szCs w:val="16"/>
        </w:rPr>
        <w:t>Competencia ………………………………………………………………………………………………....…3</w:t>
      </w:r>
    </w:p>
    <w:p w14:paraId="6A18DE24" w14:textId="77777777" w:rsidR="00187EF5" w:rsidRDefault="00745C3F">
      <w:pPr>
        <w:ind w:left="993" w:right="616"/>
        <w:rPr>
          <w:rFonts w:ascii="Arial" w:eastAsia="Arial" w:hAnsi="Arial" w:cs="Arial"/>
          <w:b/>
          <w:sz w:val="16"/>
          <w:szCs w:val="16"/>
        </w:rPr>
      </w:pPr>
      <w:r>
        <w:rPr>
          <w:rFonts w:ascii="Arial" w:eastAsia="Arial" w:hAnsi="Arial" w:cs="Arial"/>
          <w:b/>
          <w:sz w:val="16"/>
          <w:szCs w:val="16"/>
        </w:rPr>
        <w:t>Personería …………………………………………………………………………………………………....…</w:t>
      </w:r>
      <w:r>
        <w:rPr>
          <w:rFonts w:ascii="Arial" w:eastAsia="Arial" w:hAnsi="Arial" w:cs="Arial"/>
          <w:b/>
          <w:sz w:val="8"/>
          <w:szCs w:val="8"/>
        </w:rPr>
        <w:t>.</w:t>
      </w:r>
      <w:r>
        <w:rPr>
          <w:rFonts w:ascii="Arial" w:eastAsia="Arial" w:hAnsi="Arial" w:cs="Arial"/>
          <w:b/>
          <w:sz w:val="16"/>
          <w:szCs w:val="16"/>
        </w:rPr>
        <w:t>3</w:t>
      </w:r>
    </w:p>
    <w:p w14:paraId="570F07D5" w14:textId="77777777" w:rsidR="00187EF5" w:rsidRDefault="00745C3F">
      <w:pPr>
        <w:ind w:left="993" w:right="616"/>
        <w:rPr>
          <w:rFonts w:ascii="Arial" w:eastAsia="Arial" w:hAnsi="Arial" w:cs="Arial"/>
          <w:b/>
          <w:sz w:val="16"/>
          <w:szCs w:val="16"/>
        </w:rPr>
      </w:pPr>
      <w:r>
        <w:rPr>
          <w:rFonts w:ascii="Arial" w:eastAsia="Arial" w:hAnsi="Arial" w:cs="Arial"/>
          <w:b/>
          <w:sz w:val="16"/>
          <w:szCs w:val="16"/>
        </w:rPr>
        <w:t>Causales de improcedencia …………………………………………………………………………………</w:t>
      </w:r>
      <w:r>
        <w:rPr>
          <w:rFonts w:ascii="Arial" w:eastAsia="Arial" w:hAnsi="Arial" w:cs="Arial"/>
          <w:b/>
          <w:sz w:val="14"/>
          <w:szCs w:val="14"/>
        </w:rPr>
        <w:t>.</w:t>
      </w:r>
      <w:r>
        <w:rPr>
          <w:rFonts w:ascii="Arial" w:eastAsia="Arial" w:hAnsi="Arial" w:cs="Arial"/>
          <w:b/>
          <w:sz w:val="16"/>
          <w:szCs w:val="16"/>
        </w:rPr>
        <w:t>3</w:t>
      </w:r>
    </w:p>
    <w:p w14:paraId="4E66FF2D" w14:textId="5EEAAAAB" w:rsidR="00F90427" w:rsidRDefault="00F90427">
      <w:pPr>
        <w:ind w:left="993" w:right="616"/>
        <w:rPr>
          <w:rFonts w:ascii="Arial" w:eastAsia="Arial" w:hAnsi="Arial" w:cs="Arial"/>
          <w:b/>
          <w:sz w:val="16"/>
          <w:szCs w:val="16"/>
        </w:rPr>
      </w:pPr>
      <w:r>
        <w:rPr>
          <w:rFonts w:ascii="Arial" w:eastAsia="Arial" w:hAnsi="Arial" w:cs="Arial"/>
          <w:b/>
          <w:sz w:val="16"/>
          <w:szCs w:val="16"/>
        </w:rPr>
        <w:t xml:space="preserve">Análisis preliminar que valora </w:t>
      </w:r>
      <w:r w:rsidR="000B01C3">
        <w:rPr>
          <w:rFonts w:ascii="Arial" w:eastAsia="Arial" w:hAnsi="Arial" w:cs="Arial"/>
          <w:b/>
          <w:sz w:val="16"/>
          <w:szCs w:val="16"/>
        </w:rPr>
        <w:t>la garantía al</w:t>
      </w:r>
      <w:r>
        <w:rPr>
          <w:rFonts w:ascii="Arial" w:eastAsia="Arial" w:hAnsi="Arial" w:cs="Arial"/>
          <w:b/>
          <w:sz w:val="16"/>
          <w:szCs w:val="16"/>
        </w:rPr>
        <w:t xml:space="preserve"> debido proceso de las partes</w:t>
      </w:r>
      <w:r w:rsidR="000B01C3">
        <w:rPr>
          <w:rFonts w:ascii="Arial" w:eastAsia="Arial" w:hAnsi="Arial" w:cs="Arial"/>
          <w:b/>
          <w:sz w:val="16"/>
          <w:szCs w:val="16"/>
        </w:rPr>
        <w:t xml:space="preserve"> ..</w:t>
      </w:r>
      <w:r>
        <w:rPr>
          <w:rFonts w:ascii="Arial" w:eastAsia="Arial" w:hAnsi="Arial" w:cs="Arial"/>
          <w:b/>
          <w:sz w:val="16"/>
          <w:szCs w:val="16"/>
        </w:rPr>
        <w:t>………………………4</w:t>
      </w:r>
    </w:p>
    <w:p w14:paraId="76AC60C6" w14:textId="54369E62" w:rsidR="00187EF5" w:rsidRDefault="00745C3F">
      <w:pPr>
        <w:ind w:left="993" w:right="616"/>
        <w:rPr>
          <w:rFonts w:ascii="Arial" w:eastAsia="Arial" w:hAnsi="Arial" w:cs="Arial"/>
          <w:b/>
          <w:sz w:val="16"/>
          <w:szCs w:val="16"/>
        </w:rPr>
      </w:pPr>
      <w:r>
        <w:rPr>
          <w:rFonts w:ascii="Arial" w:eastAsia="Arial" w:hAnsi="Arial" w:cs="Arial"/>
          <w:b/>
          <w:sz w:val="16"/>
          <w:szCs w:val="16"/>
        </w:rPr>
        <w:t>Estudio de fondo……………………………………………………………………………….....…………....4</w:t>
      </w:r>
    </w:p>
    <w:p w14:paraId="4E09896F" w14:textId="0FFD2527" w:rsidR="00187EF5" w:rsidRDefault="00745C3F">
      <w:pPr>
        <w:ind w:left="993" w:right="616"/>
        <w:rPr>
          <w:rFonts w:ascii="Arial" w:eastAsia="Arial" w:hAnsi="Arial" w:cs="Arial"/>
          <w:b/>
          <w:sz w:val="16"/>
          <w:szCs w:val="16"/>
        </w:rPr>
      </w:pPr>
      <w:r>
        <w:rPr>
          <w:rFonts w:ascii="Arial" w:eastAsia="Arial" w:hAnsi="Arial" w:cs="Arial"/>
          <w:b/>
          <w:sz w:val="16"/>
          <w:szCs w:val="16"/>
        </w:rPr>
        <w:t>Análisis de fondo ……………………………………………………………………………………………....</w:t>
      </w:r>
      <w:r w:rsidR="00BA0B27">
        <w:rPr>
          <w:rFonts w:ascii="Arial" w:eastAsia="Arial" w:hAnsi="Arial" w:cs="Arial"/>
          <w:b/>
          <w:sz w:val="16"/>
          <w:szCs w:val="16"/>
        </w:rPr>
        <w:t>8</w:t>
      </w:r>
    </w:p>
    <w:p w14:paraId="5EEA4AC1" w14:textId="3F0A1271" w:rsidR="00187EF5" w:rsidRDefault="00745C3F">
      <w:pPr>
        <w:ind w:left="993" w:right="616"/>
        <w:rPr>
          <w:rFonts w:ascii="Arial" w:eastAsia="Arial" w:hAnsi="Arial" w:cs="Arial"/>
          <w:sz w:val="16"/>
          <w:szCs w:val="16"/>
        </w:rPr>
      </w:pPr>
      <w:r>
        <w:rPr>
          <w:rFonts w:ascii="Arial" w:eastAsia="Arial" w:hAnsi="Arial" w:cs="Arial"/>
          <w:sz w:val="16"/>
          <w:szCs w:val="16"/>
        </w:rPr>
        <w:t>Apartado I. Decisión……………………………………………………………………………………………..</w:t>
      </w:r>
      <w:r>
        <w:rPr>
          <w:rFonts w:ascii="Arial" w:eastAsia="Arial" w:hAnsi="Arial" w:cs="Arial"/>
          <w:sz w:val="8"/>
          <w:szCs w:val="8"/>
        </w:rPr>
        <w:t xml:space="preserve"> </w:t>
      </w:r>
      <w:r w:rsidR="00BA0B27">
        <w:rPr>
          <w:rFonts w:ascii="Arial" w:eastAsia="Arial" w:hAnsi="Arial" w:cs="Arial"/>
          <w:b/>
          <w:bCs/>
          <w:sz w:val="16"/>
          <w:szCs w:val="16"/>
        </w:rPr>
        <w:t>8</w:t>
      </w:r>
    </w:p>
    <w:p w14:paraId="5D42A960" w14:textId="3B225AAD" w:rsidR="00187EF5" w:rsidRDefault="00745C3F">
      <w:pPr>
        <w:ind w:left="993" w:right="616"/>
        <w:rPr>
          <w:rFonts w:ascii="Arial" w:eastAsia="Arial" w:hAnsi="Arial" w:cs="Arial"/>
          <w:sz w:val="16"/>
          <w:szCs w:val="16"/>
        </w:rPr>
      </w:pPr>
      <w:r>
        <w:rPr>
          <w:rFonts w:ascii="Arial" w:eastAsia="Arial" w:hAnsi="Arial" w:cs="Arial"/>
          <w:sz w:val="16"/>
          <w:szCs w:val="16"/>
        </w:rPr>
        <w:t>Apartado II. Desarrollo y justificación de la decisión…………………………………………………………</w:t>
      </w:r>
      <w:r w:rsidR="00BA0B27">
        <w:rPr>
          <w:rFonts w:ascii="Arial" w:eastAsia="Arial" w:hAnsi="Arial" w:cs="Arial"/>
          <w:b/>
          <w:bCs/>
          <w:sz w:val="16"/>
          <w:szCs w:val="16"/>
        </w:rPr>
        <w:t>8</w:t>
      </w:r>
    </w:p>
    <w:p w14:paraId="6168AADB" w14:textId="289625E3" w:rsidR="00187EF5" w:rsidRDefault="00745C3F">
      <w:pPr>
        <w:tabs>
          <w:tab w:val="right" w:pos="8263"/>
          <w:tab w:val="left" w:pos="8789"/>
        </w:tabs>
        <w:ind w:left="993" w:right="616"/>
        <w:rPr>
          <w:rFonts w:ascii="Arial" w:eastAsia="Arial" w:hAnsi="Arial" w:cs="Arial"/>
          <w:sz w:val="16"/>
          <w:szCs w:val="16"/>
        </w:rPr>
      </w:pPr>
      <w:r>
        <w:rPr>
          <w:rFonts w:ascii="Arial" w:eastAsia="Arial" w:hAnsi="Arial" w:cs="Arial"/>
          <w:sz w:val="16"/>
          <w:szCs w:val="16"/>
        </w:rPr>
        <w:t>Culpa in vigilando...………..…………………………………………………………………....…………......</w:t>
      </w:r>
      <w:r w:rsidRPr="00FC067D">
        <w:rPr>
          <w:rFonts w:ascii="Arial" w:eastAsia="Arial" w:hAnsi="Arial" w:cs="Arial"/>
          <w:b/>
          <w:bCs/>
          <w:sz w:val="16"/>
          <w:szCs w:val="16"/>
        </w:rPr>
        <w:t>1</w:t>
      </w:r>
      <w:r w:rsidR="00BA0B27">
        <w:rPr>
          <w:rFonts w:ascii="Arial" w:eastAsia="Arial" w:hAnsi="Arial" w:cs="Arial"/>
          <w:b/>
          <w:bCs/>
          <w:sz w:val="16"/>
          <w:szCs w:val="16"/>
        </w:rPr>
        <w:t>8</w:t>
      </w:r>
    </w:p>
    <w:p w14:paraId="076F6B61" w14:textId="000DA836" w:rsidR="00187EF5" w:rsidRDefault="00745C3F">
      <w:pPr>
        <w:tabs>
          <w:tab w:val="right" w:pos="8263"/>
        </w:tabs>
        <w:ind w:left="993" w:right="616"/>
        <w:rPr>
          <w:rFonts w:ascii="Arial" w:eastAsia="Arial" w:hAnsi="Arial" w:cs="Arial"/>
          <w:b/>
          <w:sz w:val="16"/>
          <w:szCs w:val="16"/>
        </w:rPr>
      </w:pPr>
      <w:r>
        <w:rPr>
          <w:rFonts w:ascii="Arial" w:eastAsia="Arial" w:hAnsi="Arial" w:cs="Arial"/>
          <w:b/>
          <w:sz w:val="16"/>
          <w:szCs w:val="16"/>
        </w:rPr>
        <w:t>Resolutivos.…………………………………………………………………………………….....…</w:t>
      </w:r>
      <w:r w:rsidR="00BA0B27" w:rsidRPr="00BA0B27">
        <w:rPr>
          <w:rFonts w:ascii="Arial" w:eastAsia="Arial" w:hAnsi="Arial" w:cs="Arial"/>
          <w:b/>
          <w:sz w:val="14"/>
          <w:szCs w:val="14"/>
        </w:rPr>
        <w:t>…</w:t>
      </w:r>
      <w:r>
        <w:rPr>
          <w:rFonts w:ascii="Arial" w:eastAsia="Arial" w:hAnsi="Arial" w:cs="Arial"/>
          <w:b/>
          <w:sz w:val="16"/>
          <w:szCs w:val="16"/>
        </w:rPr>
        <w:t>……...1</w:t>
      </w:r>
      <w:r w:rsidR="00BA0B27">
        <w:rPr>
          <w:rFonts w:ascii="Arial" w:eastAsia="Arial" w:hAnsi="Arial" w:cs="Arial"/>
          <w:b/>
          <w:sz w:val="16"/>
          <w:szCs w:val="16"/>
        </w:rPr>
        <w:t>8</w:t>
      </w:r>
    </w:p>
    <w:p w14:paraId="58771738" w14:textId="77777777" w:rsidR="00187EF5" w:rsidRDefault="00187EF5">
      <w:pPr>
        <w:pBdr>
          <w:top w:val="nil"/>
          <w:left w:val="nil"/>
          <w:bottom w:val="nil"/>
          <w:right w:val="nil"/>
          <w:between w:val="nil"/>
        </w:pBdr>
        <w:rPr>
          <w:color w:val="000000"/>
        </w:rPr>
      </w:pPr>
    </w:p>
    <w:p w14:paraId="6BC294E9" w14:textId="77777777" w:rsidR="00187EF5" w:rsidRDefault="00745C3F">
      <w:pPr>
        <w:spacing w:line="360" w:lineRule="auto"/>
        <w:ind w:left="3881" w:right="2324" w:hanging="140"/>
        <w:rPr>
          <w:rFonts w:ascii="Arial" w:eastAsia="Arial" w:hAnsi="Arial" w:cs="Arial"/>
          <w:b/>
          <w:sz w:val="16"/>
          <w:szCs w:val="16"/>
        </w:rPr>
      </w:pPr>
      <w:r>
        <w:rPr>
          <w:rFonts w:ascii="Arial" w:eastAsia="Arial" w:hAnsi="Arial" w:cs="Arial"/>
          <w:b/>
          <w:sz w:val="16"/>
          <w:szCs w:val="16"/>
        </w:rPr>
        <w:t xml:space="preserve"> Glosario</w:t>
      </w:r>
    </w:p>
    <w:tbl>
      <w:tblPr>
        <w:tblStyle w:val="a"/>
        <w:tblW w:w="7229" w:type="dxa"/>
        <w:tblInd w:w="851" w:type="dxa"/>
        <w:tblLayout w:type="fixed"/>
        <w:tblLook w:val="0400" w:firstRow="0" w:lastRow="0" w:firstColumn="0" w:lastColumn="0" w:noHBand="0" w:noVBand="1"/>
      </w:tblPr>
      <w:tblGrid>
        <w:gridCol w:w="1843"/>
        <w:gridCol w:w="5386"/>
      </w:tblGrid>
      <w:tr w:rsidR="00187EF5" w14:paraId="2ADB8759" w14:textId="77777777">
        <w:trPr>
          <w:trHeight w:val="70"/>
        </w:trPr>
        <w:tc>
          <w:tcPr>
            <w:tcW w:w="1843" w:type="dxa"/>
            <w:shd w:val="clear" w:color="auto" w:fill="auto"/>
          </w:tcPr>
          <w:p w14:paraId="22D7991F"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lastRenderedPageBreak/>
              <w:t>Denunciante:</w:t>
            </w:r>
          </w:p>
          <w:p w14:paraId="4419F215"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Denunciados: </w:t>
            </w:r>
          </w:p>
          <w:p w14:paraId="3268F5D5" w14:textId="77777777" w:rsidR="00187EF5" w:rsidRDefault="00187EF5">
            <w:pPr>
              <w:spacing w:line="276" w:lineRule="auto"/>
              <w:jc w:val="both"/>
              <w:rPr>
                <w:rFonts w:ascii="Arial" w:eastAsia="Arial" w:hAnsi="Arial" w:cs="Arial"/>
                <w:b/>
                <w:color w:val="000000"/>
                <w:sz w:val="16"/>
                <w:szCs w:val="16"/>
              </w:rPr>
            </w:pPr>
          </w:p>
          <w:p w14:paraId="7FABBCEC"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Código Electoral:</w:t>
            </w:r>
          </w:p>
          <w:p w14:paraId="7A7BB40C"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Consejo General:</w:t>
            </w:r>
          </w:p>
          <w:p w14:paraId="76B73C8C"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Instituto Local:</w:t>
            </w:r>
          </w:p>
        </w:tc>
        <w:tc>
          <w:tcPr>
            <w:tcW w:w="5386" w:type="dxa"/>
            <w:shd w:val="clear" w:color="auto" w:fill="auto"/>
          </w:tcPr>
          <w:p w14:paraId="6E9AC15D" w14:textId="77777777" w:rsidR="00187EF5" w:rsidRDefault="00745C3F">
            <w:pPr>
              <w:spacing w:line="276" w:lineRule="auto"/>
              <w:ind w:right="518"/>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41F90C63" w14:textId="77777777" w:rsidR="00187EF5" w:rsidRDefault="00745C3F">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Nora Ruvalcaba Gámez, candidata de Morena a la gubernatura </w:t>
            </w:r>
          </w:p>
          <w:p w14:paraId="0A5D18B2" w14:textId="77777777" w:rsidR="00187EF5" w:rsidRDefault="00745C3F">
            <w:pPr>
              <w:spacing w:line="276" w:lineRule="auto"/>
              <w:ind w:right="-259"/>
              <w:jc w:val="both"/>
              <w:rPr>
                <w:rFonts w:ascii="Arial" w:eastAsia="Arial" w:hAnsi="Arial" w:cs="Arial"/>
                <w:color w:val="000000"/>
                <w:sz w:val="16"/>
                <w:szCs w:val="16"/>
              </w:rPr>
            </w:pPr>
            <w:r>
              <w:rPr>
                <w:rFonts w:ascii="Arial" w:eastAsia="Arial" w:hAnsi="Arial" w:cs="Arial"/>
                <w:color w:val="000000"/>
                <w:sz w:val="16"/>
                <w:szCs w:val="16"/>
              </w:rPr>
              <w:t xml:space="preserve">del estado, y Morena. </w:t>
            </w:r>
          </w:p>
          <w:p w14:paraId="30891944"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Código Electoral del Estado de Aguascalientes.</w:t>
            </w:r>
          </w:p>
          <w:p w14:paraId="169B0CD0"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Consejo General del Instituto Estatal Electoral de Aguascalientes.</w:t>
            </w:r>
          </w:p>
          <w:p w14:paraId="55474980"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Instituto Estatal Electoral de Aguascalientes.</w:t>
            </w:r>
          </w:p>
        </w:tc>
      </w:tr>
      <w:tr w:rsidR="00187EF5" w14:paraId="5F580329" w14:textId="77777777">
        <w:trPr>
          <w:trHeight w:val="578"/>
        </w:trPr>
        <w:tc>
          <w:tcPr>
            <w:tcW w:w="1843" w:type="dxa"/>
            <w:shd w:val="clear" w:color="auto" w:fill="auto"/>
          </w:tcPr>
          <w:p w14:paraId="42E41EA0"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 xml:space="preserve">LEGIPE: </w:t>
            </w:r>
          </w:p>
          <w:p w14:paraId="4477A9EE"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Morena:</w:t>
            </w:r>
          </w:p>
          <w:p w14:paraId="3DBEE614"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Sala Superior:</w:t>
            </w:r>
          </w:p>
          <w:p w14:paraId="5F8D6634" w14:textId="77777777" w:rsidR="00187EF5" w:rsidRDefault="00187EF5">
            <w:pPr>
              <w:spacing w:line="276" w:lineRule="auto"/>
              <w:jc w:val="both"/>
              <w:rPr>
                <w:rFonts w:ascii="Arial" w:eastAsia="Arial" w:hAnsi="Arial" w:cs="Arial"/>
                <w:b/>
                <w:color w:val="000000"/>
                <w:sz w:val="16"/>
                <w:szCs w:val="16"/>
              </w:rPr>
            </w:pPr>
          </w:p>
          <w:p w14:paraId="4E96CA08"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Secretario Ejecutivo:</w:t>
            </w:r>
          </w:p>
          <w:p w14:paraId="09D17964"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PAN:</w:t>
            </w:r>
          </w:p>
          <w:p w14:paraId="442A94B2"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PEL:</w:t>
            </w:r>
          </w:p>
          <w:p w14:paraId="30974050"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PES:</w:t>
            </w:r>
          </w:p>
          <w:p w14:paraId="358B1A20"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PRI:</w:t>
            </w:r>
          </w:p>
          <w:p w14:paraId="34760808"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Tribunal Electoral:</w:t>
            </w:r>
          </w:p>
          <w:p w14:paraId="2F1EDC8B" w14:textId="77777777" w:rsidR="00187EF5" w:rsidRDefault="00745C3F">
            <w:pPr>
              <w:spacing w:line="276" w:lineRule="auto"/>
              <w:jc w:val="both"/>
              <w:rPr>
                <w:rFonts w:ascii="Arial" w:eastAsia="Arial" w:hAnsi="Arial" w:cs="Arial"/>
                <w:b/>
                <w:color w:val="000000"/>
                <w:sz w:val="16"/>
                <w:szCs w:val="16"/>
              </w:rPr>
            </w:pPr>
            <w:r>
              <w:rPr>
                <w:rFonts w:ascii="Arial" w:eastAsia="Arial" w:hAnsi="Arial" w:cs="Arial"/>
                <w:b/>
                <w:color w:val="000000"/>
                <w:sz w:val="16"/>
                <w:szCs w:val="16"/>
              </w:rPr>
              <w:t>SCJN:</w:t>
            </w:r>
          </w:p>
          <w:p w14:paraId="4DFF9ED5" w14:textId="77777777" w:rsidR="00187EF5" w:rsidRDefault="00187EF5">
            <w:pPr>
              <w:spacing w:line="276" w:lineRule="auto"/>
              <w:jc w:val="both"/>
              <w:rPr>
                <w:rFonts w:ascii="Arial" w:eastAsia="Arial" w:hAnsi="Arial" w:cs="Arial"/>
                <w:b/>
                <w:color w:val="000000"/>
                <w:sz w:val="16"/>
                <w:szCs w:val="16"/>
              </w:rPr>
            </w:pPr>
          </w:p>
        </w:tc>
        <w:tc>
          <w:tcPr>
            <w:tcW w:w="5386" w:type="dxa"/>
            <w:shd w:val="clear" w:color="auto" w:fill="auto"/>
          </w:tcPr>
          <w:p w14:paraId="627D1F27"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Ley General de Instituciones y Procedimientos Electorales.</w:t>
            </w:r>
          </w:p>
          <w:p w14:paraId="752109D6"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Movimiento de Regeneración Nacional. </w:t>
            </w:r>
          </w:p>
          <w:p w14:paraId="0F833B73"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Sala Superior del Tribunal Electoral del Poder Judicial de la Federación. </w:t>
            </w:r>
          </w:p>
          <w:p w14:paraId="388C630D"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Secretario Ejecutivo del Instituto Estatal Electoral de Aguascalientes. </w:t>
            </w:r>
          </w:p>
          <w:p w14:paraId="7CC0AD01"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Partido Acción Nacional.</w:t>
            </w:r>
          </w:p>
          <w:p w14:paraId="06BA03EA"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Procedimiento Electoral Local. </w:t>
            </w:r>
          </w:p>
          <w:p w14:paraId="2934E7EC"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Procedimiento Especial Sancionador.</w:t>
            </w:r>
          </w:p>
          <w:p w14:paraId="6DB22040"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 xml:space="preserve">Partido Revolucionario Institucional. </w:t>
            </w:r>
          </w:p>
          <w:p w14:paraId="658C1715"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Tribunal Electoral del Estado de Aguascalientes.</w:t>
            </w:r>
          </w:p>
          <w:p w14:paraId="4A5E66C2" w14:textId="77777777" w:rsidR="00187EF5" w:rsidRDefault="00745C3F">
            <w:pPr>
              <w:spacing w:line="276" w:lineRule="auto"/>
              <w:ind w:right="178"/>
              <w:jc w:val="both"/>
              <w:rPr>
                <w:rFonts w:ascii="Arial" w:eastAsia="Arial" w:hAnsi="Arial" w:cs="Arial"/>
                <w:color w:val="000000"/>
                <w:sz w:val="16"/>
                <w:szCs w:val="16"/>
              </w:rPr>
            </w:pPr>
            <w:r>
              <w:rPr>
                <w:rFonts w:ascii="Arial" w:eastAsia="Arial" w:hAnsi="Arial" w:cs="Arial"/>
                <w:color w:val="000000"/>
                <w:sz w:val="16"/>
                <w:szCs w:val="16"/>
              </w:rPr>
              <w:t>Suprema Corte de Justicia de la Nación.</w:t>
            </w:r>
          </w:p>
          <w:p w14:paraId="2298EA0F" w14:textId="77777777" w:rsidR="00187EF5" w:rsidRDefault="00187EF5">
            <w:pPr>
              <w:spacing w:line="276" w:lineRule="auto"/>
              <w:ind w:right="178"/>
              <w:jc w:val="both"/>
              <w:rPr>
                <w:rFonts w:ascii="Arial" w:eastAsia="Arial" w:hAnsi="Arial" w:cs="Arial"/>
                <w:color w:val="000000"/>
                <w:sz w:val="16"/>
                <w:szCs w:val="16"/>
              </w:rPr>
            </w:pPr>
          </w:p>
        </w:tc>
      </w:tr>
    </w:tbl>
    <w:p w14:paraId="4E7E2132" w14:textId="77777777" w:rsidR="00187EF5" w:rsidRDefault="00187EF5">
      <w:pPr>
        <w:pBdr>
          <w:top w:val="nil"/>
          <w:left w:val="nil"/>
          <w:bottom w:val="nil"/>
          <w:right w:val="nil"/>
          <w:between w:val="nil"/>
        </w:pBdr>
        <w:rPr>
          <w:color w:val="000000"/>
          <w:sz w:val="10"/>
          <w:szCs w:val="10"/>
        </w:rPr>
      </w:pPr>
    </w:p>
    <w:p w14:paraId="57CC6B2E" w14:textId="77777777" w:rsidR="00187EF5" w:rsidRDefault="00745C3F">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rPr>
        <w:t>I. Contexto del caso.</w:t>
      </w:r>
      <w:r>
        <w:rPr>
          <w:rFonts w:ascii="Arial" w:eastAsia="Arial" w:hAnsi="Arial" w:cs="Arial"/>
          <w:b/>
          <w:sz w:val="24"/>
          <w:szCs w:val="24"/>
          <w:vertAlign w:val="superscript"/>
        </w:rPr>
        <w:footnoteReference w:id="2"/>
      </w:r>
    </w:p>
    <w:p w14:paraId="5838B2C1" w14:textId="77777777" w:rsidR="00187EF5" w:rsidRDefault="00187EF5">
      <w:pPr>
        <w:pBdr>
          <w:top w:val="nil"/>
          <w:left w:val="nil"/>
          <w:bottom w:val="nil"/>
          <w:right w:val="nil"/>
          <w:between w:val="nil"/>
        </w:pBdr>
        <w:rPr>
          <w:color w:val="000000"/>
        </w:rPr>
      </w:pPr>
    </w:p>
    <w:p w14:paraId="122E774C" w14:textId="77777777" w:rsidR="00187EF5" w:rsidRDefault="00745C3F">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1BA368A4" w14:textId="2E616855" w:rsidR="00187EF5" w:rsidRDefault="00745C3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2. Denuncia.</w:t>
      </w:r>
      <w:r>
        <w:rPr>
          <w:rFonts w:ascii="Arial" w:eastAsia="Arial" w:hAnsi="Arial" w:cs="Arial"/>
          <w:sz w:val="24"/>
          <w:szCs w:val="24"/>
        </w:rPr>
        <w:t xml:space="preserve"> El 2 de mayo, el ciudadano Israel Ángel Ramírez, representante suplente del PAN y de la coalición “Va Por Aguascalientes” ante el Consejo General, presentó una queja en contra de Nora Ruvalcaba Gámez, candidata de Morena a la gubernatura del estado, así como del referido instituto político, derivado de la realización de una publicación en sus perfiles de Facebook y Twitter, </w:t>
      </w:r>
      <w:r w:rsidR="00F90427">
        <w:rPr>
          <w:rFonts w:ascii="Arial" w:eastAsia="Arial" w:hAnsi="Arial" w:cs="Arial"/>
          <w:sz w:val="24"/>
          <w:szCs w:val="24"/>
        </w:rPr>
        <w:t>que,</w:t>
      </w:r>
      <w:r>
        <w:rPr>
          <w:rFonts w:ascii="Arial" w:eastAsia="Arial" w:hAnsi="Arial" w:cs="Arial"/>
          <w:sz w:val="24"/>
          <w:szCs w:val="24"/>
        </w:rPr>
        <w:t xml:space="preserve"> a su dicho, contiene expresiones que configuran la infracción de calumnia en perjuicio del PAN. A su vez, exigió a la autoridad administrativa la adopción de medidas cautelares.</w:t>
      </w:r>
    </w:p>
    <w:p w14:paraId="66F220BC" w14:textId="77777777" w:rsidR="00187EF5" w:rsidRDefault="00745C3F">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sz w:val="24"/>
          <w:szCs w:val="24"/>
        </w:rPr>
        <w:t xml:space="preserve">3. Radicación, admisión y medidas cautelares. </w:t>
      </w:r>
      <w:r>
        <w:rPr>
          <w:rFonts w:ascii="Arial" w:eastAsia="Arial" w:hAnsi="Arial" w:cs="Arial"/>
          <w:sz w:val="24"/>
          <w:szCs w:val="24"/>
        </w:rPr>
        <w:t xml:space="preserve">Al día siguiente, el Secretario Ejecutivo radicó la denuncia y le asignó el número de expediente IEE/PES/037/2022, y el 9 del mismo mes, la admitió a trámite. El 10 consecuente, </w:t>
      </w:r>
      <w:r>
        <w:rPr>
          <w:rFonts w:ascii="Arial" w:eastAsia="Arial" w:hAnsi="Arial" w:cs="Arial"/>
          <w:b/>
          <w:sz w:val="24"/>
          <w:szCs w:val="24"/>
        </w:rPr>
        <w:t>determinó improcedente la adopción</w:t>
      </w:r>
      <w:r>
        <w:rPr>
          <w:rFonts w:ascii="Arial" w:eastAsia="Arial" w:hAnsi="Arial" w:cs="Arial"/>
          <w:sz w:val="24"/>
          <w:szCs w:val="24"/>
        </w:rPr>
        <w:t xml:space="preserve"> de las medidas cautelares propuestas por la parte denunciante, ello ya que de conformidad con lo certificado en la Oficialía Electoral (IEE/OE/064/2022,) no se advierte indicio alguno sobre la existencia del contenido cuestionado. </w:t>
      </w:r>
    </w:p>
    <w:p w14:paraId="71DEBF3C" w14:textId="77777777" w:rsidR="00187EF5" w:rsidRDefault="00745C3F">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b/>
          <w:sz w:val="24"/>
          <w:szCs w:val="24"/>
        </w:rPr>
        <w:t>4. Audiencia de alegatos y remisión del expediente.</w:t>
      </w:r>
      <w:r>
        <w:rPr>
          <w:rFonts w:ascii="Arial" w:eastAsia="Arial" w:hAnsi="Arial" w:cs="Arial"/>
          <w:sz w:val="24"/>
          <w:szCs w:val="24"/>
        </w:rPr>
        <w:t xml:space="preserve"> El 13 siguiente, la Secretaría Ejecutiva celebró la audiencia de pruebas y alegatos, </w:t>
      </w:r>
      <w:r>
        <w:rPr>
          <w:rFonts w:ascii="Arial" w:eastAsia="Arial" w:hAnsi="Arial" w:cs="Arial"/>
          <w:color w:val="000000"/>
          <w:sz w:val="24"/>
          <w:szCs w:val="24"/>
        </w:rPr>
        <w:t xml:space="preserve">y, posteriormente, ordenó realizar el informe circunstanciado. Al día siguiente, </w:t>
      </w:r>
      <w:r>
        <w:rPr>
          <w:rFonts w:ascii="Arial" w:eastAsia="Arial" w:hAnsi="Arial" w:cs="Arial"/>
          <w:sz w:val="24"/>
          <w:szCs w:val="24"/>
        </w:rPr>
        <w:t xml:space="preserve">se recibió en la oficialía de partes de este órgano jurisdiccional el expediente en cuestión. </w:t>
      </w:r>
    </w:p>
    <w:p w14:paraId="095B5311" w14:textId="77777777" w:rsidR="00187EF5" w:rsidRDefault="00745C3F">
      <w:pPr>
        <w:tabs>
          <w:tab w:val="left" w:pos="284"/>
        </w:tabs>
        <w:spacing w:before="240" w:after="240" w:line="360" w:lineRule="auto"/>
        <w:ind w:right="40"/>
        <w:jc w:val="both"/>
        <w:rPr>
          <w:rFonts w:ascii="Arial" w:eastAsia="Arial" w:hAnsi="Arial" w:cs="Arial"/>
          <w:b/>
          <w:sz w:val="24"/>
          <w:szCs w:val="24"/>
        </w:rPr>
      </w:pPr>
      <w:r>
        <w:rPr>
          <w:rFonts w:ascii="Arial" w:eastAsia="Arial" w:hAnsi="Arial" w:cs="Arial"/>
          <w:b/>
          <w:sz w:val="24"/>
          <w:szCs w:val="24"/>
        </w:rPr>
        <w:t xml:space="preserve">5. Turno, radicación y formulación del proyecto de resolución TEEA-PES-029/2022. </w:t>
      </w:r>
      <w:r>
        <w:rPr>
          <w:rFonts w:ascii="Arial" w:eastAsia="Arial" w:hAnsi="Arial" w:cs="Arial"/>
          <w:sz w:val="24"/>
          <w:szCs w:val="24"/>
        </w:rPr>
        <w:t xml:space="preserve">El mismo 14, la Magistrada Presidenta ordenó el registro del asunto con el número de </w:t>
      </w:r>
      <w:r>
        <w:rPr>
          <w:rFonts w:ascii="Arial" w:eastAsia="Arial" w:hAnsi="Arial" w:cs="Arial"/>
          <w:sz w:val="24"/>
          <w:szCs w:val="24"/>
        </w:rPr>
        <w:lastRenderedPageBreak/>
        <w:t>expediente TEEA-PES-029/2022 y lo turnó a la Ponencia de la Magistrada Laura Hortensia Llamas Hernández, quien en su oportunidad lo radicó, y al no existir algún trámite pendiente, ordenó la formulación del proyecto.</w:t>
      </w:r>
      <w:r>
        <w:rPr>
          <w:rFonts w:ascii="Arial" w:eastAsia="Arial" w:hAnsi="Arial" w:cs="Arial"/>
          <w:sz w:val="24"/>
          <w:szCs w:val="24"/>
          <w:vertAlign w:val="superscript"/>
        </w:rPr>
        <w:footnoteReference w:id="4"/>
      </w:r>
    </w:p>
    <w:p w14:paraId="0F8E66CE" w14:textId="77777777" w:rsidR="00187EF5" w:rsidRDefault="00745C3F">
      <w:pPr>
        <w:pBdr>
          <w:top w:val="nil"/>
          <w:left w:val="nil"/>
          <w:bottom w:val="nil"/>
          <w:right w:val="nil"/>
          <w:between w:val="nil"/>
        </w:pBdr>
        <w:tabs>
          <w:tab w:val="left" w:pos="284"/>
        </w:tabs>
        <w:spacing w:line="360" w:lineRule="auto"/>
        <w:ind w:right="36"/>
        <w:jc w:val="both"/>
        <w:rPr>
          <w:color w:val="000000"/>
        </w:rPr>
      </w:pPr>
      <w:r>
        <w:rPr>
          <w:rFonts w:ascii="Arial" w:eastAsia="Arial" w:hAnsi="Arial" w:cs="Arial"/>
          <w:b/>
          <w:color w:val="000000"/>
          <w:sz w:val="24"/>
          <w:szCs w:val="24"/>
        </w:rPr>
        <w:t xml:space="preserve">II. Competencia. </w:t>
      </w:r>
      <w:r>
        <w:rPr>
          <w:rFonts w:ascii="Arial" w:eastAsia="Arial" w:hAnsi="Arial" w:cs="Arial"/>
          <w:color w:val="000000"/>
          <w:sz w:val="24"/>
          <w:szCs w:val="24"/>
        </w:rPr>
        <w:t xml:space="preserve">Este Tribunal es competente para resolver el presente procedimiento especial sancionador, porque se relaciona con la posible vulneración al artículo 244, fracción IV, del Código Electoral, derivado de una publicación difundida a través de las redes sociales Facebook y Twitter, la cual contiene expresiones que presuntamente constituyen la infracción de calumnia, atribuida a </w:t>
      </w:r>
      <w:r>
        <w:rPr>
          <w:rFonts w:ascii="Arial" w:eastAsia="Arial" w:hAnsi="Arial" w:cs="Arial"/>
          <w:sz w:val="24"/>
          <w:szCs w:val="24"/>
        </w:rPr>
        <w:t xml:space="preserve">la ciudadana </w:t>
      </w:r>
      <w:r>
        <w:rPr>
          <w:rFonts w:ascii="Arial" w:eastAsia="Arial" w:hAnsi="Arial" w:cs="Arial"/>
          <w:color w:val="000000"/>
          <w:sz w:val="24"/>
          <w:szCs w:val="24"/>
        </w:rPr>
        <w:t xml:space="preserve">Nora Ruvalcaba Gámez en su </w:t>
      </w:r>
      <w:r>
        <w:rPr>
          <w:rFonts w:ascii="Arial" w:eastAsia="Arial" w:hAnsi="Arial" w:cs="Arial"/>
          <w:sz w:val="24"/>
          <w:szCs w:val="24"/>
        </w:rPr>
        <w:t>carácter</w:t>
      </w:r>
      <w:r>
        <w:rPr>
          <w:rFonts w:ascii="Arial" w:eastAsia="Arial" w:hAnsi="Arial" w:cs="Arial"/>
          <w:color w:val="000000"/>
          <w:sz w:val="24"/>
          <w:szCs w:val="24"/>
        </w:rPr>
        <w:t xml:space="preserve"> de </w:t>
      </w:r>
      <w:r>
        <w:rPr>
          <w:rFonts w:ascii="Arial" w:eastAsia="Arial" w:hAnsi="Arial" w:cs="Arial"/>
          <w:sz w:val="24"/>
          <w:szCs w:val="24"/>
        </w:rPr>
        <w:t>candidata de Morena a la gubernatura de esta entidad, con independencia del medio por el cual se difundieron los mensajes cuestionados</w:t>
      </w:r>
      <w:r>
        <w:rPr>
          <w:rFonts w:ascii="Arial" w:eastAsia="Arial" w:hAnsi="Arial" w:cs="Arial"/>
          <w:sz w:val="24"/>
          <w:szCs w:val="24"/>
          <w:vertAlign w:val="superscript"/>
        </w:rPr>
        <w:footnoteReference w:id="5"/>
      </w:r>
      <w:r>
        <w:rPr>
          <w:rFonts w:ascii="Arial" w:eastAsia="Arial" w:hAnsi="Arial" w:cs="Arial"/>
          <w:sz w:val="24"/>
          <w:szCs w:val="24"/>
        </w:rPr>
        <w:t>.</w:t>
      </w:r>
      <w:r>
        <w:rPr>
          <w:rFonts w:ascii="Arial" w:eastAsia="Arial" w:hAnsi="Arial" w:cs="Arial"/>
          <w:color w:val="000000"/>
          <w:sz w:val="24"/>
          <w:szCs w:val="24"/>
        </w:rPr>
        <w:t xml:space="preserve"> Lo anterior, de conformidad con los artículos 252, fracción II, 268, 274 y 275 del Código Electoral.</w:t>
      </w:r>
    </w:p>
    <w:p w14:paraId="650AA614" w14:textId="77777777" w:rsidR="00187EF5" w:rsidRDefault="00187EF5">
      <w:pPr>
        <w:pBdr>
          <w:top w:val="nil"/>
          <w:left w:val="nil"/>
          <w:bottom w:val="nil"/>
          <w:right w:val="nil"/>
          <w:between w:val="nil"/>
        </w:pBdr>
        <w:rPr>
          <w:color w:val="000000"/>
        </w:rPr>
      </w:pPr>
    </w:p>
    <w:p w14:paraId="649244C6" w14:textId="77777777" w:rsidR="00187EF5" w:rsidRDefault="00745C3F">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III. Personería. </w:t>
      </w:r>
      <w:r>
        <w:rPr>
          <w:rFonts w:ascii="Arial" w:eastAsia="Arial" w:hAnsi="Arial" w:cs="Arial"/>
          <w:color w:val="000000"/>
          <w:sz w:val="24"/>
          <w:szCs w:val="24"/>
        </w:rPr>
        <w:t>La autoridad instructora tuvo por acreditada la personería del denunciante y l</w:t>
      </w:r>
      <w:r>
        <w:rPr>
          <w:rFonts w:ascii="Arial" w:eastAsia="Arial" w:hAnsi="Arial" w:cs="Arial"/>
          <w:sz w:val="24"/>
          <w:szCs w:val="24"/>
        </w:rPr>
        <w:t>as</w:t>
      </w:r>
      <w:r>
        <w:rPr>
          <w:rFonts w:ascii="Arial" w:eastAsia="Arial" w:hAnsi="Arial" w:cs="Arial"/>
          <w:color w:val="000000"/>
          <w:sz w:val="24"/>
          <w:szCs w:val="24"/>
        </w:rPr>
        <w:t xml:space="preserve"> </w:t>
      </w:r>
      <w:r>
        <w:rPr>
          <w:rFonts w:ascii="Arial" w:eastAsia="Arial" w:hAnsi="Arial" w:cs="Arial"/>
          <w:sz w:val="24"/>
          <w:szCs w:val="24"/>
        </w:rPr>
        <w:t>partes</w:t>
      </w:r>
      <w:r>
        <w:rPr>
          <w:rFonts w:ascii="Arial" w:eastAsia="Arial" w:hAnsi="Arial" w:cs="Arial"/>
          <w:color w:val="000000"/>
          <w:sz w:val="24"/>
          <w:szCs w:val="24"/>
        </w:rPr>
        <w:t xml:space="preserve"> denunciad</w:t>
      </w:r>
      <w:r>
        <w:rPr>
          <w:rFonts w:ascii="Arial" w:eastAsia="Arial" w:hAnsi="Arial" w:cs="Arial"/>
          <w:sz w:val="24"/>
          <w:szCs w:val="24"/>
        </w:rPr>
        <w:t>as, respectivamente</w:t>
      </w:r>
      <w:r>
        <w:rPr>
          <w:rFonts w:ascii="Arial" w:eastAsia="Arial" w:hAnsi="Arial" w:cs="Arial"/>
          <w:color w:val="000000"/>
          <w:sz w:val="24"/>
          <w:szCs w:val="24"/>
        </w:rPr>
        <w:t>.</w:t>
      </w:r>
    </w:p>
    <w:p w14:paraId="5A655544" w14:textId="77777777" w:rsidR="00187EF5" w:rsidRDefault="00187EF5">
      <w:pPr>
        <w:pBdr>
          <w:top w:val="nil"/>
          <w:left w:val="nil"/>
          <w:bottom w:val="nil"/>
          <w:right w:val="nil"/>
          <w:between w:val="nil"/>
        </w:pBdr>
        <w:rPr>
          <w:color w:val="000000"/>
        </w:rPr>
      </w:pPr>
    </w:p>
    <w:p w14:paraId="7C84FCC6" w14:textId="77777777" w:rsidR="00187EF5" w:rsidRDefault="00745C3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color w:val="000000"/>
          <w:sz w:val="24"/>
          <w:szCs w:val="24"/>
        </w:rPr>
        <w:t xml:space="preserve">IV. Causales de improcedencia. </w:t>
      </w:r>
      <w:r>
        <w:rPr>
          <w:rFonts w:ascii="Arial" w:eastAsia="Arial" w:hAnsi="Arial" w:cs="Arial"/>
          <w:color w:val="000000"/>
          <w:sz w:val="24"/>
          <w:szCs w:val="24"/>
        </w:rPr>
        <w:t xml:space="preserve">La ciudadana </w:t>
      </w:r>
      <w:r>
        <w:rPr>
          <w:rFonts w:ascii="Arial" w:eastAsia="Arial" w:hAnsi="Arial" w:cs="Arial"/>
          <w:sz w:val="24"/>
          <w:szCs w:val="24"/>
        </w:rPr>
        <w:t xml:space="preserve">Nora Ruvalcaba Gámez y el partido Morena, en sus escritos de contestación, refieren que la denuncia presentada en su contra es </w:t>
      </w:r>
      <w:r>
        <w:rPr>
          <w:rFonts w:ascii="Arial" w:eastAsia="Arial" w:hAnsi="Arial" w:cs="Arial"/>
          <w:b/>
          <w:sz w:val="24"/>
          <w:szCs w:val="24"/>
        </w:rPr>
        <w:t>frívola y oscura</w:t>
      </w:r>
      <w:r>
        <w:rPr>
          <w:rFonts w:ascii="Arial" w:eastAsia="Arial" w:hAnsi="Arial" w:cs="Arial"/>
          <w:sz w:val="24"/>
          <w:szCs w:val="24"/>
        </w:rPr>
        <w:t>, ya que no se ofrecieron elementos de prueba que permitan acreditar los hechos denunciados.</w:t>
      </w:r>
    </w:p>
    <w:p w14:paraId="14E2276D" w14:textId="77777777" w:rsidR="00187EF5" w:rsidRDefault="00187EF5">
      <w:pPr>
        <w:pBdr>
          <w:top w:val="nil"/>
          <w:left w:val="nil"/>
          <w:bottom w:val="nil"/>
          <w:right w:val="nil"/>
          <w:between w:val="nil"/>
        </w:pBdr>
        <w:rPr>
          <w:color w:val="000000"/>
        </w:rPr>
      </w:pPr>
    </w:p>
    <w:p w14:paraId="430F3EDD" w14:textId="77777777" w:rsidR="00187EF5" w:rsidRDefault="00745C3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El artículo 270, fracción V, del Código Electoral</w:t>
      </w:r>
      <w:r>
        <w:rPr>
          <w:rFonts w:ascii="Arial" w:eastAsia="Arial" w:hAnsi="Arial" w:cs="Arial"/>
          <w:sz w:val="24"/>
          <w:szCs w:val="24"/>
          <w:vertAlign w:val="superscript"/>
        </w:rPr>
        <w:footnoteReference w:id="6"/>
      </w:r>
      <w:r>
        <w:rPr>
          <w:rFonts w:ascii="Arial" w:eastAsia="Arial" w:hAnsi="Arial"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3AEB7BF4" w14:textId="4F5DAE10" w:rsidR="00187EF5" w:rsidRDefault="00745C3F">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 xml:space="preserve">Al respecto, este Tribunal considera que del escrito de la denuncia y de las constancias del expediente, se advierte que el denunciante señaló los hechos y las infracciones que, a su criterio se acreditan, además de que ofreció la pruebas que estimó pertinente, por tanto, no es posible actualizar tal causal de improcedencia, pues el quejoso ofreció las pruebas que consideró necesarias para la acreditación de los hechos cuestionados. Por tanto, la posible </w:t>
      </w:r>
      <w:r>
        <w:rPr>
          <w:rFonts w:ascii="Arial" w:eastAsia="Arial" w:hAnsi="Arial" w:cs="Arial"/>
          <w:sz w:val="24"/>
          <w:szCs w:val="24"/>
        </w:rPr>
        <w:lastRenderedPageBreak/>
        <w:t>actualización de la infracción, en todo caso, es materia de análisis en el estudio de fondo de la presente resolución.</w:t>
      </w:r>
    </w:p>
    <w:p w14:paraId="57EB7A72" w14:textId="70256012" w:rsidR="00721D00" w:rsidRDefault="00721D00">
      <w:pPr>
        <w:tabs>
          <w:tab w:val="left" w:pos="426"/>
        </w:tabs>
        <w:spacing w:before="240" w:line="360" w:lineRule="auto"/>
        <w:ind w:right="40"/>
        <w:jc w:val="both"/>
        <w:rPr>
          <w:rFonts w:ascii="Arial" w:eastAsia="Arial" w:hAnsi="Arial" w:cs="Arial"/>
          <w:b/>
          <w:bCs/>
          <w:sz w:val="24"/>
          <w:szCs w:val="24"/>
        </w:rPr>
      </w:pPr>
      <w:r w:rsidRPr="00721D00">
        <w:rPr>
          <w:rFonts w:ascii="Arial" w:eastAsia="Arial" w:hAnsi="Arial" w:cs="Arial"/>
          <w:b/>
          <w:bCs/>
          <w:sz w:val="24"/>
          <w:szCs w:val="24"/>
        </w:rPr>
        <w:t xml:space="preserve">V. </w:t>
      </w:r>
      <w:r w:rsidR="0066275B">
        <w:rPr>
          <w:rFonts w:ascii="Arial" w:eastAsia="Arial" w:hAnsi="Arial" w:cs="Arial"/>
          <w:b/>
          <w:bCs/>
          <w:sz w:val="24"/>
          <w:szCs w:val="24"/>
        </w:rPr>
        <w:t xml:space="preserve">Análisis preliminar que valora </w:t>
      </w:r>
      <w:r w:rsidR="00B34E79">
        <w:rPr>
          <w:rFonts w:ascii="Arial" w:eastAsia="Arial" w:hAnsi="Arial" w:cs="Arial"/>
          <w:b/>
          <w:bCs/>
          <w:sz w:val="24"/>
          <w:szCs w:val="24"/>
        </w:rPr>
        <w:t xml:space="preserve">la garantía al </w:t>
      </w:r>
      <w:r w:rsidR="0066275B">
        <w:rPr>
          <w:rFonts w:ascii="Arial" w:eastAsia="Arial" w:hAnsi="Arial" w:cs="Arial"/>
          <w:b/>
          <w:bCs/>
          <w:sz w:val="24"/>
          <w:szCs w:val="24"/>
        </w:rPr>
        <w:t>debido proceso de las partes</w:t>
      </w:r>
    </w:p>
    <w:p w14:paraId="2602B5D3" w14:textId="2C59C78C" w:rsidR="00686274" w:rsidRDefault="00686274" w:rsidP="00F90427">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 xml:space="preserve">De las constancias que obran en el expediente, se advierte que el 9 de mayo, el Instituto Local admitió el escrito de denuncia y, a su vez, citó a las partes a la audiencia de pruebas y alegatos </w:t>
      </w:r>
      <w:r w:rsidR="00DD67CE">
        <w:rPr>
          <w:rFonts w:ascii="Arial" w:eastAsia="Arial" w:hAnsi="Arial" w:cs="Arial"/>
          <w:sz w:val="24"/>
          <w:szCs w:val="24"/>
        </w:rPr>
        <w:t xml:space="preserve">para el </w:t>
      </w:r>
      <w:r>
        <w:rPr>
          <w:rFonts w:ascii="Arial" w:eastAsia="Arial" w:hAnsi="Arial" w:cs="Arial"/>
          <w:sz w:val="24"/>
          <w:szCs w:val="24"/>
        </w:rPr>
        <w:t>13 siguiente, ello a fin de garantizar el plazo de los tres días previsto por el Código Electoral. Tal acuerdo se notificó a las partes el mismo día.</w:t>
      </w:r>
    </w:p>
    <w:p w14:paraId="254C57C3" w14:textId="401DF87B" w:rsidR="00B34E79" w:rsidRDefault="00686274" w:rsidP="00F90427">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Sin embargo, en el acta de la audiencia de pruebas y alegatos, se asentó como fecha de celebración el día 9 de mayo. Al respecto, e</w:t>
      </w:r>
      <w:r w:rsidR="0066275B">
        <w:rPr>
          <w:rFonts w:ascii="Arial" w:eastAsia="Arial" w:hAnsi="Arial" w:cs="Arial"/>
          <w:sz w:val="24"/>
          <w:szCs w:val="24"/>
        </w:rPr>
        <w:t xml:space="preserve">ste Tribunal Electoral </w:t>
      </w:r>
      <w:r w:rsidR="00B34E79">
        <w:rPr>
          <w:rFonts w:ascii="Arial" w:eastAsia="Arial" w:hAnsi="Arial" w:cs="Arial"/>
          <w:sz w:val="24"/>
          <w:szCs w:val="24"/>
        </w:rPr>
        <w:t xml:space="preserve">estima que </w:t>
      </w:r>
      <w:r>
        <w:rPr>
          <w:rFonts w:ascii="Arial" w:eastAsia="Arial" w:hAnsi="Arial" w:cs="Arial"/>
          <w:sz w:val="24"/>
          <w:szCs w:val="24"/>
        </w:rPr>
        <w:t xml:space="preserve">ello se trató de un error </w:t>
      </w:r>
      <w:r w:rsidR="00DD67CE">
        <w:rPr>
          <w:rFonts w:ascii="Arial" w:eastAsia="Arial" w:hAnsi="Arial" w:cs="Arial"/>
          <w:sz w:val="24"/>
          <w:szCs w:val="24"/>
        </w:rPr>
        <w:t xml:space="preserve">involuntario </w:t>
      </w:r>
      <w:r>
        <w:rPr>
          <w:rFonts w:ascii="Arial" w:eastAsia="Arial" w:hAnsi="Arial" w:cs="Arial"/>
          <w:sz w:val="24"/>
          <w:szCs w:val="24"/>
        </w:rPr>
        <w:t>por parte del Instituto Local, ya que, tanto de la fecha de citación que se realizó en el acuerdo de admisión, como</w:t>
      </w:r>
      <w:r w:rsidR="00DD67CE">
        <w:rPr>
          <w:rFonts w:ascii="Arial" w:eastAsia="Arial" w:hAnsi="Arial" w:cs="Arial"/>
          <w:sz w:val="24"/>
          <w:szCs w:val="24"/>
        </w:rPr>
        <w:t xml:space="preserve"> la que se precisó</w:t>
      </w:r>
      <w:r>
        <w:rPr>
          <w:rFonts w:ascii="Arial" w:eastAsia="Arial" w:hAnsi="Arial" w:cs="Arial"/>
          <w:sz w:val="24"/>
          <w:szCs w:val="24"/>
        </w:rPr>
        <w:t xml:space="preserve"> </w:t>
      </w:r>
      <w:r w:rsidR="00DD67CE">
        <w:rPr>
          <w:rFonts w:ascii="Arial" w:eastAsia="Arial" w:hAnsi="Arial" w:cs="Arial"/>
          <w:sz w:val="24"/>
          <w:szCs w:val="24"/>
        </w:rPr>
        <w:t>en el informe circunstanciado que realizó el Secretario Ejecutivo, son coincidentes en afirmar que la audiencia de pruebas y alegatos se celebró el día 13 de mayo a las 15 horas con 5 minutos.</w:t>
      </w:r>
    </w:p>
    <w:p w14:paraId="76FF070B" w14:textId="590F25CC" w:rsidR="00187EF5" w:rsidRDefault="00DD67CE" w:rsidP="00F90427">
      <w:pPr>
        <w:tabs>
          <w:tab w:val="left" w:pos="426"/>
        </w:tabs>
        <w:spacing w:before="240" w:line="360" w:lineRule="auto"/>
        <w:ind w:right="40"/>
        <w:jc w:val="both"/>
        <w:rPr>
          <w:rFonts w:ascii="Arial" w:eastAsia="Arial" w:hAnsi="Arial" w:cs="Arial"/>
          <w:sz w:val="24"/>
          <w:szCs w:val="24"/>
        </w:rPr>
      </w:pPr>
      <w:r>
        <w:rPr>
          <w:rFonts w:ascii="Arial" w:eastAsia="Arial" w:hAnsi="Arial" w:cs="Arial"/>
          <w:sz w:val="24"/>
          <w:szCs w:val="24"/>
        </w:rPr>
        <w:t>Por lo argumentado</w:t>
      </w:r>
      <w:r w:rsidR="00F90427">
        <w:rPr>
          <w:rFonts w:ascii="Arial" w:eastAsia="Arial" w:hAnsi="Arial" w:cs="Arial"/>
          <w:sz w:val="24"/>
          <w:szCs w:val="24"/>
        </w:rPr>
        <w:t xml:space="preserve">, </w:t>
      </w:r>
      <w:r>
        <w:rPr>
          <w:rFonts w:ascii="Arial" w:eastAsia="Arial" w:hAnsi="Arial" w:cs="Arial"/>
          <w:sz w:val="24"/>
          <w:szCs w:val="24"/>
        </w:rPr>
        <w:t xml:space="preserve">como se adelantó, se estima que tal imprecisión se trató de un error involuntario respecto al formato del acta y, por tanto, ello </w:t>
      </w:r>
      <w:r w:rsidR="0066275B">
        <w:rPr>
          <w:rFonts w:ascii="Arial" w:eastAsia="Arial" w:hAnsi="Arial" w:cs="Arial"/>
          <w:sz w:val="24"/>
          <w:szCs w:val="24"/>
        </w:rPr>
        <w:t>no caus</w:t>
      </w:r>
      <w:r>
        <w:rPr>
          <w:rFonts w:ascii="Arial" w:eastAsia="Arial" w:hAnsi="Arial" w:cs="Arial"/>
          <w:sz w:val="24"/>
          <w:szCs w:val="24"/>
        </w:rPr>
        <w:t xml:space="preserve">ó </w:t>
      </w:r>
      <w:r w:rsidR="0066275B">
        <w:rPr>
          <w:rFonts w:ascii="Arial" w:eastAsia="Arial" w:hAnsi="Arial" w:cs="Arial"/>
          <w:sz w:val="24"/>
          <w:szCs w:val="24"/>
        </w:rPr>
        <w:t xml:space="preserve">afectación </w:t>
      </w:r>
      <w:r>
        <w:rPr>
          <w:rFonts w:ascii="Arial" w:eastAsia="Arial" w:hAnsi="Arial" w:cs="Arial"/>
          <w:sz w:val="24"/>
          <w:szCs w:val="24"/>
        </w:rPr>
        <w:t>a la garantía de las partes involucradas a un debido proceso, ya que sí se respetaron los tres días previstos por la normativa electoral.</w:t>
      </w:r>
    </w:p>
    <w:p w14:paraId="11772627" w14:textId="77777777" w:rsidR="00F90427" w:rsidRPr="00F90427" w:rsidRDefault="00F90427" w:rsidP="00F90427">
      <w:pPr>
        <w:pStyle w:val="Sinespaciado"/>
        <w:rPr>
          <w:rFonts w:eastAsia="Arial"/>
        </w:rPr>
      </w:pPr>
    </w:p>
    <w:p w14:paraId="30BE352C" w14:textId="1135A173" w:rsidR="00187EF5" w:rsidRDefault="00745C3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F90427">
        <w:rPr>
          <w:rFonts w:ascii="Arial" w:eastAsia="Arial" w:hAnsi="Arial" w:cs="Arial"/>
          <w:b/>
          <w:sz w:val="24"/>
          <w:szCs w:val="24"/>
        </w:rPr>
        <w:t>V</w:t>
      </w:r>
      <w:r w:rsidR="00721D00" w:rsidRPr="00F90427">
        <w:rPr>
          <w:rFonts w:ascii="Arial" w:eastAsia="Arial" w:hAnsi="Arial" w:cs="Arial"/>
          <w:b/>
          <w:sz w:val="24"/>
          <w:szCs w:val="24"/>
        </w:rPr>
        <w:t>I</w:t>
      </w:r>
      <w:r w:rsidRPr="00F90427">
        <w:rPr>
          <w:rFonts w:ascii="Arial" w:eastAsia="Arial" w:hAnsi="Arial" w:cs="Arial"/>
          <w:b/>
          <w:sz w:val="24"/>
          <w:szCs w:val="24"/>
        </w:rPr>
        <w:t>. Est</w:t>
      </w:r>
      <w:r>
        <w:rPr>
          <w:rFonts w:ascii="Arial" w:eastAsia="Arial" w:hAnsi="Arial" w:cs="Arial"/>
          <w:b/>
          <w:sz w:val="24"/>
          <w:szCs w:val="24"/>
        </w:rPr>
        <w:t>udio de fondo</w:t>
      </w:r>
    </w:p>
    <w:p w14:paraId="0C0A9C59" w14:textId="77777777" w:rsidR="00187EF5" w:rsidRDefault="00187EF5">
      <w:pPr>
        <w:pBdr>
          <w:top w:val="nil"/>
          <w:left w:val="nil"/>
          <w:bottom w:val="nil"/>
          <w:right w:val="nil"/>
          <w:between w:val="nil"/>
        </w:pBdr>
        <w:rPr>
          <w:color w:val="000000"/>
          <w:sz w:val="16"/>
          <w:szCs w:val="16"/>
        </w:rPr>
      </w:pPr>
    </w:p>
    <w:p w14:paraId="0E1CC120" w14:textId="77777777" w:rsidR="00187EF5" w:rsidRDefault="00745C3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p>
    <w:p w14:paraId="0029A459" w14:textId="77777777" w:rsidR="00187EF5" w:rsidRDefault="00187EF5">
      <w:pPr>
        <w:pBdr>
          <w:top w:val="nil"/>
          <w:left w:val="nil"/>
          <w:bottom w:val="nil"/>
          <w:right w:val="nil"/>
          <w:between w:val="nil"/>
        </w:pBdr>
        <w:rPr>
          <w:color w:val="000000"/>
        </w:rPr>
      </w:pPr>
    </w:p>
    <w:p w14:paraId="589294E4" w14:textId="77777777" w:rsidR="00187EF5" w:rsidRDefault="00745C3F">
      <w:pPr>
        <w:numPr>
          <w:ilvl w:val="1"/>
          <w:numId w:val="9"/>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bookmarkStart w:id="3" w:name="_heading=h.1fob9te" w:colFirst="0" w:colLast="0"/>
      <w:bookmarkEnd w:id="3"/>
      <w:r>
        <w:rPr>
          <w:rFonts w:ascii="Arial" w:eastAsia="Arial" w:hAnsi="Arial" w:cs="Arial"/>
          <w:b/>
          <w:color w:val="000000"/>
          <w:sz w:val="24"/>
          <w:szCs w:val="24"/>
        </w:rPr>
        <w:t xml:space="preserve">En contra de Nora Ruvalcaba Gámez. </w:t>
      </w:r>
      <w:r>
        <w:rPr>
          <w:rFonts w:ascii="Arial" w:eastAsia="Arial" w:hAnsi="Arial" w:cs="Arial"/>
          <w:color w:val="000000"/>
          <w:sz w:val="24"/>
          <w:szCs w:val="24"/>
        </w:rPr>
        <w:t xml:space="preserve">El PAN refiere que la denunciada </w:t>
      </w:r>
      <w:r>
        <w:rPr>
          <w:rFonts w:ascii="Arial" w:eastAsia="Arial" w:hAnsi="Arial" w:cs="Arial"/>
          <w:b/>
          <w:color w:val="000000"/>
          <w:sz w:val="24"/>
          <w:szCs w:val="24"/>
        </w:rPr>
        <w:t xml:space="preserve">realizó la difusión de propaganda calumniosa </w:t>
      </w:r>
      <w:r>
        <w:rPr>
          <w:rFonts w:ascii="Arial" w:eastAsia="Arial" w:hAnsi="Arial" w:cs="Arial"/>
          <w:color w:val="000000"/>
          <w:sz w:val="24"/>
          <w:szCs w:val="24"/>
        </w:rPr>
        <w:t xml:space="preserve">en perjuicio del propio instituto político y de la coalición “Va Por Aguascalientes”, en atención a que, del contenido de la misma, se genera una imputación por la supuesta comisión de actos de corrupción y delito de “robo”, </w:t>
      </w:r>
      <w:r>
        <w:rPr>
          <w:rFonts w:ascii="Arial" w:eastAsia="Arial" w:hAnsi="Arial" w:cs="Arial"/>
          <w:sz w:val="24"/>
          <w:szCs w:val="24"/>
        </w:rPr>
        <w:t>sin elementos mínimos de respaldo, situación que menoscaba</w:t>
      </w:r>
      <w:r>
        <w:rPr>
          <w:rFonts w:ascii="Arial" w:eastAsia="Arial" w:hAnsi="Arial" w:cs="Arial"/>
          <w:color w:val="000000"/>
          <w:sz w:val="24"/>
          <w:szCs w:val="24"/>
        </w:rPr>
        <w:t xml:space="preserve"> la imagen y proyección política de los quejosos con impacto en el presente proceso electoral local</w:t>
      </w:r>
      <w:r>
        <w:rPr>
          <w:rFonts w:ascii="Arial" w:eastAsia="Arial" w:hAnsi="Arial" w:cs="Arial"/>
          <w:sz w:val="24"/>
          <w:szCs w:val="24"/>
        </w:rPr>
        <w:t>. El contenido de la publicación cuestionada, es el siguiente</w:t>
      </w:r>
      <w:r>
        <w:rPr>
          <w:rFonts w:ascii="Arial" w:eastAsia="Arial" w:hAnsi="Arial" w:cs="Arial"/>
          <w:color w:val="000000"/>
          <w:sz w:val="24"/>
          <w:szCs w:val="24"/>
        </w:rPr>
        <w:t xml:space="preserve">:  </w:t>
      </w:r>
    </w:p>
    <w:p w14:paraId="0A66CF44" w14:textId="77777777" w:rsidR="00187EF5" w:rsidRDefault="00187EF5">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p>
    <w:tbl>
      <w:tblPr>
        <w:tblStyle w:val="a0"/>
        <w:tblW w:w="9634"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00" w:firstRow="0" w:lastRow="0" w:firstColumn="0" w:lastColumn="0" w:noHBand="0" w:noVBand="1"/>
      </w:tblPr>
      <w:tblGrid>
        <w:gridCol w:w="5098"/>
        <w:gridCol w:w="4536"/>
      </w:tblGrid>
      <w:tr w:rsidR="00187EF5" w14:paraId="16F0BBCB" w14:textId="77777777" w:rsidTr="00187EF5">
        <w:trPr>
          <w:cnfStyle w:val="000000100000" w:firstRow="0" w:lastRow="0" w:firstColumn="0" w:lastColumn="0" w:oddVBand="0" w:evenVBand="0" w:oddHBand="1" w:evenHBand="0" w:firstRowFirstColumn="0" w:firstRowLastColumn="0" w:lastRowFirstColumn="0" w:lastRowLastColumn="0"/>
        </w:trPr>
        <w:tc>
          <w:tcPr>
            <w:tcW w:w="5098" w:type="dxa"/>
          </w:tcPr>
          <w:p w14:paraId="252A1CCD" w14:textId="77777777" w:rsidR="00187EF5" w:rsidRDefault="00745C3F">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 xml:space="preserve">Imagen </w:t>
            </w:r>
          </w:p>
        </w:tc>
        <w:tc>
          <w:tcPr>
            <w:tcW w:w="4536" w:type="dxa"/>
          </w:tcPr>
          <w:p w14:paraId="5B9FA7AF" w14:textId="77777777" w:rsidR="00187EF5" w:rsidRDefault="00745C3F">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Contenido</w:t>
            </w:r>
          </w:p>
        </w:tc>
      </w:tr>
      <w:tr w:rsidR="00187EF5" w14:paraId="24E3D5EE" w14:textId="77777777" w:rsidTr="00187EF5">
        <w:tc>
          <w:tcPr>
            <w:tcW w:w="9634" w:type="dxa"/>
            <w:gridSpan w:val="2"/>
          </w:tcPr>
          <w:p w14:paraId="2C611EB5" w14:textId="77777777" w:rsidR="00187EF5" w:rsidRDefault="00745C3F">
            <w:pPr>
              <w:tabs>
                <w:tab w:val="left" w:pos="426"/>
              </w:tabs>
              <w:spacing w:line="360" w:lineRule="auto"/>
              <w:ind w:right="36"/>
              <w:jc w:val="center"/>
              <w:rPr>
                <w:rFonts w:ascii="Arial" w:eastAsia="Arial" w:hAnsi="Arial" w:cs="Arial"/>
                <w:b/>
                <w:color w:val="000000"/>
                <w:sz w:val="24"/>
                <w:szCs w:val="24"/>
              </w:rPr>
            </w:pPr>
            <w:r>
              <w:rPr>
                <w:rFonts w:ascii="Arial" w:eastAsia="Arial" w:hAnsi="Arial" w:cs="Arial"/>
                <w:b/>
                <w:color w:val="000000"/>
                <w:sz w:val="24"/>
                <w:szCs w:val="24"/>
              </w:rPr>
              <w:t xml:space="preserve">Encabezado de la publicación </w:t>
            </w:r>
          </w:p>
        </w:tc>
      </w:tr>
      <w:tr w:rsidR="00187EF5" w14:paraId="11EAB892" w14:textId="77777777" w:rsidTr="00187EF5">
        <w:trPr>
          <w:cnfStyle w:val="000000100000" w:firstRow="0" w:lastRow="0" w:firstColumn="0" w:lastColumn="0" w:oddVBand="0" w:evenVBand="0" w:oddHBand="1" w:evenHBand="0" w:firstRowFirstColumn="0" w:firstRowLastColumn="0" w:lastRowFirstColumn="0" w:lastRowLastColumn="0"/>
          <w:trHeight w:val="692"/>
        </w:trPr>
        <w:tc>
          <w:tcPr>
            <w:tcW w:w="5098" w:type="dxa"/>
          </w:tcPr>
          <w:p w14:paraId="5392CC93"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lastRenderedPageBreak/>
              <w:drawing>
                <wp:inline distT="0" distB="0" distL="0" distR="0" wp14:anchorId="56FA2640" wp14:editId="559A41A3">
                  <wp:extent cx="2507687" cy="1310701"/>
                  <wp:effectExtent l="0" t="0" r="0" b="0"/>
                  <wp:docPr id="7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l="26380" t="14142" r="35400" b="50341"/>
                          <a:stretch>
                            <a:fillRect/>
                          </a:stretch>
                        </pic:blipFill>
                        <pic:spPr>
                          <a:xfrm>
                            <a:off x="0" y="0"/>
                            <a:ext cx="2507687" cy="1310701"/>
                          </a:xfrm>
                          <a:prstGeom prst="rect">
                            <a:avLst/>
                          </a:prstGeom>
                          <a:ln/>
                        </pic:spPr>
                      </pic:pic>
                    </a:graphicData>
                  </a:graphic>
                </wp:inline>
              </w:drawing>
            </w:r>
          </w:p>
        </w:tc>
        <w:tc>
          <w:tcPr>
            <w:tcW w:w="4536" w:type="dxa"/>
          </w:tcPr>
          <w:p w14:paraId="41BEF752"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Texto:</w:t>
            </w:r>
          </w:p>
          <w:p w14:paraId="5622EF69" w14:textId="77777777" w:rsidR="00187EF5" w:rsidRDefault="00187EF5">
            <w:pPr>
              <w:pBdr>
                <w:top w:val="nil"/>
                <w:left w:val="nil"/>
                <w:bottom w:val="nil"/>
                <w:right w:val="nil"/>
                <w:between w:val="nil"/>
              </w:pBdr>
              <w:ind w:left="179" w:right="174"/>
              <w:jc w:val="both"/>
              <w:rPr>
                <w:color w:val="000000"/>
              </w:rPr>
            </w:pPr>
          </w:p>
          <w:p w14:paraId="15477B32"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“Aguascalientes despierta y le pone un alto a la corrupción. </w:t>
            </w:r>
          </w:p>
          <w:p w14:paraId="724DDDCA"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b/>
                <w:color w:val="000000"/>
                <w:sz w:val="24"/>
                <w:szCs w:val="24"/>
              </w:rPr>
              <w:t>El PRIAN y Teresa moches nunca van a dejar de robar</w:t>
            </w:r>
            <w:r>
              <w:rPr>
                <w:rFonts w:ascii="Arial" w:eastAsia="Arial" w:hAnsi="Arial" w:cs="Arial"/>
                <w:color w:val="000000"/>
                <w:sz w:val="24"/>
                <w:szCs w:val="24"/>
              </w:rPr>
              <w:t xml:space="preserve">, lo bueno es que ya se van de nuestro estado. </w:t>
            </w:r>
          </w:p>
          <w:p w14:paraId="30428A2A"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    ¡Llegó la transformación! </w:t>
            </w:r>
            <w:r>
              <w:rPr>
                <w:noProof/>
              </w:rPr>
              <mc:AlternateContent>
                <mc:Choice Requires="wps">
                  <w:drawing>
                    <wp:anchor distT="0" distB="0" distL="114300" distR="114300" simplePos="0" relativeHeight="251658240" behindDoc="0" locked="0" layoutInCell="1" hidden="0" allowOverlap="1" wp14:anchorId="19D4E2A2" wp14:editId="17072138">
                      <wp:simplePos x="0" y="0"/>
                      <wp:positionH relativeFrom="column">
                        <wp:posOffset>2006600</wp:posOffset>
                      </wp:positionH>
                      <wp:positionV relativeFrom="paragraph">
                        <wp:posOffset>12700</wp:posOffset>
                      </wp:positionV>
                      <wp:extent cx="120650" cy="130810"/>
                      <wp:effectExtent l="0" t="0" r="0" b="0"/>
                      <wp:wrapNone/>
                      <wp:docPr id="67" name="Corazón 67"/>
                      <wp:cNvGraphicFramePr/>
                      <a:graphic xmlns:a="http://schemas.openxmlformats.org/drawingml/2006/main">
                        <a:graphicData uri="http://schemas.microsoft.com/office/word/2010/wordprocessingShape">
                          <wps:wsp>
                            <wps:cNvSpPr/>
                            <wps:spPr>
                              <a:xfrm>
                                <a:off x="5292025" y="3720945"/>
                                <a:ext cx="107950" cy="118110"/>
                              </a:xfrm>
                              <a:prstGeom prst="heart">
                                <a:avLst/>
                              </a:prstGeom>
                              <a:solidFill>
                                <a:schemeClr val="dk1"/>
                              </a:solidFill>
                              <a:ln w="12700" cap="flat" cmpd="sng">
                                <a:solidFill>
                                  <a:schemeClr val="dk1"/>
                                </a:solidFill>
                                <a:prstDash val="solid"/>
                                <a:miter lim="800000"/>
                                <a:headEnd type="none" w="sm" len="sm"/>
                                <a:tailEnd type="none" w="sm" len="sm"/>
                              </a:ln>
                            </wps:spPr>
                            <wps:txbx>
                              <w:txbxContent>
                                <w:p w14:paraId="0A06A087" w14:textId="77777777" w:rsidR="00187EF5" w:rsidRDefault="00187EF5">
                                  <w:pPr>
                                    <w:textDirection w:val="btLr"/>
                                  </w:pPr>
                                </w:p>
                              </w:txbxContent>
                            </wps:txbx>
                            <wps:bodyPr spcFirstLastPara="1" wrap="square" lIns="91425" tIns="91425" rIns="91425" bIns="91425" anchor="ctr" anchorCtr="0">
                              <a:noAutofit/>
                            </wps:bodyPr>
                          </wps:wsp>
                        </a:graphicData>
                      </a:graphic>
                    </wp:anchor>
                  </w:drawing>
                </mc:Choice>
                <mc:Fallback>
                  <w:pict>
                    <v:shape w14:anchorId="19D4E2A2" id="Corazón 67" o:spid="_x0000_s1026" style="position:absolute;left:0;text-align:left;margin-left:158pt;margin-top:1pt;width:9.5pt;height:10.3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107950,1181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" adj="-11796480,,5400" path="m53975,29528v22490,-68898,110199,,,88582c-56224,29528,31485,-39370,53975,29528xe" fillcolor="black [3200]" strokecolor="black [3200]" strokeweight="1pt">
                      <v:stroke startarrowwidth="narrow" startarrowlength="short" endarrowwidth="narrow" endarrowlength="short" joinstyle="miter"/>
                      <v:formulas/>
                      <v:path arrowok="t" o:connecttype="custom" o:connectlocs="53975,29528;53975,118110;53975,29528" o:connectangles="0,0,0" textboxrect="0,0,107950,118110"/>
                      <v:textbox inset="2.53958mm,2.53958mm,2.53958mm,2.53958mm">
                        <w:txbxContent>
                          <w:p w14:paraId="0A06A087" w14:textId="77777777" w:rsidR="00187EF5" w:rsidRDefault="00187EF5">
                            <w:pPr>
                              <w:textDirection w:val="btLr"/>
                            </w:pPr>
                          </w:p>
                        </w:txbxContent>
                      </v:textbox>
                    </v:shape>
                  </w:pict>
                </mc:Fallback>
              </mc:AlternateContent>
            </w:r>
            <w:r>
              <w:rPr>
                <w:noProof/>
              </w:rPr>
              <mc:AlternateContent>
                <mc:Choice Requires="wps">
                  <w:drawing>
                    <wp:anchor distT="0" distB="0" distL="114300" distR="114300" simplePos="0" relativeHeight="251659264" behindDoc="0" locked="0" layoutInCell="1" hidden="0" allowOverlap="1" wp14:anchorId="079215F2" wp14:editId="0A60AC06">
                      <wp:simplePos x="0" y="0"/>
                      <wp:positionH relativeFrom="column">
                        <wp:posOffset>114300</wp:posOffset>
                      </wp:positionH>
                      <wp:positionV relativeFrom="paragraph">
                        <wp:posOffset>12700</wp:posOffset>
                      </wp:positionV>
                      <wp:extent cx="124884" cy="131233"/>
                      <wp:effectExtent l="0" t="0" r="0" b="0"/>
                      <wp:wrapNone/>
                      <wp:docPr id="69" name="Corazón 69"/>
                      <wp:cNvGraphicFramePr/>
                      <a:graphic xmlns:a="http://schemas.openxmlformats.org/drawingml/2006/main">
                        <a:graphicData uri="http://schemas.microsoft.com/office/word/2010/wordprocessingShape">
                          <wps:wsp>
                            <wps:cNvSpPr/>
                            <wps:spPr>
                              <a:xfrm>
                                <a:off x="5289908" y="3720734"/>
                                <a:ext cx="112184" cy="118533"/>
                              </a:xfrm>
                              <a:prstGeom prst="heart">
                                <a:avLst/>
                              </a:prstGeom>
                              <a:solidFill>
                                <a:schemeClr val="dk1"/>
                              </a:solidFill>
                              <a:ln w="12700" cap="flat" cmpd="sng">
                                <a:solidFill>
                                  <a:schemeClr val="dk1"/>
                                </a:solidFill>
                                <a:prstDash val="solid"/>
                                <a:miter lim="800000"/>
                                <a:headEnd type="none" w="sm" len="sm"/>
                                <a:tailEnd type="none" w="sm" len="sm"/>
                              </a:ln>
                            </wps:spPr>
                            <wps:txbx>
                              <w:txbxContent>
                                <w:p w14:paraId="7B3507B4" w14:textId="77777777" w:rsidR="00187EF5" w:rsidRDefault="00187EF5">
                                  <w:pPr>
                                    <w:textDirection w:val="btLr"/>
                                  </w:pPr>
                                </w:p>
                              </w:txbxContent>
                            </wps:txbx>
                            <wps:bodyPr spcFirstLastPara="1" wrap="square" lIns="91425" tIns="91425" rIns="91425" bIns="91425" anchor="ctr" anchorCtr="0">
                              <a:noAutofit/>
                            </wps:bodyPr>
                          </wps:wsp>
                        </a:graphicData>
                      </a:graphic>
                    </wp:anchor>
                  </w:drawing>
                </mc:Choice>
                <mc:Fallback>
                  <w:pict>
                    <v:shape w14:anchorId="079215F2" id="Corazón 69" o:spid="_x0000_s1027" style="position:absolute;left:0;text-align:left;margin-left:9pt;margin-top:1pt;width:9.85pt;height:10.35pt;z-index:251659264;visibility:visible;mso-wrap-style:square;mso-wrap-distance-left:9pt;mso-wrap-distance-top:0;mso-wrap-distance-right:9pt;mso-wrap-distance-bottom:0;mso-position-horizontal:absolute;mso-position-horizontal-relative:text;mso-position-vertical:absolute;mso-position-vertical-relative:text;v-text-anchor:middle" coordsize="112184,11853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" adj="-11796480,,5400" path="m56092,29633v23372,-69144,114521,,,88900c-58429,29633,32720,-39511,56092,29633xe" fillcolor="black [3200]" strokecolor="black [3200]" strokeweight="1pt">
                      <v:stroke startarrowwidth="narrow" startarrowlength="short" endarrowwidth="narrow" endarrowlength="short" joinstyle="miter"/>
                      <v:formulas/>
                      <v:path arrowok="t" o:connecttype="custom" o:connectlocs="56092,29633;56092,118533;56092,29633" o:connectangles="0,0,0" textboxrect="0,0,112184,118533"/>
                      <v:textbox inset="2.53958mm,2.53958mm,2.53958mm,2.53958mm">
                        <w:txbxContent>
                          <w:p w14:paraId="7B3507B4" w14:textId="77777777" w:rsidR="00187EF5" w:rsidRDefault="00187EF5">
                            <w:pPr>
                              <w:textDirection w:val="btLr"/>
                            </w:pPr>
                          </w:p>
                        </w:txbxContent>
                      </v:textbox>
                    </v:shape>
                  </w:pict>
                </mc:Fallback>
              </mc:AlternateContent>
            </w:r>
          </w:p>
          <w:p w14:paraId="03BB49CC"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#NoraGobernadora”</w:t>
            </w:r>
          </w:p>
          <w:p w14:paraId="430AD719"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tc>
      </w:tr>
      <w:tr w:rsidR="00187EF5" w14:paraId="3C12B264" w14:textId="77777777" w:rsidTr="00187EF5">
        <w:trPr>
          <w:trHeight w:val="409"/>
        </w:trPr>
        <w:tc>
          <w:tcPr>
            <w:tcW w:w="9634" w:type="dxa"/>
            <w:gridSpan w:val="2"/>
          </w:tcPr>
          <w:p w14:paraId="74B76E63" w14:textId="77777777" w:rsidR="00187EF5" w:rsidRDefault="00745C3F">
            <w:pPr>
              <w:pBdr>
                <w:top w:val="nil"/>
                <w:left w:val="nil"/>
                <w:bottom w:val="nil"/>
                <w:right w:val="nil"/>
                <w:between w:val="nil"/>
              </w:pBdr>
              <w:ind w:left="179" w:right="174"/>
              <w:jc w:val="center"/>
              <w:rPr>
                <w:rFonts w:ascii="Arial" w:eastAsia="Arial" w:hAnsi="Arial" w:cs="Arial"/>
                <w:b/>
                <w:color w:val="000000"/>
                <w:sz w:val="24"/>
                <w:szCs w:val="24"/>
              </w:rPr>
            </w:pPr>
            <w:r>
              <w:rPr>
                <w:rFonts w:ascii="Arial" w:eastAsia="Arial" w:hAnsi="Arial" w:cs="Arial"/>
                <w:b/>
                <w:color w:val="000000"/>
                <w:sz w:val="24"/>
                <w:szCs w:val="24"/>
              </w:rPr>
              <w:t>Contenido del video</w:t>
            </w:r>
          </w:p>
        </w:tc>
      </w:tr>
      <w:tr w:rsidR="00187EF5" w14:paraId="11ED0022" w14:textId="77777777" w:rsidTr="00187EF5">
        <w:trPr>
          <w:cnfStyle w:val="000000100000" w:firstRow="0" w:lastRow="0" w:firstColumn="0" w:lastColumn="0" w:oddVBand="0" w:evenVBand="0" w:oddHBand="1" w:evenHBand="0" w:firstRowFirstColumn="0" w:firstRowLastColumn="0" w:lastRowFirstColumn="0" w:lastRowLastColumn="0"/>
          <w:trHeight w:val="1957"/>
        </w:trPr>
        <w:tc>
          <w:tcPr>
            <w:tcW w:w="5098" w:type="dxa"/>
          </w:tcPr>
          <w:p w14:paraId="34528BDB"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39B4241E" wp14:editId="4EDA66BE">
                  <wp:extent cx="2201352" cy="1454030"/>
                  <wp:effectExtent l="0" t="0" r="0" b="0"/>
                  <wp:docPr id="73"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9"/>
                          <a:srcRect l="46358" t="19312" r="1067" b="18948"/>
                          <a:stretch>
                            <a:fillRect/>
                          </a:stretch>
                        </pic:blipFill>
                        <pic:spPr>
                          <a:xfrm>
                            <a:off x="0" y="0"/>
                            <a:ext cx="2201352" cy="1454030"/>
                          </a:xfrm>
                          <a:prstGeom prst="rect">
                            <a:avLst/>
                          </a:prstGeom>
                          <a:ln/>
                        </pic:spPr>
                      </pic:pic>
                    </a:graphicData>
                  </a:graphic>
                </wp:inline>
              </w:drawing>
            </w:r>
          </w:p>
        </w:tc>
        <w:tc>
          <w:tcPr>
            <w:tcW w:w="4536" w:type="dxa"/>
          </w:tcPr>
          <w:p w14:paraId="5DCC2F1E"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Sonido de fondo: </w:t>
            </w:r>
          </w:p>
          <w:p w14:paraId="7D387493"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79DD3411"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*Melodía musical</w:t>
            </w:r>
          </w:p>
          <w:p w14:paraId="36237C5E"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0A66F64C"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Texto: </w:t>
            </w:r>
          </w:p>
          <w:p w14:paraId="2B03746A"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3E95BFD4"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“El panadero con el PAN”</w:t>
            </w:r>
          </w:p>
        </w:tc>
      </w:tr>
      <w:tr w:rsidR="00187EF5" w14:paraId="5106EF85" w14:textId="77777777" w:rsidTr="00187EF5">
        <w:trPr>
          <w:trHeight w:val="2114"/>
        </w:trPr>
        <w:tc>
          <w:tcPr>
            <w:tcW w:w="5098" w:type="dxa"/>
          </w:tcPr>
          <w:p w14:paraId="4C2AE334" w14:textId="77777777" w:rsidR="00187EF5" w:rsidRDefault="00745C3F">
            <w:pPr>
              <w:tabs>
                <w:tab w:val="right" w:pos="4846"/>
              </w:tabs>
              <w:spacing w:line="360" w:lineRule="auto"/>
              <w:ind w:right="36"/>
              <w:jc w:val="center"/>
              <w:rPr>
                <w:rFonts w:ascii="Arial" w:eastAsia="Arial" w:hAnsi="Arial" w:cs="Arial"/>
                <w:color w:val="000000"/>
                <w:sz w:val="24"/>
                <w:szCs w:val="24"/>
              </w:rPr>
            </w:pPr>
            <w:r>
              <w:rPr>
                <w:noProof/>
              </w:rPr>
              <w:drawing>
                <wp:inline distT="0" distB="0" distL="0" distR="0" wp14:anchorId="2BA46AAE" wp14:editId="5D9D5F04">
                  <wp:extent cx="2211267" cy="1479720"/>
                  <wp:effectExtent l="0" t="0" r="0" b="0"/>
                  <wp:docPr id="7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0"/>
                          <a:srcRect l="46746" t="19656" r="1648" b="18946"/>
                          <a:stretch>
                            <a:fillRect/>
                          </a:stretch>
                        </pic:blipFill>
                        <pic:spPr>
                          <a:xfrm>
                            <a:off x="0" y="0"/>
                            <a:ext cx="2211267" cy="1479720"/>
                          </a:xfrm>
                          <a:prstGeom prst="rect">
                            <a:avLst/>
                          </a:prstGeom>
                          <a:ln/>
                        </pic:spPr>
                      </pic:pic>
                    </a:graphicData>
                  </a:graphic>
                </wp:inline>
              </w:drawing>
            </w:r>
          </w:p>
        </w:tc>
        <w:tc>
          <w:tcPr>
            <w:tcW w:w="4536" w:type="dxa"/>
          </w:tcPr>
          <w:p w14:paraId="245B2D57"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Sonido de fondo: </w:t>
            </w:r>
          </w:p>
          <w:p w14:paraId="58E72836"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36FE9601"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“El panadero con el pan, el panadero con el pan, el panadero con el pan, el panadero con el pan”</w:t>
            </w:r>
          </w:p>
          <w:p w14:paraId="5FCD7DE7"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6963E314"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Apoyo visual: </w:t>
            </w:r>
          </w:p>
          <w:p w14:paraId="380B6024"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277411CE" w14:textId="77777777" w:rsidR="00187EF5" w:rsidRDefault="00745C3F">
            <w:pPr>
              <w:numPr>
                <w:ilvl w:val="0"/>
                <w:numId w:val="4"/>
              </w:numPr>
              <w:pBdr>
                <w:top w:val="nil"/>
                <w:left w:val="nil"/>
                <w:bottom w:val="nil"/>
                <w:right w:val="nil"/>
                <w:between w:val="nil"/>
              </w:pBdr>
              <w:ind w:right="174"/>
              <w:jc w:val="both"/>
              <w:rPr>
                <w:rFonts w:ascii="Arial" w:eastAsia="Arial" w:hAnsi="Arial" w:cs="Arial"/>
                <w:color w:val="000000"/>
                <w:sz w:val="24"/>
                <w:szCs w:val="24"/>
              </w:rPr>
            </w:pPr>
            <w:r>
              <w:rPr>
                <w:rFonts w:ascii="Arial" w:eastAsia="Arial" w:hAnsi="Arial" w:cs="Arial"/>
                <w:color w:val="000000"/>
                <w:sz w:val="24"/>
                <w:szCs w:val="24"/>
              </w:rPr>
              <w:t xml:space="preserve">Logotipo Nora Gobernadora </w:t>
            </w:r>
          </w:p>
          <w:p w14:paraId="2ADBE5AD" w14:textId="77777777" w:rsidR="00187EF5" w:rsidRDefault="00745C3F">
            <w:pPr>
              <w:numPr>
                <w:ilvl w:val="0"/>
                <w:numId w:val="4"/>
              </w:numPr>
              <w:pBdr>
                <w:top w:val="nil"/>
                <w:left w:val="nil"/>
                <w:bottom w:val="nil"/>
                <w:right w:val="nil"/>
                <w:between w:val="nil"/>
              </w:pBdr>
              <w:ind w:right="174"/>
              <w:jc w:val="both"/>
              <w:rPr>
                <w:rFonts w:ascii="Arial" w:eastAsia="Arial" w:hAnsi="Arial" w:cs="Arial"/>
                <w:color w:val="000000"/>
                <w:sz w:val="24"/>
                <w:szCs w:val="24"/>
              </w:rPr>
            </w:pPr>
            <w:r>
              <w:rPr>
                <w:rFonts w:ascii="Arial" w:eastAsia="Arial" w:hAnsi="Arial" w:cs="Arial"/>
                <w:color w:val="000000"/>
                <w:sz w:val="24"/>
                <w:szCs w:val="24"/>
              </w:rPr>
              <w:t>Emblema de Morena</w:t>
            </w:r>
          </w:p>
        </w:tc>
      </w:tr>
      <w:tr w:rsidR="00187EF5" w14:paraId="358FB5CB" w14:textId="77777777" w:rsidTr="00187EF5">
        <w:trPr>
          <w:cnfStyle w:val="000000100000" w:firstRow="0" w:lastRow="0" w:firstColumn="0" w:lastColumn="0" w:oddVBand="0" w:evenVBand="0" w:oddHBand="1" w:evenHBand="0" w:firstRowFirstColumn="0" w:firstRowLastColumn="0" w:lastRowFirstColumn="0" w:lastRowLastColumn="0"/>
          <w:trHeight w:val="2398"/>
        </w:trPr>
        <w:tc>
          <w:tcPr>
            <w:tcW w:w="5098" w:type="dxa"/>
          </w:tcPr>
          <w:p w14:paraId="121F9AB6"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7952F311" wp14:editId="7E43D27A">
                  <wp:extent cx="2213101" cy="1472654"/>
                  <wp:effectExtent l="0" t="0" r="0" b="0"/>
                  <wp:docPr id="7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1"/>
                          <a:srcRect l="46553" t="18968" r="1262" b="19293"/>
                          <a:stretch>
                            <a:fillRect/>
                          </a:stretch>
                        </pic:blipFill>
                        <pic:spPr>
                          <a:xfrm>
                            <a:off x="0" y="0"/>
                            <a:ext cx="2213101" cy="1472654"/>
                          </a:xfrm>
                          <a:prstGeom prst="rect">
                            <a:avLst/>
                          </a:prstGeom>
                          <a:ln/>
                        </pic:spPr>
                      </pic:pic>
                    </a:graphicData>
                  </a:graphic>
                </wp:inline>
              </w:drawing>
            </w:r>
          </w:p>
        </w:tc>
        <w:tc>
          <w:tcPr>
            <w:tcW w:w="4536" w:type="dxa"/>
          </w:tcPr>
          <w:p w14:paraId="617EDFFA"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Sonido de fondo: </w:t>
            </w:r>
          </w:p>
          <w:p w14:paraId="5B636BEF"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 </w:t>
            </w:r>
          </w:p>
          <w:p w14:paraId="1030A22B"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Tempranito va y lo saca calientito </w:t>
            </w:r>
          </w:p>
          <w:p w14:paraId="34CA0624"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455A6799"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Texto: </w:t>
            </w:r>
          </w:p>
          <w:p w14:paraId="38452E3A"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510B3226"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“LADY ELOTES”</w:t>
            </w:r>
          </w:p>
        </w:tc>
      </w:tr>
      <w:tr w:rsidR="00187EF5" w14:paraId="37B85703" w14:textId="77777777" w:rsidTr="00187EF5">
        <w:trPr>
          <w:trHeight w:val="692"/>
        </w:trPr>
        <w:tc>
          <w:tcPr>
            <w:tcW w:w="5098" w:type="dxa"/>
          </w:tcPr>
          <w:p w14:paraId="653E0C5A" w14:textId="77777777" w:rsidR="00187EF5" w:rsidRDefault="00745C3F">
            <w:pPr>
              <w:tabs>
                <w:tab w:val="left" w:pos="426"/>
                <w:tab w:val="left" w:pos="3040"/>
              </w:tabs>
              <w:spacing w:line="360" w:lineRule="auto"/>
              <w:ind w:right="36"/>
              <w:jc w:val="center"/>
              <w:rPr>
                <w:rFonts w:ascii="Arial" w:eastAsia="Arial" w:hAnsi="Arial" w:cs="Arial"/>
                <w:color w:val="000000"/>
                <w:sz w:val="24"/>
                <w:szCs w:val="24"/>
              </w:rPr>
            </w:pPr>
            <w:r>
              <w:rPr>
                <w:noProof/>
              </w:rPr>
              <w:drawing>
                <wp:inline distT="0" distB="0" distL="0" distR="0" wp14:anchorId="0AEE838A" wp14:editId="7B390A4A">
                  <wp:extent cx="2252005" cy="1524133"/>
                  <wp:effectExtent l="0" t="0" r="0" b="0"/>
                  <wp:docPr id="7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l="46553" t="18623" r="1278" b="18603"/>
                          <a:stretch>
                            <a:fillRect/>
                          </a:stretch>
                        </pic:blipFill>
                        <pic:spPr>
                          <a:xfrm>
                            <a:off x="0" y="0"/>
                            <a:ext cx="2252005" cy="1524133"/>
                          </a:xfrm>
                          <a:prstGeom prst="rect">
                            <a:avLst/>
                          </a:prstGeom>
                          <a:ln/>
                        </pic:spPr>
                      </pic:pic>
                    </a:graphicData>
                  </a:graphic>
                </wp:inline>
              </w:drawing>
            </w:r>
          </w:p>
        </w:tc>
        <w:tc>
          <w:tcPr>
            <w:tcW w:w="4536" w:type="dxa"/>
          </w:tcPr>
          <w:p w14:paraId="186CD035"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Sonido de fondo: </w:t>
            </w:r>
          </w:p>
          <w:p w14:paraId="217C503B" w14:textId="77777777" w:rsidR="00187EF5" w:rsidRDefault="00187EF5">
            <w:pPr>
              <w:shd w:val="clear" w:color="auto" w:fill="FFFFFF"/>
              <w:rPr>
                <w:rFonts w:ascii="Arial" w:eastAsia="Arial" w:hAnsi="Arial" w:cs="Arial"/>
                <w:color w:val="000000"/>
                <w:sz w:val="24"/>
                <w:szCs w:val="24"/>
              </w:rPr>
            </w:pPr>
          </w:p>
          <w:p w14:paraId="391EAC25" w14:textId="77777777" w:rsidR="00187EF5" w:rsidRDefault="00745C3F" w:rsidP="00416D6B">
            <w:pPr>
              <w:shd w:val="clear" w:color="auto" w:fill="FFFFFF"/>
              <w:ind w:left="170"/>
              <w:rPr>
                <w:rFonts w:ascii="Arial" w:eastAsia="Arial" w:hAnsi="Arial" w:cs="Arial"/>
                <w:color w:val="000000"/>
                <w:sz w:val="24"/>
                <w:szCs w:val="24"/>
              </w:rPr>
            </w:pPr>
            <w:r>
              <w:rPr>
                <w:rFonts w:ascii="Arial" w:eastAsia="Arial" w:hAnsi="Arial" w:cs="Arial"/>
                <w:color w:val="000000"/>
                <w:sz w:val="24"/>
                <w:szCs w:val="24"/>
              </w:rPr>
              <w:t>En su canasta, pa’ salir con su clientela</w:t>
            </w:r>
          </w:p>
          <w:p w14:paraId="68BED092" w14:textId="77777777" w:rsidR="00187EF5" w:rsidRDefault="00187EF5">
            <w:pPr>
              <w:shd w:val="clear" w:color="auto" w:fill="FFFFFF"/>
              <w:rPr>
                <w:rFonts w:ascii="Arial" w:eastAsia="Arial" w:hAnsi="Arial" w:cs="Arial"/>
                <w:color w:val="000000"/>
                <w:sz w:val="24"/>
                <w:szCs w:val="24"/>
              </w:rPr>
            </w:pPr>
          </w:p>
          <w:p w14:paraId="7B5455AA"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Texto: </w:t>
            </w:r>
          </w:p>
          <w:p w14:paraId="6D6758C9"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30C604F1"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“LUMINARIAS”</w:t>
            </w:r>
            <w:r>
              <w:rPr>
                <w:rFonts w:ascii="Arial" w:eastAsia="Arial" w:hAnsi="Arial" w:cs="Arial"/>
                <w:color w:val="202124"/>
                <w:sz w:val="21"/>
                <w:szCs w:val="21"/>
              </w:rPr>
              <w:br/>
            </w:r>
          </w:p>
        </w:tc>
      </w:tr>
      <w:tr w:rsidR="00187EF5" w14:paraId="5E08B12E" w14:textId="77777777" w:rsidTr="00187EF5">
        <w:trPr>
          <w:cnfStyle w:val="000000100000" w:firstRow="0" w:lastRow="0" w:firstColumn="0" w:lastColumn="0" w:oddVBand="0" w:evenVBand="0" w:oddHBand="1" w:evenHBand="0" w:firstRowFirstColumn="0" w:firstRowLastColumn="0" w:lastRowFirstColumn="0" w:lastRowLastColumn="0"/>
          <w:trHeight w:val="692"/>
        </w:trPr>
        <w:tc>
          <w:tcPr>
            <w:tcW w:w="5098" w:type="dxa"/>
          </w:tcPr>
          <w:p w14:paraId="35EED02D"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lastRenderedPageBreak/>
              <w:drawing>
                <wp:inline distT="0" distB="0" distL="0" distR="0" wp14:anchorId="564CABD2" wp14:editId="566889B4">
                  <wp:extent cx="2228899" cy="1492130"/>
                  <wp:effectExtent l="0" t="0" r="0" b="0"/>
                  <wp:docPr id="7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
                          <a:srcRect l="46756" t="19656" r="1657" b="18946"/>
                          <a:stretch>
                            <a:fillRect/>
                          </a:stretch>
                        </pic:blipFill>
                        <pic:spPr>
                          <a:xfrm>
                            <a:off x="0" y="0"/>
                            <a:ext cx="2228899" cy="1492130"/>
                          </a:xfrm>
                          <a:prstGeom prst="rect">
                            <a:avLst/>
                          </a:prstGeom>
                          <a:ln/>
                        </pic:spPr>
                      </pic:pic>
                    </a:graphicData>
                  </a:graphic>
                </wp:inline>
              </w:drawing>
            </w:r>
          </w:p>
        </w:tc>
        <w:tc>
          <w:tcPr>
            <w:tcW w:w="4536" w:type="dxa"/>
          </w:tcPr>
          <w:p w14:paraId="25B53022"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Sonido de fondo: </w:t>
            </w:r>
          </w:p>
          <w:p w14:paraId="33043D67"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44B462F9"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Por las calles principales </w:t>
            </w:r>
          </w:p>
          <w:p w14:paraId="5745BA08"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28FE9B00"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Texto:</w:t>
            </w:r>
          </w:p>
          <w:p w14:paraId="4A8D1D86" w14:textId="77777777" w:rsidR="00187EF5" w:rsidRDefault="00187EF5">
            <w:pPr>
              <w:pBdr>
                <w:top w:val="nil"/>
                <w:left w:val="nil"/>
                <w:bottom w:val="nil"/>
                <w:right w:val="nil"/>
                <w:between w:val="nil"/>
              </w:pBdr>
              <w:ind w:left="179" w:right="174"/>
              <w:jc w:val="both"/>
              <w:rPr>
                <w:rFonts w:ascii="Arial" w:eastAsia="Arial" w:hAnsi="Arial" w:cs="Arial"/>
                <w:i/>
                <w:color w:val="000000"/>
                <w:sz w:val="24"/>
                <w:szCs w:val="24"/>
              </w:rPr>
            </w:pPr>
          </w:p>
          <w:p w14:paraId="22B2854F"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color w:val="000000"/>
                <w:sz w:val="24"/>
                <w:szCs w:val="24"/>
              </w:rPr>
              <w:t>“ESCÁNDALO NETFLIX”</w:t>
            </w:r>
            <w:r>
              <w:rPr>
                <w:rFonts w:ascii="Arial" w:eastAsia="Arial" w:hAnsi="Arial" w:cs="Arial"/>
                <w:i/>
                <w:color w:val="000000"/>
                <w:sz w:val="24"/>
                <w:szCs w:val="24"/>
              </w:rPr>
              <w:t xml:space="preserve"> </w:t>
            </w:r>
          </w:p>
          <w:p w14:paraId="35B0E331"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tc>
      </w:tr>
      <w:tr w:rsidR="00187EF5" w14:paraId="6FE532C5" w14:textId="77777777" w:rsidTr="00187EF5">
        <w:trPr>
          <w:trHeight w:val="692"/>
        </w:trPr>
        <w:tc>
          <w:tcPr>
            <w:tcW w:w="5098" w:type="dxa"/>
          </w:tcPr>
          <w:p w14:paraId="0E821E83"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0377A63F" wp14:editId="203168EC">
                  <wp:extent cx="2265819" cy="1510545"/>
                  <wp:effectExtent l="0" t="0" r="0" b="0"/>
                  <wp:docPr id="7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4"/>
                          <a:srcRect l="46747" t="19312" r="1457" b="19296"/>
                          <a:stretch>
                            <a:fillRect/>
                          </a:stretch>
                        </pic:blipFill>
                        <pic:spPr>
                          <a:xfrm>
                            <a:off x="0" y="0"/>
                            <a:ext cx="2265819" cy="1510545"/>
                          </a:xfrm>
                          <a:prstGeom prst="rect">
                            <a:avLst/>
                          </a:prstGeom>
                          <a:ln/>
                        </pic:spPr>
                      </pic:pic>
                    </a:graphicData>
                  </a:graphic>
                </wp:inline>
              </w:drawing>
            </w:r>
          </w:p>
          <w:p w14:paraId="30D9312D"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2292FBC1" wp14:editId="7BD0E2AB">
                  <wp:extent cx="2260589" cy="1504226"/>
                  <wp:effectExtent l="0" t="0" r="0" b="0"/>
                  <wp:docPr id="7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l="46746" t="19657" r="1648" b="19289"/>
                          <a:stretch>
                            <a:fillRect/>
                          </a:stretch>
                        </pic:blipFill>
                        <pic:spPr>
                          <a:xfrm>
                            <a:off x="0" y="0"/>
                            <a:ext cx="2260589" cy="1504226"/>
                          </a:xfrm>
                          <a:prstGeom prst="rect">
                            <a:avLst/>
                          </a:prstGeom>
                          <a:ln/>
                        </pic:spPr>
                      </pic:pic>
                    </a:graphicData>
                  </a:graphic>
                </wp:inline>
              </w:drawing>
            </w:r>
          </w:p>
          <w:p w14:paraId="17405DEC"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1794A5DF" wp14:editId="3CAC1748">
                  <wp:extent cx="2281977" cy="1552773"/>
                  <wp:effectExtent l="0" t="0" r="0" b="0"/>
                  <wp:docPr id="7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l="46941" t="18967" r="1459" b="18607"/>
                          <a:stretch>
                            <a:fillRect/>
                          </a:stretch>
                        </pic:blipFill>
                        <pic:spPr>
                          <a:xfrm>
                            <a:off x="0" y="0"/>
                            <a:ext cx="2281977" cy="1552773"/>
                          </a:xfrm>
                          <a:prstGeom prst="rect">
                            <a:avLst/>
                          </a:prstGeom>
                          <a:ln/>
                        </pic:spPr>
                      </pic:pic>
                    </a:graphicData>
                  </a:graphic>
                </wp:inline>
              </w:drawing>
            </w:r>
          </w:p>
          <w:p w14:paraId="1B5FE0A8"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3105F2A2" wp14:editId="4C3A03A6">
                  <wp:extent cx="2268083" cy="1805800"/>
                  <wp:effectExtent l="0" t="0" r="0" b="0"/>
                  <wp:docPr id="8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l="55714" t="18451" r="1400" b="20844"/>
                          <a:stretch>
                            <a:fillRect/>
                          </a:stretch>
                        </pic:blipFill>
                        <pic:spPr>
                          <a:xfrm>
                            <a:off x="0" y="0"/>
                            <a:ext cx="2268083" cy="1805800"/>
                          </a:xfrm>
                          <a:prstGeom prst="rect">
                            <a:avLst/>
                          </a:prstGeom>
                          <a:ln/>
                        </pic:spPr>
                      </pic:pic>
                    </a:graphicData>
                  </a:graphic>
                </wp:inline>
              </w:drawing>
            </w:r>
          </w:p>
        </w:tc>
        <w:tc>
          <w:tcPr>
            <w:tcW w:w="4536" w:type="dxa"/>
          </w:tcPr>
          <w:p w14:paraId="483A502B"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Sonido de fondo: </w:t>
            </w:r>
          </w:p>
          <w:p w14:paraId="002251E0"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3FABA018"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Y también la ciudadela, y después a los portales, y el que no sale se queda sin el pan para comer. Diga si va pronto a salir</w:t>
            </w:r>
          </w:p>
          <w:p w14:paraId="36298885"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72672956"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Texto:</w:t>
            </w:r>
          </w:p>
          <w:p w14:paraId="7AA9ABF8" w14:textId="77777777" w:rsidR="00187EF5" w:rsidRDefault="00187EF5">
            <w:pPr>
              <w:pBdr>
                <w:top w:val="nil"/>
                <w:left w:val="nil"/>
                <w:bottom w:val="nil"/>
                <w:right w:val="nil"/>
                <w:between w:val="nil"/>
              </w:pBdr>
              <w:ind w:left="179" w:right="174"/>
              <w:jc w:val="both"/>
              <w:rPr>
                <w:rFonts w:ascii="Arial" w:eastAsia="Arial" w:hAnsi="Arial" w:cs="Arial"/>
                <w:i/>
                <w:color w:val="000000"/>
                <w:sz w:val="24"/>
                <w:szCs w:val="24"/>
              </w:rPr>
            </w:pPr>
          </w:p>
          <w:p w14:paraId="5A37404E"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 xml:space="preserve">“VEOLIA </w:t>
            </w:r>
          </w:p>
          <w:p w14:paraId="14AAC9E1"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MOCHES</w:t>
            </w:r>
          </w:p>
          <w:p w14:paraId="770F7289"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color w:val="000000"/>
                <w:sz w:val="24"/>
                <w:szCs w:val="24"/>
              </w:rPr>
              <w:t>RELLENO SANITARIO”</w:t>
            </w:r>
            <w:r>
              <w:rPr>
                <w:rFonts w:ascii="Arial" w:eastAsia="Arial" w:hAnsi="Arial" w:cs="Arial"/>
                <w:i/>
                <w:color w:val="000000"/>
                <w:sz w:val="24"/>
                <w:szCs w:val="24"/>
              </w:rPr>
              <w:t xml:space="preserve"> </w:t>
            </w:r>
          </w:p>
          <w:p w14:paraId="26A9DBA5" w14:textId="77777777" w:rsidR="00187EF5" w:rsidRDefault="00187EF5">
            <w:pPr>
              <w:pBdr>
                <w:top w:val="nil"/>
                <w:left w:val="nil"/>
                <w:bottom w:val="nil"/>
                <w:right w:val="nil"/>
                <w:between w:val="nil"/>
              </w:pBdr>
              <w:ind w:left="179" w:right="174"/>
              <w:jc w:val="both"/>
              <w:rPr>
                <w:rFonts w:ascii="Arial" w:eastAsia="Arial" w:hAnsi="Arial" w:cs="Arial"/>
                <w:i/>
                <w:color w:val="000000"/>
                <w:sz w:val="24"/>
                <w:szCs w:val="24"/>
              </w:rPr>
            </w:pPr>
          </w:p>
          <w:p w14:paraId="5D5C15BE"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Apoyo visual: </w:t>
            </w:r>
          </w:p>
          <w:p w14:paraId="30BAFAD5" w14:textId="77777777" w:rsidR="00187EF5" w:rsidRDefault="00187EF5">
            <w:pPr>
              <w:pBdr>
                <w:top w:val="nil"/>
                <w:left w:val="nil"/>
                <w:bottom w:val="nil"/>
                <w:right w:val="nil"/>
                <w:between w:val="nil"/>
              </w:pBdr>
              <w:ind w:left="179" w:right="174"/>
              <w:jc w:val="both"/>
              <w:rPr>
                <w:rFonts w:ascii="Arial" w:eastAsia="Arial" w:hAnsi="Arial" w:cs="Arial"/>
                <w:i/>
                <w:color w:val="000000"/>
                <w:sz w:val="24"/>
                <w:szCs w:val="24"/>
              </w:rPr>
            </w:pPr>
          </w:p>
          <w:p w14:paraId="10358AEF" w14:textId="77777777" w:rsidR="00187EF5" w:rsidRDefault="00745C3F">
            <w:pPr>
              <w:numPr>
                <w:ilvl w:val="0"/>
                <w:numId w:val="4"/>
              </w:numPr>
              <w:pBdr>
                <w:top w:val="nil"/>
                <w:left w:val="nil"/>
                <w:bottom w:val="nil"/>
                <w:right w:val="nil"/>
                <w:between w:val="nil"/>
              </w:pBdr>
              <w:ind w:right="174"/>
              <w:jc w:val="both"/>
              <w:rPr>
                <w:rFonts w:ascii="Arial" w:eastAsia="Arial" w:hAnsi="Arial" w:cs="Arial"/>
                <w:color w:val="000000"/>
                <w:sz w:val="24"/>
                <w:szCs w:val="24"/>
              </w:rPr>
            </w:pPr>
            <w:r>
              <w:rPr>
                <w:rFonts w:ascii="Arial" w:eastAsia="Arial" w:hAnsi="Arial" w:cs="Arial"/>
                <w:color w:val="000000"/>
                <w:sz w:val="24"/>
                <w:szCs w:val="24"/>
              </w:rPr>
              <w:t xml:space="preserve">Logotipo Nora Gobernadora </w:t>
            </w:r>
          </w:p>
          <w:p w14:paraId="711FA639" w14:textId="77777777" w:rsidR="00187EF5" w:rsidRDefault="00745C3F">
            <w:pPr>
              <w:numPr>
                <w:ilvl w:val="0"/>
                <w:numId w:val="4"/>
              </w:numPr>
              <w:pBdr>
                <w:top w:val="nil"/>
                <w:left w:val="nil"/>
                <w:bottom w:val="nil"/>
                <w:right w:val="nil"/>
                <w:between w:val="nil"/>
              </w:pBdr>
              <w:ind w:right="174"/>
              <w:jc w:val="both"/>
              <w:rPr>
                <w:rFonts w:ascii="Arial" w:eastAsia="Arial" w:hAnsi="Arial" w:cs="Arial"/>
                <w:i/>
                <w:color w:val="000000"/>
                <w:sz w:val="24"/>
                <w:szCs w:val="24"/>
              </w:rPr>
            </w:pPr>
            <w:r>
              <w:rPr>
                <w:rFonts w:ascii="Arial" w:eastAsia="Arial" w:hAnsi="Arial" w:cs="Arial"/>
                <w:color w:val="000000"/>
                <w:sz w:val="24"/>
                <w:szCs w:val="24"/>
              </w:rPr>
              <w:t>Emblema de Morena</w:t>
            </w:r>
          </w:p>
          <w:p w14:paraId="6638C9C6"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2BA18E84"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tc>
      </w:tr>
      <w:tr w:rsidR="00187EF5" w14:paraId="5CBDF9FC" w14:textId="77777777" w:rsidTr="00187EF5">
        <w:trPr>
          <w:cnfStyle w:val="000000100000" w:firstRow="0" w:lastRow="0" w:firstColumn="0" w:lastColumn="0" w:oddVBand="0" w:evenVBand="0" w:oddHBand="1" w:evenHBand="0" w:firstRowFirstColumn="0" w:firstRowLastColumn="0" w:lastRowFirstColumn="0" w:lastRowLastColumn="0"/>
          <w:trHeight w:val="692"/>
        </w:trPr>
        <w:tc>
          <w:tcPr>
            <w:tcW w:w="5098" w:type="dxa"/>
          </w:tcPr>
          <w:p w14:paraId="46D9A115"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lastRenderedPageBreak/>
              <w:drawing>
                <wp:inline distT="0" distB="0" distL="0" distR="0" wp14:anchorId="68AAC621" wp14:editId="7A7FBD1F">
                  <wp:extent cx="2245931" cy="1500112"/>
                  <wp:effectExtent l="0" t="0" r="0" b="0"/>
                  <wp:docPr id="8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l="47134" t="19657" r="1452" b="19289"/>
                          <a:stretch>
                            <a:fillRect/>
                          </a:stretch>
                        </pic:blipFill>
                        <pic:spPr>
                          <a:xfrm>
                            <a:off x="0" y="0"/>
                            <a:ext cx="2245931" cy="1500112"/>
                          </a:xfrm>
                          <a:prstGeom prst="rect">
                            <a:avLst/>
                          </a:prstGeom>
                          <a:ln/>
                        </pic:spPr>
                      </pic:pic>
                    </a:graphicData>
                  </a:graphic>
                </wp:inline>
              </w:drawing>
            </w:r>
          </w:p>
          <w:p w14:paraId="260583AA" w14:textId="77777777" w:rsidR="00187EF5" w:rsidRDefault="00745C3F">
            <w:pPr>
              <w:tabs>
                <w:tab w:val="left" w:pos="426"/>
              </w:tabs>
              <w:spacing w:line="360" w:lineRule="auto"/>
              <w:ind w:right="36"/>
              <w:jc w:val="center"/>
              <w:rPr>
                <w:rFonts w:ascii="Arial" w:eastAsia="Arial" w:hAnsi="Arial" w:cs="Arial"/>
                <w:color w:val="000000"/>
                <w:sz w:val="24"/>
                <w:szCs w:val="24"/>
              </w:rPr>
            </w:pPr>
            <w:r>
              <w:rPr>
                <w:noProof/>
              </w:rPr>
              <w:drawing>
                <wp:inline distT="0" distB="0" distL="0" distR="0" wp14:anchorId="11874600" wp14:editId="0D952BAB">
                  <wp:extent cx="2320231" cy="1572891"/>
                  <wp:effectExtent l="0" t="0" r="0" b="0"/>
                  <wp:docPr id="8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9"/>
                          <a:srcRect l="46940" t="19312" r="1265" b="18262"/>
                          <a:stretch>
                            <a:fillRect/>
                          </a:stretch>
                        </pic:blipFill>
                        <pic:spPr>
                          <a:xfrm>
                            <a:off x="0" y="0"/>
                            <a:ext cx="2320231" cy="1572891"/>
                          </a:xfrm>
                          <a:prstGeom prst="rect">
                            <a:avLst/>
                          </a:prstGeom>
                          <a:ln/>
                        </pic:spPr>
                      </pic:pic>
                    </a:graphicData>
                  </a:graphic>
                </wp:inline>
              </w:drawing>
            </w:r>
          </w:p>
        </w:tc>
        <w:tc>
          <w:tcPr>
            <w:tcW w:w="4536" w:type="dxa"/>
          </w:tcPr>
          <w:p w14:paraId="3C98CCDA"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Sonido de fondo: </w:t>
            </w:r>
          </w:p>
          <w:p w14:paraId="4CF79499"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510C7D69"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Porque si no, para seguir repartiendo el pan, repartiendo el pan para comer</w:t>
            </w:r>
          </w:p>
          <w:p w14:paraId="6733F817"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4FC1671E"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Texto: </w:t>
            </w:r>
          </w:p>
          <w:p w14:paraId="499DBECB"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43AD43DE" w14:textId="77777777" w:rsidR="00187EF5" w:rsidRDefault="00745C3F">
            <w:pPr>
              <w:pBdr>
                <w:top w:val="nil"/>
                <w:left w:val="nil"/>
                <w:bottom w:val="nil"/>
                <w:right w:val="nil"/>
                <w:between w:val="nil"/>
              </w:pBdr>
              <w:ind w:left="179" w:right="174"/>
              <w:jc w:val="both"/>
              <w:rPr>
                <w:rFonts w:ascii="Arial" w:eastAsia="Arial" w:hAnsi="Arial" w:cs="Arial"/>
                <w:color w:val="000000"/>
                <w:sz w:val="24"/>
                <w:szCs w:val="24"/>
              </w:rPr>
            </w:pPr>
            <w:r>
              <w:rPr>
                <w:rFonts w:ascii="Arial" w:eastAsia="Arial" w:hAnsi="Arial" w:cs="Arial"/>
                <w:color w:val="000000"/>
                <w:sz w:val="24"/>
                <w:szCs w:val="24"/>
              </w:rPr>
              <w:t>“CON ELLOS, ESTE ES EL PAN DE CADA DÍA”</w:t>
            </w:r>
          </w:p>
          <w:p w14:paraId="6911787B"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5E4808E8" w14:textId="77777777" w:rsidR="00187EF5" w:rsidRDefault="00745C3F">
            <w:pPr>
              <w:pBdr>
                <w:top w:val="nil"/>
                <w:left w:val="nil"/>
                <w:bottom w:val="nil"/>
                <w:right w:val="nil"/>
                <w:between w:val="nil"/>
              </w:pBdr>
              <w:ind w:left="179" w:right="174"/>
              <w:jc w:val="both"/>
              <w:rPr>
                <w:rFonts w:ascii="Arial" w:eastAsia="Arial" w:hAnsi="Arial" w:cs="Arial"/>
                <w:i/>
                <w:color w:val="000000"/>
                <w:sz w:val="24"/>
                <w:szCs w:val="24"/>
              </w:rPr>
            </w:pPr>
            <w:r>
              <w:rPr>
                <w:rFonts w:ascii="Arial" w:eastAsia="Arial" w:hAnsi="Arial" w:cs="Arial"/>
                <w:i/>
                <w:color w:val="000000"/>
                <w:sz w:val="24"/>
                <w:szCs w:val="24"/>
              </w:rPr>
              <w:t xml:space="preserve">Apoyo visual: </w:t>
            </w:r>
          </w:p>
          <w:p w14:paraId="0C8AA0A6" w14:textId="77777777" w:rsidR="00187EF5" w:rsidRDefault="00187EF5">
            <w:pPr>
              <w:pBdr>
                <w:top w:val="nil"/>
                <w:left w:val="nil"/>
                <w:bottom w:val="nil"/>
                <w:right w:val="nil"/>
                <w:between w:val="nil"/>
              </w:pBdr>
              <w:ind w:left="179" w:right="174"/>
              <w:jc w:val="both"/>
              <w:rPr>
                <w:rFonts w:ascii="Arial" w:eastAsia="Arial" w:hAnsi="Arial" w:cs="Arial"/>
                <w:color w:val="000000"/>
                <w:sz w:val="24"/>
                <w:szCs w:val="24"/>
              </w:rPr>
            </w:pPr>
          </w:p>
          <w:p w14:paraId="3D41B727" w14:textId="77777777" w:rsidR="00187EF5" w:rsidRDefault="00745C3F">
            <w:pPr>
              <w:numPr>
                <w:ilvl w:val="0"/>
                <w:numId w:val="4"/>
              </w:numPr>
              <w:pBdr>
                <w:top w:val="nil"/>
                <w:left w:val="nil"/>
                <w:bottom w:val="nil"/>
                <w:right w:val="nil"/>
                <w:between w:val="nil"/>
              </w:pBdr>
              <w:ind w:right="174"/>
              <w:jc w:val="both"/>
              <w:rPr>
                <w:rFonts w:ascii="Arial" w:eastAsia="Arial" w:hAnsi="Arial" w:cs="Arial"/>
                <w:color w:val="000000"/>
                <w:sz w:val="24"/>
                <w:szCs w:val="24"/>
              </w:rPr>
            </w:pPr>
            <w:r>
              <w:rPr>
                <w:rFonts w:ascii="Arial" w:eastAsia="Arial" w:hAnsi="Arial" w:cs="Arial"/>
                <w:color w:val="000000"/>
                <w:sz w:val="24"/>
                <w:szCs w:val="24"/>
              </w:rPr>
              <w:t xml:space="preserve">Logotipo Nora Gobernadora </w:t>
            </w:r>
          </w:p>
          <w:p w14:paraId="1D1C2B83" w14:textId="77777777" w:rsidR="00187EF5" w:rsidRDefault="00745C3F">
            <w:pPr>
              <w:numPr>
                <w:ilvl w:val="0"/>
                <w:numId w:val="4"/>
              </w:numPr>
              <w:pBdr>
                <w:top w:val="nil"/>
                <w:left w:val="nil"/>
                <w:bottom w:val="nil"/>
                <w:right w:val="nil"/>
                <w:between w:val="nil"/>
              </w:pBdr>
              <w:ind w:right="174"/>
              <w:jc w:val="both"/>
              <w:rPr>
                <w:rFonts w:ascii="Arial" w:eastAsia="Arial" w:hAnsi="Arial" w:cs="Arial"/>
                <w:color w:val="000000"/>
                <w:sz w:val="24"/>
                <w:szCs w:val="24"/>
              </w:rPr>
            </w:pPr>
            <w:r>
              <w:rPr>
                <w:rFonts w:ascii="Arial" w:eastAsia="Arial" w:hAnsi="Arial" w:cs="Arial"/>
                <w:color w:val="000000"/>
                <w:sz w:val="24"/>
                <w:szCs w:val="24"/>
              </w:rPr>
              <w:t>Emblema de Morena</w:t>
            </w:r>
          </w:p>
        </w:tc>
      </w:tr>
    </w:tbl>
    <w:p w14:paraId="7F2C17A1" w14:textId="77777777" w:rsidR="00187EF5" w:rsidRDefault="00187EF5">
      <w:pPr>
        <w:pBdr>
          <w:top w:val="nil"/>
          <w:left w:val="nil"/>
          <w:bottom w:val="nil"/>
          <w:right w:val="nil"/>
          <w:between w:val="nil"/>
        </w:pBdr>
        <w:spacing w:line="360" w:lineRule="auto"/>
        <w:ind w:right="36"/>
        <w:jc w:val="both"/>
        <w:rPr>
          <w:rFonts w:ascii="Arial" w:eastAsia="Arial" w:hAnsi="Arial" w:cs="Arial"/>
          <w:b/>
          <w:color w:val="000000"/>
          <w:sz w:val="24"/>
          <w:szCs w:val="24"/>
        </w:rPr>
      </w:pPr>
    </w:p>
    <w:p w14:paraId="59936895" w14:textId="77777777" w:rsidR="00187EF5" w:rsidRDefault="00745C3F">
      <w:pPr>
        <w:pBdr>
          <w:top w:val="nil"/>
          <w:left w:val="nil"/>
          <w:bottom w:val="nil"/>
          <w:right w:val="nil"/>
          <w:between w:val="nil"/>
        </w:pBdr>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1.2. En contra de Morena. </w:t>
      </w:r>
      <w:r>
        <w:rPr>
          <w:rFonts w:ascii="Arial" w:eastAsia="Arial" w:hAnsi="Arial" w:cs="Arial"/>
          <w:color w:val="000000"/>
          <w:sz w:val="24"/>
          <w:szCs w:val="24"/>
        </w:rPr>
        <w:t xml:space="preserve">El quejoso refiere que </w:t>
      </w:r>
      <w:r>
        <w:rPr>
          <w:rFonts w:ascii="Arial" w:eastAsia="Arial" w:hAnsi="Arial" w:cs="Arial"/>
          <w:sz w:val="24"/>
          <w:szCs w:val="24"/>
        </w:rPr>
        <w:t>Morena</w:t>
      </w:r>
      <w:r>
        <w:rPr>
          <w:rFonts w:ascii="Arial" w:eastAsia="Arial" w:hAnsi="Arial" w:cs="Arial"/>
          <w:b/>
          <w:color w:val="000000"/>
          <w:sz w:val="24"/>
          <w:szCs w:val="24"/>
        </w:rPr>
        <w:t xml:space="preserve"> incumplió su deber de cuidar </w:t>
      </w:r>
      <w:r>
        <w:rPr>
          <w:rFonts w:ascii="Arial" w:eastAsia="Arial" w:hAnsi="Arial" w:cs="Arial"/>
          <w:color w:val="000000"/>
          <w:sz w:val="24"/>
          <w:szCs w:val="24"/>
        </w:rPr>
        <w:t>que la candidata no incumpliera la normativa electoral.</w:t>
      </w:r>
    </w:p>
    <w:p w14:paraId="072007F4" w14:textId="77777777" w:rsidR="00187EF5" w:rsidRDefault="00187EF5">
      <w:pPr>
        <w:pBdr>
          <w:top w:val="nil"/>
          <w:left w:val="nil"/>
          <w:bottom w:val="nil"/>
          <w:right w:val="nil"/>
          <w:between w:val="nil"/>
        </w:pBdr>
        <w:rPr>
          <w:color w:val="000000"/>
        </w:rPr>
      </w:pPr>
    </w:p>
    <w:p w14:paraId="72DDDDB9" w14:textId="77777777" w:rsidR="00187EF5" w:rsidRDefault="00745C3F">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Defensa. </w:t>
      </w:r>
      <w:r>
        <w:rPr>
          <w:rFonts w:ascii="Arial" w:eastAsia="Arial" w:hAnsi="Arial" w:cs="Arial"/>
          <w:color w:val="000000"/>
          <w:sz w:val="24"/>
          <w:szCs w:val="24"/>
        </w:rPr>
        <w:t xml:space="preserve">La candidata y el partido político como partes denunciadas, manifestaron lo siguiente: </w:t>
      </w:r>
    </w:p>
    <w:p w14:paraId="44900A5A" w14:textId="77777777" w:rsidR="00187EF5" w:rsidRDefault="00745C3F">
      <w:pPr>
        <w:numPr>
          <w:ilvl w:val="0"/>
          <w:numId w:val="10"/>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Argumentan que la autoridad administrativa no debió admitir la denuncia, </w:t>
      </w:r>
      <w:r>
        <w:rPr>
          <w:rFonts w:ascii="Arial" w:eastAsia="Arial" w:hAnsi="Arial" w:cs="Arial"/>
          <w:sz w:val="24"/>
          <w:szCs w:val="24"/>
        </w:rPr>
        <w:t>al no existir relación entre los hechos planteados y las probanzas ofrecidas,</w:t>
      </w:r>
      <w:r>
        <w:rPr>
          <w:rFonts w:ascii="Arial" w:eastAsia="Arial" w:hAnsi="Arial" w:cs="Arial"/>
          <w:color w:val="000000"/>
          <w:sz w:val="24"/>
          <w:szCs w:val="24"/>
        </w:rPr>
        <w:t xml:space="preserve"> pues </w:t>
      </w:r>
      <w:r>
        <w:rPr>
          <w:rFonts w:ascii="Arial" w:eastAsia="Arial" w:hAnsi="Arial" w:cs="Arial"/>
          <w:sz w:val="24"/>
          <w:szCs w:val="24"/>
        </w:rPr>
        <w:t>estas no</w:t>
      </w:r>
      <w:r>
        <w:rPr>
          <w:rFonts w:ascii="Arial" w:eastAsia="Arial" w:hAnsi="Arial" w:cs="Arial"/>
          <w:color w:val="000000"/>
          <w:sz w:val="24"/>
          <w:szCs w:val="24"/>
        </w:rPr>
        <w:t xml:space="preserve"> </w:t>
      </w:r>
      <w:r>
        <w:rPr>
          <w:rFonts w:ascii="Arial" w:eastAsia="Arial" w:hAnsi="Arial" w:cs="Arial"/>
          <w:sz w:val="24"/>
          <w:szCs w:val="24"/>
        </w:rPr>
        <w:t>logran</w:t>
      </w:r>
      <w:r>
        <w:rPr>
          <w:rFonts w:ascii="Arial" w:eastAsia="Arial" w:hAnsi="Arial" w:cs="Arial"/>
          <w:color w:val="000000"/>
          <w:sz w:val="24"/>
          <w:szCs w:val="24"/>
        </w:rPr>
        <w:t xml:space="preserve"> </w:t>
      </w:r>
      <w:r>
        <w:rPr>
          <w:rFonts w:ascii="Arial" w:eastAsia="Arial" w:hAnsi="Arial" w:cs="Arial"/>
          <w:sz w:val="24"/>
          <w:szCs w:val="24"/>
        </w:rPr>
        <w:t>acreditar</w:t>
      </w:r>
      <w:r>
        <w:rPr>
          <w:rFonts w:ascii="Arial" w:eastAsia="Arial" w:hAnsi="Arial" w:cs="Arial"/>
          <w:color w:val="000000"/>
          <w:sz w:val="24"/>
          <w:szCs w:val="24"/>
        </w:rPr>
        <w:t xml:space="preserve"> que la candidata cuestionada cometiera calumnia en perjuicio del PAN y o de la coalición “Va por Aguascalientes”</w:t>
      </w:r>
      <w:r>
        <w:rPr>
          <w:rFonts w:ascii="Arial" w:eastAsia="Arial" w:hAnsi="Arial" w:cs="Arial"/>
          <w:sz w:val="24"/>
          <w:szCs w:val="24"/>
        </w:rPr>
        <w:t xml:space="preserve">, </w:t>
      </w:r>
      <w:r>
        <w:rPr>
          <w:rFonts w:ascii="Arial" w:eastAsia="Arial" w:hAnsi="Arial" w:cs="Arial"/>
          <w:color w:val="000000"/>
          <w:sz w:val="24"/>
          <w:szCs w:val="24"/>
        </w:rPr>
        <w:t>dado que, su supuesta existencia está basada en subjetividades del denunciante y no en indicios.</w:t>
      </w:r>
    </w:p>
    <w:p w14:paraId="64E9FA2E" w14:textId="77777777" w:rsidR="00187EF5" w:rsidRDefault="00745C3F">
      <w:pPr>
        <w:numPr>
          <w:ilvl w:val="0"/>
          <w:numId w:val="10"/>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Afirman que las manifestaciones del promocional denunciado, no configuran la imputación de la comisión de un delito o un hecho en concreto, sino que son un conjunto de opiniones, posiciones y visiones genéricas. </w:t>
      </w:r>
    </w:p>
    <w:p w14:paraId="7F2FAE98" w14:textId="77777777" w:rsidR="00187EF5" w:rsidRDefault="00745C3F">
      <w:pPr>
        <w:numPr>
          <w:ilvl w:val="0"/>
          <w:numId w:val="10"/>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Consideran que, en todo caso, el contenido del video denunciado se realizó de manera espontánea y en el ejercicio de su libertad de expresión, haciendo referencia a un tema de relevancia pública en el contexto del debate político.</w:t>
      </w:r>
    </w:p>
    <w:p w14:paraId="6349EF08" w14:textId="77777777" w:rsidR="00187EF5" w:rsidRDefault="00745C3F">
      <w:pPr>
        <w:numPr>
          <w:ilvl w:val="0"/>
          <w:numId w:val="10"/>
        </w:numPr>
        <w:pBdr>
          <w:top w:val="nil"/>
          <w:left w:val="nil"/>
          <w:bottom w:val="nil"/>
          <w:right w:val="nil"/>
          <w:between w:val="nil"/>
        </w:pBdr>
        <w:tabs>
          <w:tab w:val="left" w:pos="567"/>
        </w:tabs>
        <w:spacing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 xml:space="preserve">Por último, estiman que el mensaje denunciado, no hace alusión a delito alguno previsto en el Código Penal para el Estado de Aguascalientes, ya que sólo constituyen apreciaciones respecto de acciones que pudieron haberse cometido. </w:t>
      </w:r>
    </w:p>
    <w:p w14:paraId="266402D0" w14:textId="77777777" w:rsidR="00187EF5" w:rsidRDefault="00187EF5">
      <w:pPr>
        <w:pBdr>
          <w:top w:val="nil"/>
          <w:left w:val="nil"/>
          <w:bottom w:val="nil"/>
          <w:right w:val="nil"/>
          <w:between w:val="nil"/>
        </w:pBdr>
        <w:rPr>
          <w:color w:val="000000"/>
        </w:rPr>
      </w:pPr>
    </w:p>
    <w:p w14:paraId="65CCB788" w14:textId="77777777" w:rsidR="00187EF5" w:rsidRDefault="00745C3F">
      <w:pPr>
        <w:tabs>
          <w:tab w:val="left" w:pos="567"/>
        </w:tabs>
        <w:spacing w:line="360" w:lineRule="auto"/>
        <w:jc w:val="both"/>
        <w:rPr>
          <w:rFonts w:ascii="Arial" w:eastAsia="Arial" w:hAnsi="Arial" w:cs="Arial"/>
          <w:b/>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sz w:val="24"/>
          <w:szCs w:val="24"/>
        </w:rPr>
        <w:t xml:space="preserve"> </w:t>
      </w:r>
    </w:p>
    <w:p w14:paraId="79A9D1AA" w14:textId="77777777" w:rsidR="00187EF5" w:rsidRDefault="00187EF5">
      <w:pPr>
        <w:pBdr>
          <w:top w:val="nil"/>
          <w:left w:val="nil"/>
          <w:bottom w:val="nil"/>
          <w:right w:val="nil"/>
          <w:between w:val="nil"/>
        </w:pBdr>
        <w:rPr>
          <w:color w:val="000000"/>
        </w:rPr>
      </w:pPr>
    </w:p>
    <w:p w14:paraId="02DD713B" w14:textId="77777777" w:rsidR="00187EF5" w:rsidRDefault="00745C3F">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3.1. Pruebas aportadas por el partido político denunciante: </w:t>
      </w:r>
    </w:p>
    <w:p w14:paraId="044D8B53" w14:textId="77777777" w:rsidR="00187EF5" w:rsidRDefault="00187EF5">
      <w:pPr>
        <w:pBdr>
          <w:top w:val="nil"/>
          <w:left w:val="nil"/>
          <w:bottom w:val="nil"/>
          <w:right w:val="nil"/>
          <w:between w:val="nil"/>
        </w:pBdr>
        <w:rPr>
          <w:color w:val="000000"/>
        </w:rPr>
      </w:pPr>
    </w:p>
    <w:tbl>
      <w:tblPr>
        <w:tblStyle w:val="a1"/>
        <w:tblW w:w="9633"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99"/>
        <w:gridCol w:w="2757"/>
        <w:gridCol w:w="6377"/>
      </w:tblGrid>
      <w:tr w:rsidR="00187EF5" w14:paraId="7C87481B" w14:textId="77777777" w:rsidTr="00187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2DE6AD0C" w14:textId="77777777" w:rsidR="00187EF5" w:rsidRDefault="00745C3F">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0589712E" w14:textId="77777777" w:rsidR="00187EF5" w:rsidRDefault="00745C3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8" w:type="dxa"/>
          </w:tcPr>
          <w:p w14:paraId="04C7B56A" w14:textId="77777777" w:rsidR="00187EF5" w:rsidRDefault="00745C3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187EF5" w14:paraId="4FC0CC80" w14:textId="77777777" w:rsidTr="00187EF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6CE63CE3" w14:textId="77777777" w:rsidR="00187EF5" w:rsidRDefault="00745C3F">
            <w:pPr>
              <w:jc w:val="center"/>
              <w:rPr>
                <w:rFonts w:ascii="Arial" w:eastAsia="Arial" w:hAnsi="Arial" w:cs="Arial"/>
                <w:sz w:val="18"/>
                <w:szCs w:val="18"/>
              </w:rPr>
            </w:pPr>
            <w:r>
              <w:rPr>
                <w:rFonts w:ascii="Arial" w:eastAsia="Arial" w:hAnsi="Arial" w:cs="Arial"/>
                <w:sz w:val="18"/>
                <w:szCs w:val="18"/>
              </w:rPr>
              <w:lastRenderedPageBreak/>
              <w:t>1</w:t>
            </w:r>
          </w:p>
        </w:tc>
        <w:tc>
          <w:tcPr>
            <w:tcW w:w="2757" w:type="dxa"/>
          </w:tcPr>
          <w:p w14:paraId="57BAC979" w14:textId="77777777" w:rsidR="00187EF5" w:rsidRDefault="00745C3F">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8" w:type="dxa"/>
          </w:tcPr>
          <w:p w14:paraId="33D00E49" w14:textId="77777777" w:rsidR="00187EF5" w:rsidRDefault="00745C3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hyperlink r:id="rId20">
              <w:r>
                <w:rPr>
                  <w:rFonts w:ascii="Arial" w:eastAsia="Arial" w:hAnsi="Arial" w:cs="Arial"/>
                  <w:color w:val="0000FF"/>
                  <w:u w:val="single"/>
                </w:rPr>
                <w:t>https://www.facebook.com/noraruvalcabamx/videos/2171946899636702</w:t>
              </w:r>
            </w:hyperlink>
            <w:r>
              <w:rPr>
                <w:rFonts w:ascii="Arial" w:eastAsia="Arial" w:hAnsi="Arial" w:cs="Arial"/>
              </w:rPr>
              <w:t>,</w:t>
            </w:r>
            <w:r>
              <w:rPr>
                <w:rFonts w:ascii="Arial" w:eastAsia="Arial" w:hAnsi="Arial" w:cs="Arial"/>
                <w:sz w:val="18"/>
                <w:szCs w:val="18"/>
              </w:rPr>
              <w:t xml:space="preserve"> consistente en una publicación de Facebook de la candidata Nora Ruvalcaba Gámez.</w:t>
            </w:r>
          </w:p>
        </w:tc>
      </w:tr>
      <w:tr w:rsidR="00187EF5" w14:paraId="54118D06" w14:textId="77777777" w:rsidTr="00187EF5">
        <w:trPr>
          <w:trHeight w:val="344"/>
        </w:trPr>
        <w:tc>
          <w:tcPr>
            <w:cnfStyle w:val="001000000000" w:firstRow="0" w:lastRow="0" w:firstColumn="1" w:lastColumn="0" w:oddVBand="0" w:evenVBand="0" w:oddHBand="0" w:evenHBand="0" w:firstRowFirstColumn="0" w:firstRowLastColumn="0" w:lastRowFirstColumn="0" w:lastRowLastColumn="0"/>
            <w:tcW w:w="499" w:type="dxa"/>
          </w:tcPr>
          <w:p w14:paraId="32723D5E" w14:textId="77777777" w:rsidR="00187EF5" w:rsidRDefault="00745C3F">
            <w:pPr>
              <w:jc w:val="center"/>
              <w:rPr>
                <w:rFonts w:ascii="Arial" w:eastAsia="Arial" w:hAnsi="Arial" w:cs="Arial"/>
                <w:sz w:val="18"/>
                <w:szCs w:val="18"/>
              </w:rPr>
            </w:pPr>
            <w:r>
              <w:rPr>
                <w:rFonts w:ascii="Arial" w:eastAsia="Arial" w:hAnsi="Arial" w:cs="Arial"/>
                <w:sz w:val="18"/>
                <w:szCs w:val="18"/>
              </w:rPr>
              <w:t>2</w:t>
            </w:r>
          </w:p>
        </w:tc>
        <w:tc>
          <w:tcPr>
            <w:tcW w:w="2757" w:type="dxa"/>
          </w:tcPr>
          <w:p w14:paraId="63A90415" w14:textId="77777777" w:rsidR="00187EF5" w:rsidRDefault="00745C3F">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378" w:type="dxa"/>
          </w:tcPr>
          <w:p w14:paraId="660E77A9" w14:textId="77777777" w:rsidR="00187EF5" w:rsidRDefault="00745C3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Inspección judicial del link </w:t>
            </w:r>
            <w:r>
              <w:rPr>
                <w:rFonts w:ascii="Arial" w:eastAsia="Arial" w:hAnsi="Arial" w:cs="Arial"/>
                <w:color w:val="0000FF"/>
                <w:sz w:val="18"/>
                <w:szCs w:val="18"/>
                <w:u w:val="single"/>
              </w:rPr>
              <w:t>https://twitter.com/nora_ruvalcaba/status/1520870681612853255?s=12&amp;t=8mKlpB1Elwwm2T4c1chQ6A</w:t>
            </w:r>
            <w:r>
              <w:rPr>
                <w:rFonts w:ascii="Arial" w:eastAsia="Arial" w:hAnsi="Arial" w:cs="Arial"/>
                <w:sz w:val="18"/>
                <w:szCs w:val="18"/>
              </w:rPr>
              <w:t xml:space="preserve">, consistente en una publicación de Twitter de la candidata Nora Ruvalcaba Gámez. </w:t>
            </w:r>
          </w:p>
        </w:tc>
      </w:tr>
      <w:tr w:rsidR="00187EF5" w14:paraId="3F779DDC" w14:textId="77777777" w:rsidTr="00187EF5">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499" w:type="dxa"/>
          </w:tcPr>
          <w:p w14:paraId="405BF7F8" w14:textId="77777777" w:rsidR="00187EF5" w:rsidRDefault="00745C3F">
            <w:pPr>
              <w:jc w:val="center"/>
              <w:rPr>
                <w:rFonts w:ascii="Arial" w:eastAsia="Arial" w:hAnsi="Arial" w:cs="Arial"/>
                <w:sz w:val="18"/>
                <w:szCs w:val="18"/>
              </w:rPr>
            </w:pPr>
            <w:r>
              <w:rPr>
                <w:rFonts w:ascii="Arial" w:eastAsia="Arial" w:hAnsi="Arial" w:cs="Arial"/>
                <w:sz w:val="18"/>
                <w:szCs w:val="18"/>
              </w:rPr>
              <w:t>3</w:t>
            </w:r>
          </w:p>
        </w:tc>
        <w:tc>
          <w:tcPr>
            <w:tcW w:w="2757" w:type="dxa"/>
          </w:tcPr>
          <w:p w14:paraId="2344C84D" w14:textId="77777777" w:rsidR="00187EF5" w:rsidRDefault="00745C3F">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Instrumental de actuaciones</w:t>
            </w:r>
          </w:p>
        </w:tc>
        <w:tc>
          <w:tcPr>
            <w:tcW w:w="6378" w:type="dxa"/>
          </w:tcPr>
          <w:p w14:paraId="20C4F855" w14:textId="77777777" w:rsidR="00187EF5" w:rsidRDefault="00745C3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187EF5" w14:paraId="37F8B0E5" w14:textId="77777777" w:rsidTr="00187EF5">
        <w:trPr>
          <w:trHeight w:val="384"/>
        </w:trPr>
        <w:tc>
          <w:tcPr>
            <w:cnfStyle w:val="001000000000" w:firstRow="0" w:lastRow="0" w:firstColumn="1" w:lastColumn="0" w:oddVBand="0" w:evenVBand="0" w:oddHBand="0" w:evenHBand="0" w:firstRowFirstColumn="0" w:firstRowLastColumn="0" w:lastRowFirstColumn="0" w:lastRowLastColumn="0"/>
            <w:tcW w:w="499" w:type="dxa"/>
          </w:tcPr>
          <w:p w14:paraId="6AEFD79D" w14:textId="77777777" w:rsidR="00187EF5" w:rsidRDefault="00745C3F">
            <w:pPr>
              <w:jc w:val="center"/>
              <w:rPr>
                <w:rFonts w:ascii="Arial" w:eastAsia="Arial" w:hAnsi="Arial" w:cs="Arial"/>
                <w:sz w:val="18"/>
                <w:szCs w:val="18"/>
              </w:rPr>
            </w:pPr>
            <w:r>
              <w:rPr>
                <w:rFonts w:ascii="Arial" w:eastAsia="Arial" w:hAnsi="Arial" w:cs="Arial"/>
                <w:sz w:val="18"/>
                <w:szCs w:val="18"/>
              </w:rPr>
              <w:t>4</w:t>
            </w:r>
          </w:p>
        </w:tc>
        <w:tc>
          <w:tcPr>
            <w:tcW w:w="2757" w:type="dxa"/>
          </w:tcPr>
          <w:p w14:paraId="0E2F81F2" w14:textId="77777777" w:rsidR="00187EF5" w:rsidRDefault="00745C3F">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8" w:type="dxa"/>
          </w:tcPr>
          <w:p w14:paraId="4F98E792" w14:textId="77777777" w:rsidR="00187EF5" w:rsidRDefault="00745C3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5AA70766" w14:textId="77777777" w:rsidR="00187EF5" w:rsidRDefault="00187EF5">
      <w:pPr>
        <w:pBdr>
          <w:top w:val="nil"/>
          <w:left w:val="nil"/>
          <w:bottom w:val="nil"/>
          <w:right w:val="nil"/>
          <w:between w:val="nil"/>
        </w:pBdr>
        <w:rPr>
          <w:color w:val="000000"/>
          <w:sz w:val="36"/>
          <w:szCs w:val="36"/>
        </w:rPr>
      </w:pPr>
    </w:p>
    <w:p w14:paraId="54D3B576" w14:textId="77777777" w:rsidR="00187EF5" w:rsidRDefault="00745C3F">
      <w:pPr>
        <w:tabs>
          <w:tab w:val="left" w:pos="567"/>
        </w:tabs>
        <w:spacing w:line="360" w:lineRule="auto"/>
        <w:jc w:val="both"/>
        <w:rPr>
          <w:rFonts w:ascii="Arial" w:eastAsia="Arial" w:hAnsi="Arial" w:cs="Arial"/>
          <w:b/>
          <w:sz w:val="24"/>
          <w:szCs w:val="24"/>
        </w:rPr>
      </w:pPr>
      <w:r>
        <w:rPr>
          <w:rFonts w:ascii="Arial" w:eastAsia="Arial" w:hAnsi="Arial" w:cs="Arial"/>
          <w:b/>
          <w:sz w:val="24"/>
          <w:szCs w:val="24"/>
        </w:rPr>
        <w:t>3.2. Pruebas aportadas por la candidata y el partido político denunciados:</w:t>
      </w:r>
    </w:p>
    <w:p w14:paraId="58E54ECD" w14:textId="77777777" w:rsidR="00187EF5" w:rsidRDefault="00187EF5">
      <w:pPr>
        <w:pBdr>
          <w:top w:val="nil"/>
          <w:left w:val="nil"/>
          <w:bottom w:val="nil"/>
          <w:right w:val="nil"/>
          <w:between w:val="nil"/>
        </w:pBdr>
        <w:rPr>
          <w:color w:val="000000"/>
        </w:rPr>
      </w:pPr>
    </w:p>
    <w:tbl>
      <w:tblPr>
        <w:tblStyle w:val="a2"/>
        <w:tblW w:w="9633"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99"/>
        <w:gridCol w:w="2757"/>
        <w:gridCol w:w="6377"/>
      </w:tblGrid>
      <w:tr w:rsidR="00187EF5" w14:paraId="4009636E" w14:textId="77777777" w:rsidTr="00187E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9" w:type="dxa"/>
          </w:tcPr>
          <w:p w14:paraId="700CEDA1" w14:textId="77777777" w:rsidR="00187EF5" w:rsidRDefault="00745C3F">
            <w:pPr>
              <w:jc w:val="center"/>
              <w:rPr>
                <w:rFonts w:ascii="Arial" w:eastAsia="Arial" w:hAnsi="Arial" w:cs="Arial"/>
                <w:color w:val="000000"/>
                <w:sz w:val="18"/>
                <w:szCs w:val="18"/>
              </w:rPr>
            </w:pPr>
            <w:r>
              <w:rPr>
                <w:rFonts w:ascii="Arial" w:eastAsia="Arial" w:hAnsi="Arial" w:cs="Arial"/>
                <w:color w:val="000000"/>
                <w:sz w:val="18"/>
                <w:szCs w:val="18"/>
              </w:rPr>
              <w:t>#</w:t>
            </w:r>
          </w:p>
        </w:tc>
        <w:tc>
          <w:tcPr>
            <w:tcW w:w="2757" w:type="dxa"/>
          </w:tcPr>
          <w:p w14:paraId="3B052D8E" w14:textId="77777777" w:rsidR="00187EF5" w:rsidRDefault="00745C3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Prueba</w:t>
            </w:r>
          </w:p>
        </w:tc>
        <w:tc>
          <w:tcPr>
            <w:tcW w:w="6378" w:type="dxa"/>
          </w:tcPr>
          <w:p w14:paraId="50B161FF" w14:textId="77777777" w:rsidR="00187EF5" w:rsidRDefault="00745C3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Consistente en</w:t>
            </w:r>
          </w:p>
        </w:tc>
      </w:tr>
      <w:tr w:rsidR="00187EF5" w14:paraId="186F246B" w14:textId="77777777" w:rsidTr="00187EF5">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499" w:type="dxa"/>
          </w:tcPr>
          <w:p w14:paraId="43384D1A" w14:textId="77777777" w:rsidR="00187EF5" w:rsidRDefault="00745C3F">
            <w:pPr>
              <w:jc w:val="center"/>
              <w:rPr>
                <w:rFonts w:ascii="Arial" w:eastAsia="Arial" w:hAnsi="Arial" w:cs="Arial"/>
                <w:sz w:val="18"/>
                <w:szCs w:val="18"/>
              </w:rPr>
            </w:pPr>
            <w:r>
              <w:rPr>
                <w:rFonts w:ascii="Arial" w:eastAsia="Arial" w:hAnsi="Arial" w:cs="Arial"/>
                <w:sz w:val="18"/>
                <w:szCs w:val="18"/>
              </w:rPr>
              <w:t>1</w:t>
            </w:r>
          </w:p>
        </w:tc>
        <w:tc>
          <w:tcPr>
            <w:tcW w:w="2757" w:type="dxa"/>
          </w:tcPr>
          <w:p w14:paraId="61F2A5A0" w14:textId="77777777" w:rsidR="00187EF5" w:rsidRDefault="00745C3F">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 xml:space="preserve">Instrumental de actuaciones  </w:t>
            </w:r>
          </w:p>
        </w:tc>
        <w:tc>
          <w:tcPr>
            <w:tcW w:w="6378" w:type="dxa"/>
          </w:tcPr>
          <w:p w14:paraId="34C8DA65" w14:textId="77777777" w:rsidR="00187EF5" w:rsidRDefault="00745C3F">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r w:rsidR="00187EF5" w14:paraId="250630A8" w14:textId="77777777" w:rsidTr="00187EF5">
        <w:trPr>
          <w:trHeight w:val="418"/>
        </w:trPr>
        <w:tc>
          <w:tcPr>
            <w:cnfStyle w:val="001000000000" w:firstRow="0" w:lastRow="0" w:firstColumn="1" w:lastColumn="0" w:oddVBand="0" w:evenVBand="0" w:oddHBand="0" w:evenHBand="0" w:firstRowFirstColumn="0" w:firstRowLastColumn="0" w:lastRowFirstColumn="0" w:lastRowLastColumn="0"/>
            <w:tcW w:w="499" w:type="dxa"/>
          </w:tcPr>
          <w:p w14:paraId="7AD4DA89" w14:textId="77777777" w:rsidR="00187EF5" w:rsidRDefault="00745C3F">
            <w:pPr>
              <w:jc w:val="center"/>
              <w:rPr>
                <w:rFonts w:ascii="Arial" w:eastAsia="Arial" w:hAnsi="Arial" w:cs="Arial"/>
                <w:sz w:val="18"/>
                <w:szCs w:val="18"/>
              </w:rPr>
            </w:pPr>
            <w:r>
              <w:rPr>
                <w:rFonts w:ascii="Arial" w:eastAsia="Arial" w:hAnsi="Arial" w:cs="Arial"/>
                <w:sz w:val="18"/>
                <w:szCs w:val="18"/>
              </w:rPr>
              <w:t>2</w:t>
            </w:r>
          </w:p>
        </w:tc>
        <w:tc>
          <w:tcPr>
            <w:tcW w:w="2757" w:type="dxa"/>
          </w:tcPr>
          <w:p w14:paraId="52D0A66A" w14:textId="77777777" w:rsidR="00187EF5" w:rsidRDefault="00745C3F">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Presuncional legal y humana</w:t>
            </w:r>
          </w:p>
        </w:tc>
        <w:tc>
          <w:tcPr>
            <w:tcW w:w="6378" w:type="dxa"/>
          </w:tcPr>
          <w:p w14:paraId="298D1909" w14:textId="77777777" w:rsidR="00187EF5" w:rsidRDefault="00745C3F">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Todo lo que por su contenido y alcance favorezca a sus intereses.</w:t>
            </w:r>
          </w:p>
        </w:tc>
      </w:tr>
    </w:tbl>
    <w:p w14:paraId="79857452" w14:textId="77777777" w:rsidR="00187EF5" w:rsidRDefault="00187EF5">
      <w:pPr>
        <w:tabs>
          <w:tab w:val="left" w:pos="567"/>
        </w:tabs>
        <w:spacing w:line="360" w:lineRule="auto"/>
        <w:jc w:val="both"/>
        <w:rPr>
          <w:rFonts w:ascii="Arial" w:eastAsia="Arial" w:hAnsi="Arial" w:cs="Arial"/>
          <w:b/>
        </w:rPr>
      </w:pPr>
    </w:p>
    <w:p w14:paraId="0FCC5F15" w14:textId="77777777" w:rsidR="00187EF5" w:rsidRDefault="00745C3F">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 xml:space="preserve">3.3.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7"/>
      </w:r>
    </w:p>
    <w:p w14:paraId="2E6874AF" w14:textId="77777777" w:rsidR="00187EF5" w:rsidRDefault="00187EF5">
      <w:pPr>
        <w:pBdr>
          <w:top w:val="nil"/>
          <w:left w:val="nil"/>
          <w:bottom w:val="nil"/>
          <w:right w:val="nil"/>
          <w:between w:val="nil"/>
        </w:pBdr>
        <w:rPr>
          <w:color w:val="000000"/>
        </w:rPr>
      </w:pPr>
    </w:p>
    <w:p w14:paraId="78511F0F" w14:textId="77777777" w:rsidR="00187EF5" w:rsidRDefault="00745C3F">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5B217936" w14:textId="77777777" w:rsidR="00187EF5" w:rsidRDefault="00187EF5">
      <w:pPr>
        <w:pBdr>
          <w:top w:val="nil"/>
          <w:left w:val="nil"/>
          <w:bottom w:val="nil"/>
          <w:right w:val="nil"/>
          <w:between w:val="nil"/>
        </w:pBdr>
        <w:tabs>
          <w:tab w:val="left" w:pos="426"/>
        </w:tabs>
        <w:spacing w:line="360" w:lineRule="auto"/>
        <w:ind w:right="36"/>
        <w:jc w:val="both"/>
        <w:rPr>
          <w:rFonts w:ascii="Arial" w:eastAsia="Arial" w:hAnsi="Arial" w:cs="Arial"/>
          <w:color w:val="000000"/>
          <w:sz w:val="6"/>
          <w:szCs w:val="6"/>
        </w:rPr>
      </w:pPr>
    </w:p>
    <w:p w14:paraId="2E33E2B6" w14:textId="77777777" w:rsidR="00187EF5" w:rsidRDefault="00745C3F">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La calidad del ciudadano</w:t>
      </w:r>
      <w:r>
        <w:rPr>
          <w:rFonts w:ascii="Arial" w:eastAsia="Arial" w:hAnsi="Arial" w:cs="Arial"/>
          <w:sz w:val="24"/>
          <w:szCs w:val="24"/>
        </w:rPr>
        <w:t xml:space="preserve"> Israel Ángel Ramírez, como representante suplente del PAN y de la coalición “Va por Aguascalientes” ante el Consejo General. </w:t>
      </w:r>
    </w:p>
    <w:p w14:paraId="178D2EA5" w14:textId="77777777" w:rsidR="00187EF5" w:rsidRDefault="00745C3F">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La calidad de Nora Ruvalcaba Gámez, como candidata de Morena a la gubernatura del estado para el actual proceso electoral.</w:t>
      </w:r>
    </w:p>
    <w:p w14:paraId="1E433135" w14:textId="77777777" w:rsidR="00187EF5" w:rsidRDefault="00745C3F">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sz w:val="24"/>
          <w:szCs w:val="24"/>
        </w:rPr>
        <w:t xml:space="preserve">La calidad de Ricardo Barba Parra, como representante propietario de Morena ante el Consejo General. </w:t>
      </w:r>
    </w:p>
    <w:p w14:paraId="12C379C0" w14:textId="77777777" w:rsidR="00187EF5" w:rsidRDefault="00745C3F">
      <w:pPr>
        <w:numPr>
          <w:ilvl w:val="0"/>
          <w:numId w:val="1"/>
        </w:numPr>
        <w:pBdr>
          <w:top w:val="nil"/>
          <w:left w:val="nil"/>
          <w:bottom w:val="nil"/>
          <w:right w:val="nil"/>
          <w:between w:val="nil"/>
        </w:pBdr>
        <w:tabs>
          <w:tab w:val="left" w:pos="284"/>
        </w:tabs>
        <w:spacing w:line="360" w:lineRule="auto"/>
        <w:ind w:left="284" w:right="36" w:hanging="284"/>
        <w:jc w:val="both"/>
        <w:rPr>
          <w:color w:val="000000"/>
          <w:sz w:val="24"/>
          <w:szCs w:val="24"/>
        </w:rPr>
      </w:pPr>
      <w:r>
        <w:rPr>
          <w:rFonts w:ascii="Arial" w:eastAsia="Arial" w:hAnsi="Arial" w:cs="Arial"/>
          <w:color w:val="000000"/>
          <w:sz w:val="24"/>
          <w:szCs w:val="24"/>
        </w:rPr>
        <w:t xml:space="preserve">La existencia de la publicación denunciada, misma que se difundió a través de los perfiles de Facebook y Twitter de la candidata cuestionada. </w:t>
      </w:r>
    </w:p>
    <w:p w14:paraId="702276C4" w14:textId="77777777" w:rsidR="00187EF5" w:rsidRDefault="00187EF5">
      <w:pPr>
        <w:pBdr>
          <w:top w:val="nil"/>
          <w:left w:val="nil"/>
          <w:bottom w:val="nil"/>
          <w:right w:val="nil"/>
          <w:between w:val="nil"/>
        </w:pBdr>
        <w:rPr>
          <w:color w:val="000000"/>
        </w:rPr>
      </w:pPr>
    </w:p>
    <w:p w14:paraId="753329FF" w14:textId="5A245A23" w:rsidR="00187EF5" w:rsidRDefault="00745C3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V</w:t>
      </w:r>
      <w:r w:rsidR="00F90427">
        <w:rPr>
          <w:rFonts w:ascii="Arial" w:eastAsia="Arial" w:hAnsi="Arial" w:cs="Arial"/>
          <w:b/>
          <w:sz w:val="24"/>
          <w:szCs w:val="24"/>
        </w:rPr>
        <w:t>I</w:t>
      </w:r>
      <w:r>
        <w:rPr>
          <w:rFonts w:ascii="Arial" w:eastAsia="Arial" w:hAnsi="Arial" w:cs="Arial"/>
          <w:b/>
          <w:sz w:val="24"/>
          <w:szCs w:val="24"/>
        </w:rPr>
        <w:t>I. Análisis de fondo</w:t>
      </w:r>
    </w:p>
    <w:p w14:paraId="46DF11F3" w14:textId="77777777" w:rsidR="00187EF5" w:rsidRDefault="00187EF5">
      <w:pPr>
        <w:pBdr>
          <w:top w:val="nil"/>
          <w:left w:val="nil"/>
          <w:bottom w:val="nil"/>
          <w:right w:val="nil"/>
          <w:between w:val="nil"/>
        </w:pBdr>
        <w:rPr>
          <w:color w:val="000000"/>
          <w:sz w:val="14"/>
          <w:szCs w:val="14"/>
        </w:rPr>
      </w:pPr>
    </w:p>
    <w:p w14:paraId="76C069EC" w14:textId="77777777" w:rsidR="00187EF5" w:rsidRDefault="00745C3F">
      <w:pPr>
        <w:numPr>
          <w:ilvl w:val="0"/>
          <w:numId w:val="8"/>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4EAC69FC" w14:textId="77777777" w:rsidR="00187EF5" w:rsidRDefault="00187EF5">
      <w:pPr>
        <w:pBdr>
          <w:top w:val="nil"/>
          <w:left w:val="nil"/>
          <w:bottom w:val="nil"/>
          <w:right w:val="nil"/>
          <w:between w:val="nil"/>
        </w:pBdr>
        <w:rPr>
          <w:color w:val="000000"/>
          <w:sz w:val="14"/>
          <w:szCs w:val="14"/>
        </w:rPr>
      </w:pPr>
    </w:p>
    <w:p w14:paraId="476ACE13" w14:textId="77777777" w:rsidR="00187EF5" w:rsidRDefault="00745C3F">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el contenido de la publicación denunciada, actualiza la infracción de </w:t>
      </w:r>
      <w:r>
        <w:rPr>
          <w:rFonts w:ascii="Arial" w:eastAsia="Arial" w:hAnsi="Arial" w:cs="Arial"/>
          <w:b/>
          <w:sz w:val="24"/>
          <w:szCs w:val="24"/>
        </w:rPr>
        <w:t>calumnia</w:t>
      </w:r>
      <w:r>
        <w:rPr>
          <w:rFonts w:ascii="Arial" w:eastAsia="Arial" w:hAnsi="Arial" w:cs="Arial"/>
          <w:sz w:val="24"/>
          <w:szCs w:val="24"/>
        </w:rPr>
        <w:t xml:space="preserve"> a partir de la imputación falsa de un delito -robo-, cometida en perjuicio del PAN?</w:t>
      </w:r>
    </w:p>
    <w:p w14:paraId="67708D76" w14:textId="77777777" w:rsidR="00187EF5" w:rsidRDefault="00187EF5">
      <w:pPr>
        <w:pBdr>
          <w:top w:val="nil"/>
          <w:left w:val="nil"/>
          <w:bottom w:val="nil"/>
          <w:right w:val="nil"/>
          <w:between w:val="nil"/>
        </w:pBdr>
        <w:rPr>
          <w:color w:val="000000"/>
          <w:sz w:val="14"/>
          <w:szCs w:val="14"/>
        </w:rPr>
      </w:pPr>
    </w:p>
    <w:p w14:paraId="63EFCA8C" w14:textId="77777777" w:rsidR="00187EF5" w:rsidRDefault="00745C3F">
      <w:pPr>
        <w:pBdr>
          <w:top w:val="nil"/>
          <w:left w:val="nil"/>
          <w:bottom w:val="nil"/>
          <w:right w:val="nil"/>
          <w:between w:val="nil"/>
        </w:pBdr>
        <w:tabs>
          <w:tab w:val="left" w:pos="284"/>
        </w:tabs>
        <w:spacing w:line="360" w:lineRule="auto"/>
        <w:ind w:right="36"/>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013A3F2B" w14:textId="77777777" w:rsidR="00187EF5" w:rsidRDefault="00187EF5">
      <w:pPr>
        <w:pBdr>
          <w:top w:val="nil"/>
          <w:left w:val="nil"/>
          <w:bottom w:val="nil"/>
          <w:right w:val="nil"/>
          <w:between w:val="nil"/>
        </w:pBdr>
        <w:rPr>
          <w:color w:val="000000"/>
        </w:rPr>
      </w:pPr>
    </w:p>
    <w:p w14:paraId="32961416" w14:textId="77777777" w:rsidR="00187EF5" w:rsidRDefault="00745C3F">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sz w:val="24"/>
          <w:szCs w:val="24"/>
        </w:rPr>
        <w:t>Este Tribunal Electoral</w:t>
      </w:r>
      <w:r>
        <w:rPr>
          <w:rFonts w:ascii="Arial" w:eastAsia="Arial" w:hAnsi="Arial" w:cs="Arial"/>
          <w:b/>
          <w:sz w:val="24"/>
          <w:szCs w:val="24"/>
        </w:rPr>
        <w:t xml:space="preserve"> </w:t>
      </w:r>
      <w:r>
        <w:rPr>
          <w:rFonts w:ascii="Arial" w:eastAsia="Arial" w:hAnsi="Arial" w:cs="Arial"/>
          <w:sz w:val="24"/>
          <w:szCs w:val="24"/>
        </w:rPr>
        <w:t xml:space="preserve">estima que debe declararse la </w:t>
      </w:r>
      <w:r>
        <w:rPr>
          <w:rFonts w:ascii="Arial" w:eastAsia="Arial" w:hAnsi="Arial" w:cs="Arial"/>
          <w:b/>
          <w:sz w:val="24"/>
          <w:szCs w:val="24"/>
        </w:rPr>
        <w:t xml:space="preserve">existencia </w:t>
      </w:r>
      <w:r>
        <w:rPr>
          <w:rFonts w:ascii="Arial" w:eastAsia="Arial" w:hAnsi="Arial" w:cs="Arial"/>
          <w:sz w:val="24"/>
          <w:szCs w:val="24"/>
        </w:rPr>
        <w:t xml:space="preserve">de la infracción de calumnia en perjuicio del Partido Acción Nacional, atribuida a la ciudadana Nora Ruvalcaba Gámez, candidata a la gubernatura del estado por el partido Morena, derivado de la realización de una publicación en sus perfiles de las redes sociales Facebook y Twitter, misma que contiene expresiones calumniosas; y, en consecuencia, se acredita la </w:t>
      </w:r>
      <w:r>
        <w:rPr>
          <w:rFonts w:ascii="Arial" w:eastAsia="Arial" w:hAnsi="Arial" w:cs="Arial"/>
          <w:b/>
          <w:sz w:val="24"/>
          <w:szCs w:val="24"/>
        </w:rPr>
        <w:t>existencia</w:t>
      </w:r>
      <w:r>
        <w:rPr>
          <w:rFonts w:ascii="Arial" w:eastAsia="Arial" w:hAnsi="Arial" w:cs="Arial"/>
          <w:sz w:val="24"/>
          <w:szCs w:val="24"/>
        </w:rPr>
        <w:t xml:space="preserve"> de la infracción de </w:t>
      </w:r>
      <w:r>
        <w:rPr>
          <w:rFonts w:ascii="Arial" w:eastAsia="Arial" w:hAnsi="Arial" w:cs="Arial"/>
          <w:i/>
          <w:sz w:val="24"/>
          <w:szCs w:val="24"/>
        </w:rPr>
        <w:t>culpa in vigilando</w:t>
      </w:r>
      <w:r>
        <w:rPr>
          <w:rFonts w:ascii="Arial" w:eastAsia="Arial" w:hAnsi="Arial" w:cs="Arial"/>
          <w:sz w:val="24"/>
          <w:szCs w:val="24"/>
        </w:rPr>
        <w:t xml:space="preserve"> atribuida al partido político Morena.</w:t>
      </w:r>
    </w:p>
    <w:p w14:paraId="428D6410" w14:textId="77777777" w:rsidR="00187EF5" w:rsidRDefault="00745C3F">
      <w:pPr>
        <w:spacing w:before="240" w:after="240" w:line="360" w:lineRule="auto"/>
        <w:jc w:val="both"/>
        <w:rPr>
          <w:color w:val="000000"/>
        </w:rPr>
      </w:pPr>
      <w:r>
        <w:rPr>
          <w:rFonts w:ascii="Arial" w:eastAsia="Arial" w:hAnsi="Arial" w:cs="Arial"/>
          <w:sz w:val="24"/>
          <w:szCs w:val="24"/>
        </w:rPr>
        <w:t xml:space="preserve">Ello, porque </w:t>
      </w:r>
      <w:r>
        <w:rPr>
          <w:rFonts w:ascii="Arial" w:eastAsia="Arial" w:hAnsi="Arial" w:cs="Arial"/>
          <w:b/>
          <w:sz w:val="24"/>
          <w:szCs w:val="24"/>
        </w:rPr>
        <w:t>este órgano jurisdiccional considera</w:t>
      </w:r>
      <w:r>
        <w:rPr>
          <w:rFonts w:ascii="Arial" w:eastAsia="Arial" w:hAnsi="Arial" w:cs="Arial"/>
          <w:sz w:val="24"/>
          <w:szCs w:val="24"/>
        </w:rPr>
        <w:t xml:space="preserve"> que, del análisis de la publicación denunciada, se advierte que la candidata cuestionada le atribuyó de manera directa a los partidos denunciantes la comisión del delito de robo, sin que de las constancias que existen en el expediente se advierta prueba alguna que sustente su dicho. Lo anterior, con el propósito de provocar un daño a su reputación, en relación con su imagen frente al electorado, con impacto en el actual proceso electoral.</w:t>
      </w:r>
    </w:p>
    <w:p w14:paraId="45449783" w14:textId="77777777" w:rsidR="00187EF5" w:rsidRDefault="00745C3F">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737548B7" w14:textId="77777777" w:rsidR="00187EF5" w:rsidRDefault="00187EF5">
      <w:pPr>
        <w:pBdr>
          <w:top w:val="nil"/>
          <w:left w:val="nil"/>
          <w:bottom w:val="nil"/>
          <w:right w:val="nil"/>
          <w:between w:val="nil"/>
        </w:pBdr>
        <w:rPr>
          <w:color w:val="000000"/>
        </w:rPr>
      </w:pPr>
    </w:p>
    <w:p w14:paraId="7573834C" w14:textId="77777777" w:rsidR="00187EF5" w:rsidRDefault="00745C3F">
      <w:pPr>
        <w:spacing w:line="360" w:lineRule="auto"/>
        <w:jc w:val="both"/>
        <w:rPr>
          <w:rFonts w:ascii="Arial" w:eastAsia="Arial" w:hAnsi="Arial" w:cs="Arial"/>
          <w:b/>
          <w:sz w:val="24"/>
          <w:szCs w:val="24"/>
        </w:rPr>
      </w:pPr>
      <w:r>
        <w:rPr>
          <w:rFonts w:ascii="Arial" w:eastAsia="Arial" w:hAnsi="Arial" w:cs="Arial"/>
          <w:b/>
          <w:sz w:val="24"/>
          <w:szCs w:val="24"/>
        </w:rPr>
        <w:t xml:space="preserve">1. Marco normativo </w:t>
      </w:r>
    </w:p>
    <w:p w14:paraId="6B80ED52" w14:textId="77777777" w:rsidR="00187EF5" w:rsidRDefault="00187EF5">
      <w:pPr>
        <w:pBdr>
          <w:top w:val="nil"/>
          <w:left w:val="nil"/>
          <w:bottom w:val="nil"/>
          <w:right w:val="nil"/>
          <w:between w:val="nil"/>
        </w:pBdr>
        <w:rPr>
          <w:color w:val="000000"/>
        </w:rPr>
      </w:pPr>
    </w:p>
    <w:p w14:paraId="4C1D6696" w14:textId="77777777" w:rsidR="00187EF5" w:rsidRDefault="00745C3F">
      <w:pPr>
        <w:numPr>
          <w:ilvl w:val="1"/>
          <w:numId w:val="2"/>
        </w:numPr>
        <w:pBdr>
          <w:top w:val="nil"/>
          <w:left w:val="nil"/>
          <w:bottom w:val="nil"/>
          <w:right w:val="nil"/>
          <w:between w:val="nil"/>
        </w:pBdr>
        <w:spacing w:line="360" w:lineRule="auto"/>
        <w:ind w:left="567" w:hanging="567"/>
        <w:jc w:val="both"/>
        <w:rPr>
          <w:rFonts w:ascii="Arial" w:eastAsia="Arial" w:hAnsi="Arial" w:cs="Arial"/>
          <w:b/>
          <w:color w:val="000000"/>
          <w:sz w:val="24"/>
          <w:szCs w:val="24"/>
        </w:rPr>
      </w:pPr>
      <w:r>
        <w:rPr>
          <w:rFonts w:ascii="Arial" w:eastAsia="Arial" w:hAnsi="Arial" w:cs="Arial"/>
          <w:b/>
          <w:color w:val="000000"/>
          <w:sz w:val="24"/>
          <w:szCs w:val="24"/>
        </w:rPr>
        <w:t>Marco normativo de calumnia.</w:t>
      </w:r>
    </w:p>
    <w:p w14:paraId="1EF575D1" w14:textId="77777777" w:rsidR="00187EF5" w:rsidRDefault="00187EF5">
      <w:pPr>
        <w:pBdr>
          <w:top w:val="nil"/>
          <w:left w:val="nil"/>
          <w:bottom w:val="nil"/>
          <w:right w:val="nil"/>
          <w:between w:val="nil"/>
        </w:pBdr>
        <w:rPr>
          <w:color w:val="000000"/>
        </w:rPr>
      </w:pPr>
    </w:p>
    <w:p w14:paraId="49B586ED" w14:textId="77777777" w:rsidR="00187EF5" w:rsidRDefault="00745C3F">
      <w:pPr>
        <w:spacing w:line="360" w:lineRule="auto"/>
        <w:jc w:val="both"/>
      </w:pPr>
      <w:r>
        <w:rPr>
          <w:rFonts w:ascii="Arial" w:eastAsia="Arial" w:hAnsi="Arial" w:cs="Arial"/>
          <w:sz w:val="24"/>
          <w:szCs w:val="24"/>
        </w:rPr>
        <w:t>El artículo 6°, de la Constitución Federal</w:t>
      </w:r>
      <w:r>
        <w:rPr>
          <w:rFonts w:ascii="Arial" w:eastAsia="Arial" w:hAnsi="Arial" w:cs="Arial"/>
          <w:sz w:val="24"/>
          <w:szCs w:val="24"/>
          <w:vertAlign w:val="superscript"/>
        </w:rPr>
        <w:footnoteReference w:id="8"/>
      </w:r>
      <w:r>
        <w:rPr>
          <w:rFonts w:ascii="Arial" w:eastAsia="Arial" w:hAnsi="Arial" w:cs="Arial"/>
          <w:sz w:val="24"/>
          <w:szCs w:val="24"/>
        </w:rPr>
        <w:t xml:space="preserve"> establece que los supuestos en los cuales la libertad de expresión se encuentra limitada, son los siguientes: </w:t>
      </w:r>
      <w:r>
        <w:rPr>
          <w:rFonts w:ascii="Arial" w:eastAsia="Arial" w:hAnsi="Arial" w:cs="Arial"/>
          <w:b/>
          <w:i/>
          <w:sz w:val="24"/>
          <w:szCs w:val="24"/>
        </w:rPr>
        <w:t>a)</w:t>
      </w:r>
      <w:r>
        <w:rPr>
          <w:rFonts w:ascii="Arial" w:eastAsia="Arial" w:hAnsi="Arial" w:cs="Arial"/>
          <w:sz w:val="24"/>
          <w:szCs w:val="24"/>
        </w:rPr>
        <w:t xml:space="preserve"> cuando se ataque a la moral, a la vida privada y los derechos de terceros, </w:t>
      </w:r>
      <w:r>
        <w:rPr>
          <w:rFonts w:ascii="Arial" w:eastAsia="Arial" w:hAnsi="Arial" w:cs="Arial"/>
          <w:b/>
          <w:i/>
          <w:sz w:val="24"/>
          <w:szCs w:val="24"/>
        </w:rPr>
        <w:t>b)</w:t>
      </w:r>
      <w:r>
        <w:rPr>
          <w:rFonts w:ascii="Arial" w:eastAsia="Arial" w:hAnsi="Arial" w:cs="Arial"/>
          <w:sz w:val="24"/>
          <w:szCs w:val="24"/>
        </w:rPr>
        <w:t xml:space="preserve"> cuando se provoque algún delito y/o, </w:t>
      </w:r>
      <w:r>
        <w:rPr>
          <w:rFonts w:ascii="Arial" w:eastAsia="Arial" w:hAnsi="Arial" w:cs="Arial"/>
          <w:b/>
          <w:i/>
          <w:sz w:val="24"/>
          <w:szCs w:val="24"/>
        </w:rPr>
        <w:t>c)</w:t>
      </w:r>
      <w:r>
        <w:rPr>
          <w:rFonts w:ascii="Arial" w:eastAsia="Arial" w:hAnsi="Arial" w:cs="Arial"/>
          <w:sz w:val="24"/>
          <w:szCs w:val="24"/>
        </w:rPr>
        <w:t xml:space="preserve"> se perturbe el orden público.</w:t>
      </w:r>
    </w:p>
    <w:p w14:paraId="54060E2F" w14:textId="77777777" w:rsidR="00187EF5" w:rsidRDefault="00745C3F">
      <w:pPr>
        <w:spacing w:before="240" w:after="240" w:line="360" w:lineRule="auto"/>
        <w:jc w:val="both"/>
      </w:pPr>
      <w:r>
        <w:rPr>
          <w:rFonts w:ascii="Arial" w:eastAsia="Arial" w:hAnsi="Arial" w:cs="Arial"/>
          <w:sz w:val="24"/>
          <w:szCs w:val="24"/>
        </w:rPr>
        <w:t xml:space="preserve">De ahí que las limitaciones a la libertad de expresión tienen como finalidad: </w:t>
      </w:r>
      <w:r>
        <w:rPr>
          <w:rFonts w:ascii="Arial" w:eastAsia="Arial" w:hAnsi="Arial" w:cs="Arial"/>
          <w:b/>
          <w:i/>
          <w:sz w:val="24"/>
          <w:szCs w:val="24"/>
        </w:rPr>
        <w:t>i)</w:t>
      </w:r>
      <w:r>
        <w:rPr>
          <w:rFonts w:ascii="Arial" w:eastAsia="Arial" w:hAnsi="Arial" w:cs="Arial"/>
          <w:sz w:val="24"/>
          <w:szCs w:val="24"/>
        </w:rPr>
        <w:t xml:space="preserve"> el respeto a los derechos y reputación de los demás y, </w:t>
      </w:r>
      <w:r>
        <w:rPr>
          <w:rFonts w:ascii="Arial" w:eastAsia="Arial" w:hAnsi="Arial" w:cs="Arial"/>
          <w:b/>
          <w:i/>
          <w:sz w:val="24"/>
          <w:szCs w:val="24"/>
        </w:rPr>
        <w:t>ii)</w:t>
      </w:r>
      <w:r>
        <w:rPr>
          <w:rFonts w:ascii="Arial" w:eastAsia="Arial" w:hAnsi="Arial" w:cs="Arial"/>
          <w:sz w:val="24"/>
          <w:szCs w:val="24"/>
        </w:rPr>
        <w:t xml:space="preserve"> la protección a la seguridad nacional y el orden público.</w:t>
      </w:r>
    </w:p>
    <w:p w14:paraId="075B03FC" w14:textId="77777777" w:rsidR="00187EF5" w:rsidRDefault="00745C3F">
      <w:pPr>
        <w:spacing w:before="240" w:after="240" w:line="360" w:lineRule="auto"/>
        <w:jc w:val="both"/>
      </w:pPr>
      <w:r>
        <w:rPr>
          <w:rFonts w:ascii="Arial" w:eastAsia="Arial" w:hAnsi="Arial" w:cs="Arial"/>
          <w:sz w:val="24"/>
          <w:szCs w:val="24"/>
        </w:rPr>
        <w:lastRenderedPageBreak/>
        <w:t>A su vez, el artículo 41, Base II, apartado C</w:t>
      </w:r>
      <w:r>
        <w:rPr>
          <w:rFonts w:ascii="Arial" w:eastAsia="Arial" w:hAnsi="Arial" w:cs="Arial"/>
          <w:sz w:val="24"/>
          <w:szCs w:val="24"/>
          <w:vertAlign w:val="superscript"/>
        </w:rPr>
        <w:footnoteReference w:id="9"/>
      </w:r>
      <w:r>
        <w:rPr>
          <w:rFonts w:ascii="Arial" w:eastAsia="Arial" w:hAnsi="Arial" w:cs="Arial"/>
          <w:sz w:val="24"/>
          <w:szCs w:val="24"/>
        </w:rPr>
        <w:t xml:space="preserve"> del mismo ordenamiento, establece que los partidos políticos y candidatos deben abstenerse de difundir propaganda que calumnie a las personas o que cometan alguna infracción electoral.</w:t>
      </w:r>
    </w:p>
    <w:p w14:paraId="49B48508" w14:textId="77777777" w:rsidR="00187EF5" w:rsidRDefault="00745C3F">
      <w:pPr>
        <w:spacing w:before="240" w:after="240" w:line="360" w:lineRule="auto"/>
        <w:jc w:val="both"/>
      </w:pPr>
      <w:r>
        <w:rPr>
          <w:rFonts w:ascii="Arial" w:eastAsia="Arial" w:hAnsi="Arial" w:cs="Arial"/>
          <w:sz w:val="24"/>
          <w:szCs w:val="24"/>
        </w:rPr>
        <w:t>Por otro lado, el artículo 471, segundo párrafo, de la LEGIPE</w:t>
      </w:r>
      <w:r>
        <w:rPr>
          <w:rFonts w:ascii="Arial" w:eastAsia="Arial" w:hAnsi="Arial" w:cs="Arial"/>
          <w:sz w:val="24"/>
          <w:szCs w:val="24"/>
          <w:vertAlign w:val="superscript"/>
        </w:rPr>
        <w:footnoteReference w:id="10"/>
      </w:r>
      <w:r>
        <w:rPr>
          <w:rFonts w:ascii="Arial" w:eastAsia="Arial" w:hAnsi="Arial" w:cs="Arial"/>
          <w:sz w:val="24"/>
          <w:szCs w:val="24"/>
        </w:rPr>
        <w:t xml:space="preserve"> establece que </w:t>
      </w:r>
      <w:r>
        <w:rPr>
          <w:rFonts w:ascii="Arial" w:eastAsia="Arial" w:hAnsi="Arial" w:cs="Arial"/>
          <w:b/>
          <w:sz w:val="24"/>
          <w:szCs w:val="24"/>
        </w:rPr>
        <w:t>la calumnia es la imputación de hechos o delitos falsos por parte de partidos políticos</w:t>
      </w:r>
      <w:r>
        <w:rPr>
          <w:rFonts w:ascii="Arial" w:eastAsia="Arial" w:hAnsi="Arial" w:cs="Arial"/>
          <w:sz w:val="24"/>
          <w:szCs w:val="24"/>
        </w:rPr>
        <w:t xml:space="preserve"> </w:t>
      </w:r>
      <w:r>
        <w:rPr>
          <w:rFonts w:ascii="Arial" w:eastAsia="Arial" w:hAnsi="Arial" w:cs="Arial"/>
          <w:b/>
          <w:sz w:val="24"/>
          <w:szCs w:val="24"/>
        </w:rPr>
        <w:t>o candidatos</w:t>
      </w:r>
      <w:r>
        <w:rPr>
          <w:rFonts w:ascii="Arial" w:eastAsia="Arial" w:hAnsi="Arial" w:cs="Arial"/>
          <w:sz w:val="24"/>
          <w:szCs w:val="24"/>
        </w:rPr>
        <w:t>, con impacto en un proceso electoral.</w:t>
      </w:r>
    </w:p>
    <w:p w14:paraId="2D605D5F" w14:textId="77777777" w:rsidR="00187EF5" w:rsidRDefault="00745C3F">
      <w:pPr>
        <w:spacing w:before="240" w:after="240" w:line="360" w:lineRule="auto"/>
        <w:jc w:val="both"/>
      </w:pPr>
      <w:r>
        <w:rPr>
          <w:rFonts w:ascii="Arial" w:eastAsia="Arial" w:hAnsi="Arial" w:cs="Arial"/>
          <w:sz w:val="24"/>
          <w:szCs w:val="24"/>
        </w:rPr>
        <w:t>En tal sentido, la SCJN</w:t>
      </w:r>
      <w:r>
        <w:rPr>
          <w:rFonts w:ascii="Arial" w:eastAsia="Arial" w:hAnsi="Arial" w:cs="Arial"/>
          <w:sz w:val="24"/>
          <w:szCs w:val="24"/>
          <w:vertAlign w:val="superscript"/>
        </w:rPr>
        <w:footnoteReference w:id="11"/>
      </w:r>
      <w:r>
        <w:rPr>
          <w:rFonts w:ascii="Arial" w:eastAsia="Arial" w:hAnsi="Arial" w:cs="Arial"/>
          <w:sz w:val="24"/>
          <w:szCs w:val="24"/>
        </w:rPr>
        <w:t xml:space="preserve"> estableció que para poder acreditar la calumnia es necesario que se cumplan dos elementos, estos son: </w:t>
      </w:r>
      <w:r>
        <w:rPr>
          <w:rFonts w:ascii="Arial" w:eastAsia="Arial" w:hAnsi="Arial" w:cs="Arial"/>
          <w:b/>
          <w:i/>
          <w:sz w:val="24"/>
          <w:szCs w:val="24"/>
        </w:rPr>
        <w:t>a)</w:t>
      </w:r>
      <w:r>
        <w:rPr>
          <w:rFonts w:ascii="Arial" w:eastAsia="Arial" w:hAnsi="Arial" w:cs="Arial"/>
          <w:b/>
          <w:sz w:val="24"/>
          <w:szCs w:val="24"/>
        </w:rPr>
        <w:t xml:space="preserve"> personal</w:t>
      </w:r>
      <w:r>
        <w:rPr>
          <w:rFonts w:ascii="Arial" w:eastAsia="Arial" w:hAnsi="Arial" w:cs="Arial"/>
          <w:sz w:val="24"/>
          <w:szCs w:val="24"/>
        </w:rPr>
        <w:t xml:space="preserve">, que implica valorar al sujeto que fue denunciado que, por lo general, solo pueden ser sancionados por calumnia electoral los partidos políticos, las coaliciones y las </w:t>
      </w:r>
      <w:r>
        <w:rPr>
          <w:rFonts w:ascii="Arial" w:eastAsia="Arial" w:hAnsi="Arial" w:cs="Arial"/>
          <w:b/>
          <w:sz w:val="24"/>
          <w:szCs w:val="24"/>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el</w:t>
      </w:r>
      <w:r>
        <w:rPr>
          <w:rFonts w:ascii="Arial" w:eastAsia="Arial" w:hAnsi="Arial" w:cs="Arial"/>
          <w:b/>
          <w:sz w:val="24"/>
          <w:szCs w:val="24"/>
        </w:rPr>
        <w:t xml:space="preserve"> objetivo, </w:t>
      </w:r>
      <w:r>
        <w:rPr>
          <w:rFonts w:ascii="Arial" w:eastAsia="Arial" w:hAnsi="Arial" w:cs="Arial"/>
          <w:sz w:val="24"/>
          <w:szCs w:val="24"/>
        </w:rPr>
        <w:t xml:space="preserve">es decir, que exista una imputación de hechos o delitos falsos y, </w:t>
      </w:r>
      <w:r>
        <w:rPr>
          <w:rFonts w:ascii="Arial" w:eastAsia="Arial" w:hAnsi="Arial" w:cs="Arial"/>
          <w:b/>
          <w:sz w:val="24"/>
          <w:szCs w:val="24"/>
        </w:rPr>
        <w:t>c</w:t>
      </w:r>
      <w:r>
        <w:rPr>
          <w:rFonts w:ascii="Arial" w:eastAsia="Arial" w:hAnsi="Arial" w:cs="Arial"/>
          <w:b/>
          <w:i/>
          <w:sz w:val="24"/>
          <w:szCs w:val="24"/>
        </w:rPr>
        <w:t xml:space="preserve">) </w:t>
      </w:r>
      <w:r>
        <w:rPr>
          <w:rFonts w:ascii="Arial" w:eastAsia="Arial" w:hAnsi="Arial" w:cs="Arial"/>
          <w:sz w:val="24"/>
          <w:szCs w:val="24"/>
        </w:rPr>
        <w:t>el elemento</w:t>
      </w:r>
      <w:r>
        <w:rPr>
          <w:rFonts w:ascii="Arial" w:eastAsia="Arial" w:hAnsi="Arial" w:cs="Arial"/>
          <w:b/>
          <w:sz w:val="24"/>
          <w:szCs w:val="24"/>
        </w:rPr>
        <w:t xml:space="preserve"> subjetivo</w:t>
      </w:r>
      <w:r>
        <w:rPr>
          <w:rFonts w:ascii="Arial" w:eastAsia="Arial" w:hAnsi="Arial" w:cs="Arial"/>
          <w:sz w:val="24"/>
          <w:szCs w:val="24"/>
        </w:rPr>
        <w:t>, que implica que quien realiza la imputación sepa que los hechos y delitos son falsos.</w:t>
      </w:r>
    </w:p>
    <w:p w14:paraId="64EADAB4" w14:textId="77777777" w:rsidR="00187EF5" w:rsidRDefault="00745C3F">
      <w:pPr>
        <w:spacing w:before="240" w:after="240" w:line="360" w:lineRule="auto"/>
        <w:jc w:val="both"/>
      </w:pPr>
      <w:r>
        <w:rPr>
          <w:rFonts w:ascii="Arial" w:eastAsia="Arial" w:hAnsi="Arial" w:cs="Arial"/>
          <w:sz w:val="24"/>
          <w:szCs w:val="24"/>
        </w:rPr>
        <w:t xml:space="preserve">Por su parte, la Sala Superior estableció dos elementos adicionales para poder acreditar tal infracción y, en su caso, sancionar la calumnia. Estos son: </w:t>
      </w:r>
      <w:r>
        <w:rPr>
          <w:rFonts w:ascii="Arial" w:eastAsia="Arial" w:hAnsi="Arial" w:cs="Arial"/>
          <w:b/>
          <w:i/>
          <w:sz w:val="24"/>
          <w:szCs w:val="24"/>
        </w:rPr>
        <w:t>i)</w:t>
      </w:r>
      <w:r>
        <w:rPr>
          <w:rFonts w:ascii="Arial" w:eastAsia="Arial" w:hAnsi="Arial" w:cs="Arial"/>
          <w:sz w:val="24"/>
          <w:szCs w:val="24"/>
        </w:rPr>
        <w:t xml:space="preserve"> que las expresiones tengan un </w:t>
      </w:r>
      <w:r>
        <w:rPr>
          <w:rFonts w:ascii="Arial" w:eastAsia="Arial" w:hAnsi="Arial" w:cs="Arial"/>
          <w:b/>
          <w:sz w:val="24"/>
          <w:szCs w:val="24"/>
        </w:rPr>
        <w:t>impacto en el proceso</w:t>
      </w:r>
      <w:r>
        <w:rPr>
          <w:rFonts w:ascii="Arial" w:eastAsia="Arial" w:hAnsi="Arial" w:cs="Arial"/>
          <w:sz w:val="24"/>
          <w:szCs w:val="24"/>
        </w:rPr>
        <w:t xml:space="preserve"> electoral y; </w:t>
      </w:r>
      <w:r>
        <w:rPr>
          <w:rFonts w:ascii="Arial" w:eastAsia="Arial" w:hAnsi="Arial" w:cs="Arial"/>
          <w:b/>
          <w:i/>
          <w:sz w:val="24"/>
          <w:szCs w:val="24"/>
        </w:rPr>
        <w:t>ii)</w:t>
      </w:r>
      <w:r>
        <w:rPr>
          <w:rFonts w:ascii="Arial" w:eastAsia="Arial" w:hAnsi="Arial" w:cs="Arial"/>
          <w:sz w:val="24"/>
          <w:szCs w:val="24"/>
        </w:rPr>
        <w:t xml:space="preserve"> que las expresiones se hubiesen realizado de </w:t>
      </w:r>
      <w:r>
        <w:rPr>
          <w:rFonts w:ascii="Arial" w:eastAsia="Arial" w:hAnsi="Arial" w:cs="Arial"/>
          <w:b/>
          <w:sz w:val="24"/>
          <w:szCs w:val="24"/>
        </w:rPr>
        <w:t>forma maliciosa</w:t>
      </w:r>
      <w:r>
        <w:rPr>
          <w:rFonts w:ascii="Arial" w:eastAsia="Arial" w:hAnsi="Arial" w:cs="Arial"/>
          <w:sz w:val="24"/>
          <w:szCs w:val="24"/>
        </w:rPr>
        <w:t>. Asimismo, sostuvo que al establecer las expresiones que presuntamente constituyen calumnia no solo deben ser analizadas por su contenido, sino también en su contexto.</w:t>
      </w:r>
      <w:r>
        <w:rPr>
          <w:rFonts w:ascii="Arial" w:eastAsia="Arial" w:hAnsi="Arial" w:cs="Arial"/>
          <w:sz w:val="24"/>
          <w:szCs w:val="24"/>
          <w:vertAlign w:val="superscript"/>
        </w:rPr>
        <w:footnoteReference w:id="12"/>
      </w:r>
    </w:p>
    <w:p w14:paraId="20D51963" w14:textId="77777777" w:rsidR="00187EF5" w:rsidRDefault="00745C3F">
      <w:pPr>
        <w:spacing w:before="240" w:after="240" w:line="360" w:lineRule="auto"/>
        <w:jc w:val="both"/>
      </w:pPr>
      <w:r>
        <w:rPr>
          <w:rFonts w:ascii="Arial" w:eastAsia="Arial" w:hAnsi="Arial" w:cs="Arial"/>
          <w:sz w:val="24"/>
          <w:szCs w:val="24"/>
        </w:rPr>
        <w:t xml:space="preserve">De lo anterior, podemos concluir que </w:t>
      </w:r>
      <w:r>
        <w:rPr>
          <w:rFonts w:ascii="Arial" w:eastAsia="Arial" w:hAnsi="Arial" w:cs="Arial"/>
          <w:b/>
          <w:sz w:val="24"/>
          <w:szCs w:val="24"/>
        </w:rPr>
        <w:t>la restricción a la libertad de expresión en el ámbito electoral, es constitucional</w:t>
      </w:r>
      <w:r>
        <w:rPr>
          <w:rFonts w:ascii="Arial" w:eastAsia="Arial" w:hAnsi="Arial" w:cs="Arial"/>
          <w:sz w:val="24"/>
          <w:szCs w:val="24"/>
        </w:rPr>
        <w:t xml:space="preserve">. Pues dicha restricción no limita la libre circulación de crítica, ya que </w:t>
      </w:r>
      <w:r>
        <w:rPr>
          <w:rFonts w:ascii="Arial" w:eastAsia="Arial" w:hAnsi="Arial" w:cs="Arial"/>
          <w:b/>
          <w:sz w:val="24"/>
          <w:szCs w:val="24"/>
        </w:rPr>
        <w:t>incluso permite expresiones severas, vehementes, molestas o perturbadoras</w:t>
      </w:r>
      <w:r>
        <w:rPr>
          <w:rFonts w:ascii="Arial" w:eastAsia="Arial" w:hAnsi="Arial" w:cs="Arial"/>
          <w:sz w:val="24"/>
          <w:szCs w:val="24"/>
        </w:rPr>
        <w:t>.</w:t>
      </w:r>
    </w:p>
    <w:p w14:paraId="2A3BB752" w14:textId="41005DDD" w:rsidR="00187EF5" w:rsidRDefault="00745C3F">
      <w:pPr>
        <w:spacing w:before="240" w:after="240" w:line="360" w:lineRule="auto"/>
        <w:jc w:val="both"/>
      </w:pPr>
      <w:r>
        <w:rPr>
          <w:rFonts w:ascii="Arial" w:eastAsia="Arial" w:hAnsi="Arial" w:cs="Arial"/>
          <w:b/>
          <w:sz w:val="24"/>
          <w:szCs w:val="24"/>
        </w:rPr>
        <w:t>1.2.</w:t>
      </w:r>
      <w:r>
        <w:rPr>
          <w:sz w:val="14"/>
          <w:szCs w:val="14"/>
        </w:rPr>
        <w:t xml:space="preserve">     </w:t>
      </w:r>
      <w:r>
        <w:rPr>
          <w:rFonts w:ascii="Arial" w:eastAsia="Arial" w:hAnsi="Arial" w:cs="Arial"/>
          <w:b/>
          <w:sz w:val="24"/>
          <w:szCs w:val="24"/>
        </w:rPr>
        <w:t>Marco normativo de la libertad de expresión en las redes sociales.</w:t>
      </w:r>
    </w:p>
    <w:p w14:paraId="4FF47BC9" w14:textId="77777777" w:rsidR="00187EF5" w:rsidRDefault="00745C3F">
      <w:pPr>
        <w:spacing w:before="240" w:after="240" w:line="360" w:lineRule="auto"/>
        <w:jc w:val="both"/>
      </w:pPr>
      <w:r>
        <w:rPr>
          <w:rFonts w:ascii="Arial" w:eastAsia="Arial" w:hAnsi="Arial" w:cs="Arial"/>
          <w:sz w:val="24"/>
          <w:szCs w:val="24"/>
        </w:rPr>
        <w:t>Las redes sociales constituyen una herramienta útil para general la comunicación social, ya que permite a un número indefinido de personas, a fin de que puedan acceder, compartir e intercambiar información, de manera global, instantánea y a un bajo costo.</w:t>
      </w:r>
    </w:p>
    <w:p w14:paraId="713DB44B" w14:textId="77777777" w:rsidR="00187EF5" w:rsidRDefault="00745C3F">
      <w:pPr>
        <w:spacing w:before="240" w:after="240" w:line="360" w:lineRule="auto"/>
        <w:jc w:val="both"/>
      </w:pPr>
      <w:r>
        <w:rPr>
          <w:rFonts w:ascii="Arial" w:eastAsia="Arial" w:hAnsi="Arial" w:cs="Arial"/>
          <w:sz w:val="24"/>
          <w:szCs w:val="24"/>
        </w:rPr>
        <w:t xml:space="preserve">Además, este medio de comunicación tiene la ventaja de que la comunicación no es unidireccional, esto es, que los usuarios pueden interactuar de diferentes maneras y con </w:t>
      </w:r>
      <w:r>
        <w:rPr>
          <w:rFonts w:ascii="Arial" w:eastAsia="Arial" w:hAnsi="Arial" w:cs="Arial"/>
          <w:sz w:val="24"/>
          <w:szCs w:val="24"/>
        </w:rPr>
        <w:lastRenderedPageBreak/>
        <w:t>varias personas a la vez. Por otro lado, las redes sociales son el medio idóneo para que las personas ejerzan de manera plena sus derechos a la libertad de expresión, opinión, asociación y reunión.</w:t>
      </w:r>
    </w:p>
    <w:p w14:paraId="673A9F20" w14:textId="77777777" w:rsidR="00187EF5" w:rsidRDefault="00745C3F">
      <w:pPr>
        <w:spacing w:before="240" w:after="240" w:line="360" w:lineRule="auto"/>
        <w:jc w:val="both"/>
      </w:pPr>
      <w:r>
        <w:rPr>
          <w:rFonts w:ascii="Arial" w:eastAsia="Arial" w:hAnsi="Arial" w:cs="Arial"/>
          <w:sz w:val="24"/>
          <w:szCs w:val="24"/>
        </w:rPr>
        <w:t xml:space="preserve">Igualmente, tales medios fungen como un medio de comunicación masivo que </w:t>
      </w:r>
      <w:r>
        <w:rPr>
          <w:rFonts w:ascii="Arial" w:eastAsia="Arial" w:hAnsi="Arial" w:cs="Arial"/>
          <w:b/>
          <w:sz w:val="24"/>
          <w:szCs w:val="24"/>
        </w:rPr>
        <w:t>permite a los usuarios tener un debate amplio y robusto</w:t>
      </w:r>
      <w:r>
        <w:rPr>
          <w:rFonts w:ascii="Arial" w:eastAsia="Arial" w:hAnsi="Arial" w:cs="Arial"/>
          <w:sz w:val="24"/>
          <w:szCs w:val="24"/>
        </w:rPr>
        <w:t xml:space="preserve">, en el que los usuarios </w:t>
      </w:r>
      <w:r>
        <w:rPr>
          <w:rFonts w:ascii="Arial" w:eastAsia="Arial" w:hAnsi="Arial" w:cs="Arial"/>
          <w:b/>
          <w:sz w:val="24"/>
          <w:szCs w:val="24"/>
        </w:rPr>
        <w:t>intercambien ideas y opiniones, positivas o negativas</w:t>
      </w:r>
      <w:r>
        <w:rPr>
          <w:rFonts w:ascii="Arial" w:eastAsia="Arial" w:hAnsi="Arial" w:cs="Arial"/>
          <w:sz w:val="24"/>
          <w:szCs w:val="24"/>
        </w:rPr>
        <w:t>, de manera ágil y fluida. Por ende, las redes sociales se vuelven un vehículo de suma importancia para la democracia.</w:t>
      </w:r>
      <w:r>
        <w:t xml:space="preserve"> </w:t>
      </w:r>
    </w:p>
    <w:p w14:paraId="4EF76E75" w14:textId="77777777" w:rsidR="00187EF5" w:rsidRDefault="00745C3F">
      <w:pPr>
        <w:spacing w:before="240" w:line="360" w:lineRule="auto"/>
        <w:jc w:val="both"/>
        <w:rPr>
          <w:rFonts w:ascii="Arial" w:eastAsia="Arial" w:hAnsi="Arial" w:cs="Arial"/>
          <w:sz w:val="24"/>
          <w:szCs w:val="24"/>
        </w:rPr>
      </w:pPr>
      <w:r>
        <w:rPr>
          <w:rFonts w:ascii="Arial" w:eastAsia="Arial" w:hAnsi="Arial" w:cs="Arial"/>
          <w:sz w:val="24"/>
          <w:szCs w:val="24"/>
        </w:rPr>
        <w:t xml:space="preserve">De lo anterior es posible concluir que, si bien los contenidos en las redes sociales pueden ser susceptibles de constituir una infracción en materia electoral, también lo es que la </w:t>
      </w:r>
      <w:r>
        <w:rPr>
          <w:rFonts w:ascii="Arial" w:eastAsia="Arial" w:hAnsi="Arial" w:cs="Arial"/>
          <w:b/>
          <w:sz w:val="24"/>
          <w:szCs w:val="24"/>
        </w:rPr>
        <w:t>libertad de expresión a través de redes sociales goza, en principio, de una presunción de espontaneidad</w:t>
      </w:r>
      <w:r>
        <w:rPr>
          <w:rFonts w:ascii="Arial" w:eastAsia="Arial" w:hAnsi="Arial" w:cs="Arial"/>
          <w:sz w:val="24"/>
          <w:szCs w:val="24"/>
        </w:rPr>
        <w:t>, es decir, que la difusión de mensajes, videos, fotografías o cualquier elemento audiovisual cuenta con una protección amplia.</w:t>
      </w:r>
    </w:p>
    <w:p w14:paraId="0555648F" w14:textId="77777777" w:rsidR="00187EF5" w:rsidRDefault="00187EF5">
      <w:pPr>
        <w:pBdr>
          <w:top w:val="nil"/>
          <w:left w:val="nil"/>
          <w:bottom w:val="nil"/>
          <w:right w:val="nil"/>
          <w:between w:val="nil"/>
        </w:pBdr>
        <w:tabs>
          <w:tab w:val="left" w:pos="284"/>
        </w:tabs>
        <w:ind w:right="36"/>
        <w:jc w:val="both"/>
        <w:rPr>
          <w:rFonts w:ascii="Arial" w:eastAsia="Arial" w:hAnsi="Arial" w:cs="Arial"/>
          <w:sz w:val="24"/>
          <w:szCs w:val="24"/>
        </w:rPr>
      </w:pPr>
    </w:p>
    <w:p w14:paraId="37FF8490" w14:textId="77777777" w:rsidR="00187EF5" w:rsidRDefault="00745C3F">
      <w:pPr>
        <w:pBdr>
          <w:top w:val="nil"/>
          <w:left w:val="nil"/>
          <w:bottom w:val="nil"/>
          <w:right w:val="nil"/>
          <w:between w:val="nil"/>
        </w:pBdr>
        <w:tabs>
          <w:tab w:val="left" w:pos="284"/>
        </w:tabs>
        <w:spacing w:line="360" w:lineRule="auto"/>
        <w:ind w:right="36"/>
        <w:jc w:val="both"/>
        <w:rPr>
          <w:rFonts w:ascii="Arial" w:eastAsia="Arial" w:hAnsi="Arial" w:cs="Arial"/>
          <w:b/>
          <w:color w:val="000000"/>
          <w:sz w:val="24"/>
          <w:szCs w:val="24"/>
        </w:rPr>
      </w:pPr>
      <w:r>
        <w:rPr>
          <w:rFonts w:ascii="Arial" w:eastAsia="Arial" w:hAnsi="Arial" w:cs="Arial"/>
          <w:b/>
          <w:color w:val="000000"/>
          <w:sz w:val="24"/>
          <w:szCs w:val="24"/>
        </w:rPr>
        <w:t>2. Caso Concreto</w:t>
      </w:r>
    </w:p>
    <w:p w14:paraId="608D4E25" w14:textId="77777777" w:rsidR="00187EF5" w:rsidRDefault="00187EF5">
      <w:pPr>
        <w:pBdr>
          <w:top w:val="nil"/>
          <w:left w:val="nil"/>
          <w:bottom w:val="nil"/>
          <w:right w:val="nil"/>
          <w:between w:val="nil"/>
        </w:pBdr>
        <w:rPr>
          <w:color w:val="000000"/>
        </w:rPr>
      </w:pPr>
    </w:p>
    <w:p w14:paraId="27FBC65F"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El PAN, en el contexto del proceso electoral 2021-2022 en el que se renueva a la gubernatura de Aguascalientes, presentaron una queja ante el Instituto Local en contra de Nora Ruvalcaba Gámez, en su calidad de candidata por Morena, y del propio instituto político porque, a su parecer, la primera cometió calumnia en su contra a partir de la realización de una publicación difundida en los perfiles de Facebook y Twitter de la candidata cuestionada, en el cual se realizaron una serie de expresiones que consistieron en la imputación de un delito previsto en la normativa penal de dicha entidad. </w:t>
      </w:r>
    </w:p>
    <w:p w14:paraId="00F5F7B1" w14:textId="77777777" w:rsidR="00187EF5" w:rsidRDefault="00187EF5">
      <w:pPr>
        <w:pBdr>
          <w:top w:val="nil"/>
          <w:left w:val="nil"/>
          <w:bottom w:val="nil"/>
          <w:right w:val="nil"/>
          <w:between w:val="nil"/>
        </w:pBdr>
        <w:rPr>
          <w:color w:val="000000"/>
        </w:rPr>
      </w:pPr>
    </w:p>
    <w:p w14:paraId="772BF838"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El mensaje cuestionado es el siguiente: </w:t>
      </w:r>
    </w:p>
    <w:p w14:paraId="6CDE8204" w14:textId="77777777" w:rsidR="00187EF5" w:rsidRDefault="00187EF5">
      <w:pPr>
        <w:pBdr>
          <w:top w:val="nil"/>
          <w:left w:val="nil"/>
          <w:bottom w:val="nil"/>
          <w:right w:val="nil"/>
          <w:between w:val="nil"/>
        </w:pBdr>
        <w:rPr>
          <w:color w:val="000000"/>
        </w:rPr>
      </w:pPr>
    </w:p>
    <w:p w14:paraId="2F2EBAA1" w14:textId="77777777" w:rsidR="00187EF5" w:rsidRPr="004A6C88" w:rsidRDefault="00745C3F">
      <w:pPr>
        <w:pBdr>
          <w:top w:val="nil"/>
          <w:left w:val="nil"/>
          <w:bottom w:val="nil"/>
          <w:right w:val="nil"/>
          <w:between w:val="nil"/>
        </w:pBdr>
        <w:ind w:left="1560" w:right="2175"/>
        <w:jc w:val="both"/>
        <w:rPr>
          <w:rFonts w:ascii="Arial" w:eastAsia="Arial" w:hAnsi="Arial" w:cs="Arial"/>
          <w:i/>
          <w:iCs/>
          <w:color w:val="000000"/>
        </w:rPr>
      </w:pPr>
      <w:r w:rsidRPr="004A6C88">
        <w:rPr>
          <w:rFonts w:ascii="Arial" w:eastAsia="Arial" w:hAnsi="Arial" w:cs="Arial"/>
          <w:i/>
          <w:iCs/>
          <w:sz w:val="18"/>
          <w:szCs w:val="18"/>
        </w:rPr>
        <w:t>“</w:t>
      </w:r>
      <w:r w:rsidRPr="004A6C88">
        <w:rPr>
          <w:rFonts w:ascii="Arial" w:eastAsia="Arial" w:hAnsi="Arial" w:cs="Arial"/>
          <w:i/>
          <w:iCs/>
          <w:color w:val="000000"/>
        </w:rPr>
        <w:t xml:space="preserve">Aguascalientes despierta y le pone un alto a la corrupción. </w:t>
      </w:r>
    </w:p>
    <w:p w14:paraId="2EBA90F9" w14:textId="77777777" w:rsidR="00187EF5" w:rsidRPr="004A6C88" w:rsidRDefault="00745C3F">
      <w:pPr>
        <w:pBdr>
          <w:top w:val="nil"/>
          <w:left w:val="nil"/>
          <w:bottom w:val="nil"/>
          <w:right w:val="nil"/>
          <w:between w:val="nil"/>
        </w:pBdr>
        <w:ind w:left="1560" w:right="2175"/>
        <w:jc w:val="both"/>
        <w:rPr>
          <w:rFonts w:ascii="Arial" w:eastAsia="Arial" w:hAnsi="Arial" w:cs="Arial"/>
          <w:i/>
          <w:iCs/>
          <w:color w:val="000000"/>
        </w:rPr>
      </w:pPr>
      <w:r w:rsidRPr="004A6C88">
        <w:rPr>
          <w:rFonts w:ascii="Arial" w:eastAsia="Arial" w:hAnsi="Arial" w:cs="Arial"/>
          <w:b/>
          <w:i/>
          <w:iCs/>
          <w:color w:val="000000"/>
        </w:rPr>
        <w:t>El PRIAN y Teresa moches nunca van a dejar de robar</w:t>
      </w:r>
      <w:r w:rsidRPr="004A6C88">
        <w:rPr>
          <w:rFonts w:ascii="Arial" w:eastAsia="Arial" w:hAnsi="Arial" w:cs="Arial"/>
          <w:i/>
          <w:iCs/>
          <w:color w:val="000000"/>
        </w:rPr>
        <w:t xml:space="preserve">, lo bueno es que ya se van de nuestro estado. </w:t>
      </w:r>
    </w:p>
    <w:p w14:paraId="46587C2B" w14:textId="1A381DB3" w:rsidR="00187EF5" w:rsidRPr="004A6C88" w:rsidRDefault="00745C3F">
      <w:pPr>
        <w:pBdr>
          <w:top w:val="nil"/>
          <w:left w:val="nil"/>
          <w:bottom w:val="nil"/>
          <w:right w:val="nil"/>
          <w:between w:val="nil"/>
        </w:pBdr>
        <w:ind w:left="1560" w:right="2175"/>
        <w:jc w:val="both"/>
        <w:rPr>
          <w:rFonts w:ascii="Arial" w:eastAsia="Arial" w:hAnsi="Arial" w:cs="Arial"/>
          <w:i/>
          <w:iCs/>
          <w:color w:val="000000"/>
        </w:rPr>
      </w:pPr>
      <w:r w:rsidRPr="004A6C88">
        <w:rPr>
          <w:rFonts w:ascii="Arial" w:eastAsia="Arial" w:hAnsi="Arial" w:cs="Arial"/>
          <w:i/>
          <w:iCs/>
          <w:color w:val="000000"/>
        </w:rPr>
        <w:t xml:space="preserve">¡Llegó la transformación! </w:t>
      </w:r>
    </w:p>
    <w:p w14:paraId="4BA0640C" w14:textId="77777777" w:rsidR="00187EF5" w:rsidRDefault="00745C3F">
      <w:pPr>
        <w:tabs>
          <w:tab w:val="left" w:pos="8789"/>
          <w:tab w:val="left" w:pos="8931"/>
        </w:tabs>
        <w:spacing w:line="360" w:lineRule="auto"/>
        <w:ind w:left="1560" w:right="2175"/>
        <w:jc w:val="both"/>
        <w:rPr>
          <w:rFonts w:ascii="Arial" w:eastAsia="Arial" w:hAnsi="Arial" w:cs="Arial"/>
          <w:color w:val="000000"/>
        </w:rPr>
      </w:pPr>
      <w:r w:rsidRPr="004A6C88">
        <w:rPr>
          <w:rFonts w:ascii="Arial" w:eastAsia="Arial" w:hAnsi="Arial" w:cs="Arial"/>
          <w:i/>
          <w:iCs/>
          <w:color w:val="000000"/>
        </w:rPr>
        <w:t>#NoraGobernadora</w:t>
      </w:r>
      <w:r w:rsidRPr="004A6C88">
        <w:rPr>
          <w:rFonts w:ascii="Arial" w:eastAsia="Arial" w:hAnsi="Arial" w:cs="Arial"/>
          <w:color w:val="000000"/>
        </w:rPr>
        <w:t>”</w:t>
      </w:r>
    </w:p>
    <w:p w14:paraId="632B05CF" w14:textId="77777777" w:rsidR="00187EF5" w:rsidRDefault="00187EF5">
      <w:pPr>
        <w:tabs>
          <w:tab w:val="left" w:pos="8789"/>
          <w:tab w:val="left" w:pos="8931"/>
        </w:tabs>
        <w:spacing w:line="360" w:lineRule="auto"/>
        <w:ind w:left="1560" w:right="2175"/>
        <w:jc w:val="both"/>
        <w:rPr>
          <w:sz w:val="16"/>
          <w:szCs w:val="16"/>
        </w:rPr>
      </w:pPr>
    </w:p>
    <w:p w14:paraId="048AD428" w14:textId="77777777" w:rsidR="00187EF5" w:rsidRDefault="00745C3F">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3. Valoración </w:t>
      </w:r>
    </w:p>
    <w:p w14:paraId="5CF9C2F8" w14:textId="77777777" w:rsidR="00187EF5" w:rsidRDefault="00187EF5">
      <w:pPr>
        <w:pBdr>
          <w:top w:val="nil"/>
          <w:left w:val="nil"/>
          <w:bottom w:val="nil"/>
          <w:right w:val="nil"/>
          <w:between w:val="nil"/>
        </w:pBdr>
        <w:rPr>
          <w:color w:val="000000"/>
        </w:rPr>
      </w:pPr>
    </w:p>
    <w:p w14:paraId="74B98606"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de un análisis gramatical e integral del contexto en el que se emitió la expresión cuestionada, es dable concluir que efectivamente se </w:t>
      </w:r>
      <w:r>
        <w:rPr>
          <w:rFonts w:ascii="Arial" w:eastAsia="Arial" w:hAnsi="Arial" w:cs="Arial"/>
          <w:b/>
          <w:sz w:val="24"/>
          <w:szCs w:val="24"/>
        </w:rPr>
        <w:t>acreditó la infracción de calumnia</w:t>
      </w:r>
      <w:r>
        <w:rPr>
          <w:rFonts w:ascii="Arial" w:eastAsia="Arial" w:hAnsi="Arial" w:cs="Arial"/>
          <w:sz w:val="24"/>
          <w:szCs w:val="24"/>
        </w:rPr>
        <w:t xml:space="preserve">, al considerar que tal manifestación rebasó los límites permitidos por el derecho a la libertad de expresión en el contexto de un proceso electoral, pues a través de esta, se les atribuyó de forma vinculante un delito de forma directa, entre otros sujetos, al PAN, en particular, el tipo penal de </w:t>
      </w:r>
      <w:r>
        <w:rPr>
          <w:rFonts w:ascii="Arial" w:eastAsia="Arial" w:hAnsi="Arial" w:cs="Arial"/>
          <w:b/>
          <w:sz w:val="24"/>
          <w:szCs w:val="24"/>
        </w:rPr>
        <w:t>robo</w:t>
      </w:r>
      <w:r>
        <w:rPr>
          <w:rFonts w:ascii="Arial" w:eastAsia="Arial" w:hAnsi="Arial" w:cs="Arial"/>
          <w:sz w:val="24"/>
          <w:szCs w:val="24"/>
        </w:rPr>
        <w:t xml:space="preserve">. </w:t>
      </w:r>
    </w:p>
    <w:p w14:paraId="0C577D88" w14:textId="77777777" w:rsidR="00187EF5" w:rsidRDefault="00187EF5">
      <w:pPr>
        <w:pBdr>
          <w:top w:val="nil"/>
          <w:left w:val="nil"/>
          <w:bottom w:val="nil"/>
          <w:right w:val="nil"/>
          <w:between w:val="nil"/>
        </w:pBdr>
        <w:rPr>
          <w:color w:val="000000"/>
        </w:rPr>
      </w:pPr>
    </w:p>
    <w:p w14:paraId="13778CDF"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Lo anterior, porque tanto de las constancias que existen en el expediente como de las pruebas ofrecidas por la parte denunciada, </w:t>
      </w:r>
      <w:r>
        <w:rPr>
          <w:rFonts w:ascii="Arial" w:eastAsia="Arial" w:hAnsi="Arial" w:cs="Arial"/>
          <w:b/>
          <w:sz w:val="24"/>
          <w:szCs w:val="24"/>
        </w:rPr>
        <w:t>no se advierte ninguna prueba idónea con la cual se pretenda sustentar tal imputación</w:t>
      </w:r>
      <w:r>
        <w:rPr>
          <w:rFonts w:ascii="Arial" w:eastAsia="Arial" w:hAnsi="Arial" w:cs="Arial"/>
          <w:sz w:val="24"/>
          <w:szCs w:val="24"/>
        </w:rPr>
        <w:t xml:space="preserve">. Ello se debió a que la parte denunciante omitió ofrecer alguna prueba -consistente en una resolución firme emitida por una autoridad judicial federal y/o local o algún documento que evidenciara la existencia de un proceso penal iniciado en contra del referido partido político-, que tuvieran como efecto condenarlo o vincularlo por haber cometido o participado en el delito de robo y, a su vez, responsabilizarlo por la comisión del delito en cuestión, a fin de que la candidata denunciada hubiese estado en posibilidad legal de emitir una expresión de tal naturaleza. </w:t>
      </w:r>
    </w:p>
    <w:p w14:paraId="6C63FEE8" w14:textId="77777777" w:rsidR="00187EF5" w:rsidRDefault="00187EF5">
      <w:pPr>
        <w:pBdr>
          <w:top w:val="nil"/>
          <w:left w:val="nil"/>
          <w:bottom w:val="nil"/>
          <w:right w:val="nil"/>
          <w:between w:val="nil"/>
        </w:pBdr>
        <w:rPr>
          <w:color w:val="000000"/>
        </w:rPr>
      </w:pPr>
    </w:p>
    <w:p w14:paraId="5336F773"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Contrario a esto, de las constancias que existen en el expediente se advierte que la parte denunciada dejó de ofrecer pruebas, -con independencia del carácter de estas- que demostraran la situación jurídica en la que se encontraba el instituto político denunciante (PAN), situación que evidenció que la imputación cuestionada -delito de robo- </w:t>
      </w:r>
      <w:r>
        <w:rPr>
          <w:rFonts w:ascii="Arial" w:eastAsia="Arial" w:hAnsi="Arial" w:cs="Arial"/>
          <w:b/>
          <w:sz w:val="24"/>
          <w:szCs w:val="24"/>
        </w:rPr>
        <w:t>tuvo como propósito generar un daño a la reputación</w:t>
      </w:r>
      <w:r>
        <w:rPr>
          <w:rFonts w:ascii="Arial" w:eastAsia="Arial" w:hAnsi="Arial" w:cs="Arial"/>
          <w:sz w:val="24"/>
          <w:szCs w:val="24"/>
        </w:rPr>
        <w:t xml:space="preserve"> de tal partido político, en relación con su imagen frente al electorado del estado de Aguascalientes. </w:t>
      </w:r>
    </w:p>
    <w:p w14:paraId="7EBFE9A4" w14:textId="77777777" w:rsidR="00187EF5" w:rsidRDefault="00187EF5">
      <w:pPr>
        <w:pBdr>
          <w:top w:val="nil"/>
          <w:left w:val="nil"/>
          <w:bottom w:val="nil"/>
          <w:right w:val="nil"/>
          <w:between w:val="nil"/>
        </w:pBdr>
        <w:rPr>
          <w:color w:val="000000"/>
        </w:rPr>
      </w:pPr>
    </w:p>
    <w:p w14:paraId="237323E1"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Lo argumentado es así, porque de acuerdo a la línea jurisprudencial emitida por la SCJN y reiterada por la Sala Superior, para analizar los hechos que posiblemente puedan constituir calumnia, es necesario estudiarlos a través de los elementos siguientes: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i/>
          <w:sz w:val="24"/>
          <w:szCs w:val="24"/>
        </w:rPr>
        <w:t>personal</w:t>
      </w:r>
      <w:r>
        <w:rPr>
          <w:rFonts w:ascii="Arial" w:eastAsia="Arial" w:hAnsi="Arial" w:cs="Arial"/>
          <w:b/>
          <w:sz w:val="24"/>
          <w:szCs w:val="24"/>
        </w:rPr>
        <w:t>:</w:t>
      </w:r>
      <w:r>
        <w:rPr>
          <w:rFonts w:ascii="Arial" w:eastAsia="Arial" w:hAnsi="Arial" w:cs="Arial"/>
          <w:sz w:val="24"/>
          <w:szCs w:val="24"/>
        </w:rPr>
        <w:t xml:space="preserve"> entendido como el sujeto que fue denunciado -sólo pueden ser sancionados por calumnia electoral los partidos políticos, coaliciones y </w:t>
      </w:r>
      <w:r>
        <w:rPr>
          <w:rFonts w:ascii="Arial" w:eastAsia="Arial" w:hAnsi="Arial" w:cs="Arial"/>
          <w:b/>
          <w:sz w:val="24"/>
          <w:szCs w:val="24"/>
          <w:u w:val="single"/>
        </w:rPr>
        <w:t>candidaturas</w:t>
      </w:r>
      <w:r>
        <w:rPr>
          <w:rFonts w:ascii="Arial" w:eastAsia="Arial" w:hAnsi="Arial" w:cs="Arial"/>
          <w:sz w:val="24"/>
          <w:szCs w:val="24"/>
        </w:rPr>
        <w:t xml:space="preserve">-, </w:t>
      </w:r>
      <w:r>
        <w:rPr>
          <w:rFonts w:ascii="Arial" w:eastAsia="Arial" w:hAnsi="Arial" w:cs="Arial"/>
          <w:b/>
          <w:i/>
          <w:sz w:val="24"/>
          <w:szCs w:val="24"/>
        </w:rPr>
        <w:t>b)</w:t>
      </w:r>
      <w:r>
        <w:rPr>
          <w:rFonts w:ascii="Arial" w:eastAsia="Arial" w:hAnsi="Arial" w:cs="Arial"/>
          <w:sz w:val="24"/>
          <w:szCs w:val="24"/>
        </w:rPr>
        <w:t xml:space="preserve"> </w:t>
      </w:r>
      <w:r>
        <w:rPr>
          <w:rFonts w:ascii="Arial" w:eastAsia="Arial" w:hAnsi="Arial" w:cs="Arial"/>
          <w:b/>
          <w:sz w:val="24"/>
          <w:szCs w:val="24"/>
        </w:rPr>
        <w:t xml:space="preserve">objetivo: </w:t>
      </w:r>
      <w:r>
        <w:rPr>
          <w:rFonts w:ascii="Arial" w:eastAsia="Arial" w:hAnsi="Arial" w:cs="Arial"/>
          <w:sz w:val="24"/>
          <w:szCs w:val="24"/>
        </w:rPr>
        <w:t xml:space="preserve">es decir, que exista la imputación de algún hecho o </w:t>
      </w:r>
      <w:r>
        <w:rPr>
          <w:rFonts w:ascii="Arial" w:eastAsia="Arial" w:hAnsi="Arial" w:cs="Arial"/>
          <w:b/>
          <w:sz w:val="24"/>
          <w:szCs w:val="24"/>
          <w:u w:val="single"/>
        </w:rPr>
        <w:t>delito</w:t>
      </w:r>
      <w:r>
        <w:rPr>
          <w:rFonts w:ascii="Arial" w:eastAsia="Arial" w:hAnsi="Arial" w:cs="Arial"/>
          <w:sz w:val="24"/>
          <w:szCs w:val="24"/>
        </w:rPr>
        <w:t xml:space="preserve"> falso y, </w:t>
      </w:r>
      <w:r>
        <w:rPr>
          <w:rFonts w:ascii="Arial" w:eastAsia="Arial" w:hAnsi="Arial" w:cs="Arial"/>
          <w:b/>
          <w:i/>
          <w:sz w:val="24"/>
          <w:szCs w:val="24"/>
        </w:rPr>
        <w:t xml:space="preserve">c) </w:t>
      </w:r>
      <w:r>
        <w:rPr>
          <w:rFonts w:ascii="Arial" w:eastAsia="Arial" w:hAnsi="Arial" w:cs="Arial"/>
          <w:b/>
          <w:sz w:val="24"/>
          <w:szCs w:val="24"/>
        </w:rPr>
        <w:t>subjetivo:</w:t>
      </w:r>
      <w:r>
        <w:rPr>
          <w:rFonts w:ascii="Arial" w:eastAsia="Arial" w:hAnsi="Arial" w:cs="Arial"/>
          <w:sz w:val="24"/>
          <w:szCs w:val="24"/>
        </w:rPr>
        <w:t xml:space="preserve"> </w:t>
      </w:r>
      <w:r>
        <w:rPr>
          <w:rFonts w:ascii="Arial" w:eastAsia="Arial" w:hAnsi="Arial" w:cs="Arial"/>
          <w:b/>
          <w:sz w:val="24"/>
          <w:szCs w:val="24"/>
          <w:u w:val="single"/>
        </w:rPr>
        <w:t>a sabiendas que el</w:t>
      </w:r>
      <w:r>
        <w:rPr>
          <w:rFonts w:ascii="Arial" w:eastAsia="Arial" w:hAnsi="Arial" w:cs="Arial"/>
          <w:sz w:val="24"/>
          <w:szCs w:val="24"/>
        </w:rPr>
        <w:t xml:space="preserve"> hecho o </w:t>
      </w:r>
      <w:r>
        <w:rPr>
          <w:rFonts w:ascii="Arial" w:eastAsia="Arial" w:hAnsi="Arial" w:cs="Arial"/>
          <w:b/>
          <w:sz w:val="24"/>
          <w:szCs w:val="24"/>
          <w:u w:val="single"/>
        </w:rPr>
        <w:t>delito que se imputa es falso</w:t>
      </w:r>
      <w:r>
        <w:rPr>
          <w:rFonts w:ascii="Arial" w:eastAsia="Arial" w:hAnsi="Arial" w:cs="Arial"/>
          <w:sz w:val="24"/>
          <w:szCs w:val="24"/>
        </w:rPr>
        <w:t xml:space="preserve">. </w:t>
      </w:r>
    </w:p>
    <w:p w14:paraId="1334266A" w14:textId="77777777" w:rsidR="00187EF5" w:rsidRDefault="00187EF5">
      <w:pPr>
        <w:pBdr>
          <w:top w:val="nil"/>
          <w:left w:val="nil"/>
          <w:bottom w:val="nil"/>
          <w:right w:val="nil"/>
          <w:between w:val="nil"/>
        </w:pBdr>
        <w:rPr>
          <w:color w:val="000000"/>
        </w:rPr>
      </w:pPr>
    </w:p>
    <w:p w14:paraId="52B26269"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Ante ello, en primer lugar, </w:t>
      </w:r>
      <w:r>
        <w:rPr>
          <w:rFonts w:ascii="Arial" w:eastAsia="Arial" w:hAnsi="Arial" w:cs="Arial"/>
          <w:b/>
          <w:i/>
          <w:sz w:val="24"/>
          <w:szCs w:val="24"/>
        </w:rPr>
        <w:t>a)</w:t>
      </w:r>
      <w:r>
        <w:rPr>
          <w:rFonts w:ascii="Arial" w:eastAsia="Arial" w:hAnsi="Arial" w:cs="Arial"/>
          <w:sz w:val="24"/>
          <w:szCs w:val="24"/>
        </w:rPr>
        <w:t xml:space="preserve"> </w:t>
      </w:r>
      <w:r>
        <w:rPr>
          <w:rFonts w:ascii="Arial" w:eastAsia="Arial" w:hAnsi="Arial" w:cs="Arial"/>
          <w:b/>
          <w:sz w:val="24"/>
          <w:szCs w:val="24"/>
        </w:rPr>
        <w:t>el elemento personal se acredita</w:t>
      </w:r>
      <w:r>
        <w:rPr>
          <w:rFonts w:ascii="Arial" w:eastAsia="Arial" w:hAnsi="Arial" w:cs="Arial"/>
          <w:sz w:val="24"/>
          <w:szCs w:val="24"/>
        </w:rPr>
        <w:t xml:space="preserve">, ya que es un hecho no controvertido que a quien se le atribuye la imputación de calumnia es a la candidata Nora Ruvalcaba Gámez, quien es postulada por Morena para el proceso electoral (2021-2022) en el que se renovará la gubernatura de Aguascalientes.  </w:t>
      </w:r>
    </w:p>
    <w:p w14:paraId="20762EF0" w14:textId="77777777" w:rsidR="00187EF5" w:rsidRDefault="00187EF5"/>
    <w:p w14:paraId="70F36A07"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En segundo término, </w:t>
      </w:r>
      <w:r>
        <w:rPr>
          <w:rFonts w:ascii="Arial" w:eastAsia="Arial" w:hAnsi="Arial" w:cs="Arial"/>
          <w:b/>
          <w:i/>
          <w:sz w:val="24"/>
          <w:szCs w:val="24"/>
        </w:rPr>
        <w:t xml:space="preserve">b) </w:t>
      </w:r>
      <w:r>
        <w:rPr>
          <w:rFonts w:ascii="Arial" w:eastAsia="Arial" w:hAnsi="Arial" w:cs="Arial"/>
          <w:b/>
          <w:sz w:val="24"/>
          <w:szCs w:val="24"/>
        </w:rPr>
        <w:t>el elemento objetivo también se colma</w:t>
      </w:r>
      <w:r>
        <w:rPr>
          <w:rFonts w:ascii="Arial" w:eastAsia="Arial" w:hAnsi="Arial" w:cs="Arial"/>
          <w:sz w:val="24"/>
          <w:szCs w:val="24"/>
        </w:rPr>
        <w:t>, porque del contenido expreso del video se advierte la expresión siguiente: “</w:t>
      </w:r>
      <w:r>
        <w:rPr>
          <w:rFonts w:ascii="Arial" w:eastAsia="Arial" w:hAnsi="Arial" w:cs="Arial"/>
          <w:i/>
          <w:sz w:val="22"/>
          <w:szCs w:val="22"/>
        </w:rPr>
        <w:t xml:space="preserve">El </w:t>
      </w:r>
      <w:r>
        <w:rPr>
          <w:rFonts w:ascii="Arial" w:eastAsia="Arial" w:hAnsi="Arial" w:cs="Arial"/>
          <w:b/>
          <w:i/>
          <w:sz w:val="22"/>
          <w:szCs w:val="22"/>
        </w:rPr>
        <w:t xml:space="preserve">PRIAN </w:t>
      </w:r>
      <w:r>
        <w:rPr>
          <w:rFonts w:ascii="Arial" w:eastAsia="Arial" w:hAnsi="Arial" w:cs="Arial"/>
          <w:i/>
          <w:sz w:val="22"/>
          <w:szCs w:val="22"/>
        </w:rPr>
        <w:t xml:space="preserve">y Teresa moches </w:t>
      </w:r>
      <w:r>
        <w:rPr>
          <w:rFonts w:ascii="Arial" w:eastAsia="Arial" w:hAnsi="Arial" w:cs="Arial"/>
          <w:b/>
          <w:i/>
          <w:sz w:val="22"/>
          <w:szCs w:val="22"/>
          <w:u w:val="single"/>
        </w:rPr>
        <w:t>nunca van a dejar de robar</w:t>
      </w:r>
      <w:r>
        <w:rPr>
          <w:rFonts w:ascii="Arial" w:eastAsia="Arial" w:hAnsi="Arial" w:cs="Arial"/>
          <w:i/>
          <w:sz w:val="22"/>
          <w:szCs w:val="22"/>
        </w:rPr>
        <w:t>, lo bueno que ya se van de nuestro estado.”</w:t>
      </w:r>
    </w:p>
    <w:p w14:paraId="45377B44" w14:textId="77777777" w:rsidR="00187EF5" w:rsidRDefault="00187EF5">
      <w:pPr>
        <w:spacing w:line="360" w:lineRule="auto"/>
        <w:jc w:val="both"/>
        <w:rPr>
          <w:rFonts w:ascii="Arial" w:eastAsia="Arial" w:hAnsi="Arial" w:cs="Arial"/>
          <w:sz w:val="24"/>
          <w:szCs w:val="24"/>
        </w:rPr>
      </w:pPr>
    </w:p>
    <w:p w14:paraId="7C80A8C1"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Al respecto, es conveniente precisar que de un análisis contextual de la expresión analizada, es un hecho notorio que el “</w:t>
      </w:r>
      <w:r>
        <w:rPr>
          <w:rFonts w:ascii="Arial" w:eastAsia="Arial" w:hAnsi="Arial" w:cs="Arial"/>
          <w:i/>
          <w:sz w:val="24"/>
          <w:szCs w:val="24"/>
        </w:rPr>
        <w:t>PRIAN</w:t>
      </w:r>
      <w:r>
        <w:rPr>
          <w:rFonts w:ascii="Arial" w:eastAsia="Arial" w:hAnsi="Arial" w:cs="Arial"/>
          <w:sz w:val="24"/>
          <w:szCs w:val="24"/>
        </w:rPr>
        <w:t xml:space="preserve">” es un término empleado para referirse a la coalición que en el proceso electoral en curso conforman, entre otro, el PAN y PRI, situación que demuestra que no existe duda en cuanto a identificar que la imputación del delito “robo”, se </w:t>
      </w:r>
      <w:r>
        <w:rPr>
          <w:rFonts w:ascii="Arial" w:eastAsia="Arial" w:hAnsi="Arial" w:cs="Arial"/>
          <w:sz w:val="24"/>
          <w:szCs w:val="24"/>
        </w:rPr>
        <w:lastRenderedPageBreak/>
        <w:t xml:space="preserve">realizó de forma directa en contra del PAN, quien comparece en su carácter de denunciante en el presente procedimiento especial sancionador. </w:t>
      </w:r>
    </w:p>
    <w:p w14:paraId="6ED6F822" w14:textId="77777777" w:rsidR="00187EF5" w:rsidRDefault="00187EF5">
      <w:pPr>
        <w:spacing w:line="360" w:lineRule="auto"/>
        <w:jc w:val="both"/>
        <w:rPr>
          <w:rFonts w:ascii="Arial" w:eastAsia="Arial" w:hAnsi="Arial" w:cs="Arial"/>
          <w:sz w:val="24"/>
          <w:szCs w:val="24"/>
        </w:rPr>
      </w:pPr>
    </w:p>
    <w:p w14:paraId="47FA32A7"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Además, de tomar en cuenta que el nombre de tal instituto se vuelve a utilizar en el curso del mensaje analizado, al referir lo siguiente: “</w:t>
      </w:r>
      <w:r>
        <w:rPr>
          <w:rFonts w:ascii="Arial" w:eastAsia="Arial" w:hAnsi="Arial" w:cs="Arial"/>
          <w:i/>
          <w:sz w:val="24"/>
          <w:szCs w:val="24"/>
        </w:rPr>
        <w:t>el panadero con el PAN</w:t>
      </w:r>
      <w:r>
        <w:rPr>
          <w:rFonts w:ascii="Arial" w:eastAsia="Arial" w:hAnsi="Arial" w:cs="Arial"/>
          <w:sz w:val="24"/>
          <w:szCs w:val="24"/>
        </w:rPr>
        <w:t xml:space="preserve">”. Por lo cual, en el presente caso, no se advierten elementos mayores que permitan asumir que la imputación tuvo un sentido distinto al brindado por este órgano jurisdiccional en la presente resolución, tomando en cuenta, a su vez, que la parte denunciada no controvierte el sentido y alcance de su expresión, sino que sus planteamientos están encaminados a demostrar que se trató de una expresión permitida en el debate político. </w:t>
      </w:r>
    </w:p>
    <w:p w14:paraId="647605B6" w14:textId="77777777" w:rsidR="00187EF5" w:rsidRDefault="00187EF5">
      <w:pPr>
        <w:spacing w:line="360" w:lineRule="auto"/>
        <w:jc w:val="both"/>
        <w:rPr>
          <w:rFonts w:ascii="Arial" w:eastAsia="Arial" w:hAnsi="Arial" w:cs="Arial"/>
          <w:sz w:val="24"/>
          <w:szCs w:val="24"/>
        </w:rPr>
      </w:pPr>
    </w:p>
    <w:p w14:paraId="1EC5F72D" w14:textId="2DCDB2B5"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De ahí que, es posible asumir que del contenido del mensaje </w:t>
      </w:r>
      <w:r>
        <w:rPr>
          <w:rFonts w:ascii="Arial" w:eastAsia="Arial" w:hAnsi="Arial" w:cs="Arial"/>
          <w:b/>
          <w:sz w:val="24"/>
          <w:szCs w:val="24"/>
        </w:rPr>
        <w:t>se identifica plenamente la atribución directa de un delito al PAN,</w:t>
      </w:r>
      <w:r>
        <w:rPr>
          <w:rFonts w:ascii="Arial" w:eastAsia="Arial" w:hAnsi="Arial" w:cs="Arial"/>
          <w:sz w:val="24"/>
          <w:szCs w:val="24"/>
        </w:rPr>
        <w:t xml:space="preserve"> específicamente, el </w:t>
      </w:r>
      <w:r>
        <w:rPr>
          <w:rFonts w:ascii="Arial" w:eastAsia="Arial" w:hAnsi="Arial" w:cs="Arial"/>
          <w:b/>
          <w:sz w:val="24"/>
          <w:szCs w:val="24"/>
        </w:rPr>
        <w:t>delito de robo</w:t>
      </w:r>
      <w:r>
        <w:rPr>
          <w:rFonts w:ascii="Arial" w:eastAsia="Arial" w:hAnsi="Arial" w:cs="Arial"/>
          <w:sz w:val="24"/>
          <w:szCs w:val="24"/>
        </w:rPr>
        <w:t>. Esta situación demuestra que, en el caso, se está en presencia de la imputación de un tipo penal previsto por el artículo 140, del Código Penal para el Estado de Aguascalientes.</w:t>
      </w:r>
      <w:r>
        <w:rPr>
          <w:rFonts w:ascii="Arial" w:eastAsia="Arial" w:hAnsi="Arial" w:cs="Arial"/>
          <w:sz w:val="24"/>
          <w:szCs w:val="24"/>
          <w:vertAlign w:val="superscript"/>
        </w:rPr>
        <w:footnoteReference w:id="13"/>
      </w:r>
      <w:r>
        <w:rPr>
          <w:rFonts w:ascii="Arial" w:eastAsia="Arial" w:hAnsi="Arial" w:cs="Arial"/>
          <w:sz w:val="24"/>
          <w:szCs w:val="24"/>
        </w:rPr>
        <w:t xml:space="preserve"> </w:t>
      </w:r>
      <w:r w:rsidR="00B34E79">
        <w:rPr>
          <w:rFonts w:ascii="Arial" w:eastAsia="Arial" w:hAnsi="Arial" w:cs="Arial"/>
          <w:sz w:val="24"/>
          <w:szCs w:val="24"/>
        </w:rPr>
        <w:t>Dicho,</w:t>
      </w:r>
      <w:r>
        <w:rPr>
          <w:rFonts w:ascii="Arial" w:eastAsia="Arial" w:hAnsi="Arial" w:cs="Arial"/>
          <w:sz w:val="24"/>
          <w:szCs w:val="24"/>
        </w:rPr>
        <w:t xml:space="preserve"> en otros términos, se advierte que existe una imputación directa entre los hechos delictivos cuestionados en relación con el instituto político involucrado. </w:t>
      </w:r>
    </w:p>
    <w:p w14:paraId="2BA84DF1" w14:textId="77777777" w:rsidR="00187EF5" w:rsidRDefault="00187EF5">
      <w:pPr>
        <w:spacing w:line="360" w:lineRule="auto"/>
        <w:jc w:val="both"/>
        <w:rPr>
          <w:rFonts w:ascii="Arial" w:eastAsia="Arial" w:hAnsi="Arial" w:cs="Arial"/>
          <w:sz w:val="24"/>
          <w:szCs w:val="24"/>
        </w:rPr>
      </w:pPr>
    </w:p>
    <w:p w14:paraId="72C2F329" w14:textId="23245DED" w:rsidR="00187EF5" w:rsidRDefault="00745C3F">
      <w:pPr>
        <w:spacing w:line="360" w:lineRule="auto"/>
        <w:jc w:val="both"/>
        <w:rPr>
          <w:rFonts w:ascii="Arial" w:eastAsia="Arial" w:hAnsi="Arial" w:cs="Arial"/>
          <w:sz w:val="24"/>
          <w:szCs w:val="24"/>
        </w:rPr>
      </w:pPr>
      <w:r>
        <w:rPr>
          <w:rFonts w:ascii="Arial" w:eastAsia="Arial" w:hAnsi="Arial" w:cs="Arial"/>
          <w:sz w:val="24"/>
          <w:szCs w:val="24"/>
        </w:rPr>
        <w:t>Asimismo, debe tomarse en cuenta que de acuerdo al contexto y a la finalidad con la cual fue utilizado el verbo: “</w:t>
      </w:r>
      <w:r>
        <w:rPr>
          <w:rFonts w:ascii="Arial" w:eastAsia="Arial" w:hAnsi="Arial" w:cs="Arial"/>
          <w:b/>
          <w:i/>
          <w:sz w:val="24"/>
          <w:szCs w:val="24"/>
        </w:rPr>
        <w:t xml:space="preserve">nunca van a dejar de </w:t>
      </w:r>
      <w:r>
        <w:rPr>
          <w:rFonts w:ascii="Arial" w:eastAsia="Arial" w:hAnsi="Arial" w:cs="Arial"/>
          <w:b/>
          <w:i/>
          <w:sz w:val="24"/>
          <w:szCs w:val="24"/>
          <w:u w:val="single"/>
        </w:rPr>
        <w:t>robar</w:t>
      </w:r>
      <w:r>
        <w:rPr>
          <w:rFonts w:ascii="Arial" w:eastAsia="Arial" w:hAnsi="Arial" w:cs="Arial"/>
          <w:sz w:val="24"/>
          <w:szCs w:val="24"/>
        </w:rPr>
        <w:t xml:space="preserve">”, implica que de forma absoluta está asumiendo que, el PAN en conjunto con otros sujetos, </w:t>
      </w:r>
      <w:r>
        <w:rPr>
          <w:rFonts w:ascii="Arial" w:eastAsia="Arial" w:hAnsi="Arial" w:cs="Arial"/>
          <w:b/>
          <w:sz w:val="24"/>
          <w:szCs w:val="24"/>
        </w:rPr>
        <w:t>han robado, actualmente roban y lo seguirán haciendo a futuro</w:t>
      </w:r>
      <w:r>
        <w:rPr>
          <w:rFonts w:ascii="Arial" w:eastAsia="Arial" w:hAnsi="Arial" w:cs="Arial"/>
          <w:sz w:val="24"/>
          <w:szCs w:val="24"/>
        </w:rPr>
        <w:t xml:space="preserve">, por lo que, no queda en duda que la imputación del delito en cuestión es clara en cuanto al alcance que tuvo, a partir de valorar la forma en que fue empleado por la candidata denunciada.  </w:t>
      </w:r>
    </w:p>
    <w:p w14:paraId="45341075" w14:textId="79683DA7" w:rsidR="00094E3C" w:rsidRDefault="00094E3C">
      <w:pPr>
        <w:spacing w:line="360" w:lineRule="auto"/>
        <w:jc w:val="both"/>
        <w:rPr>
          <w:rFonts w:ascii="Arial" w:eastAsia="Arial" w:hAnsi="Arial" w:cs="Arial"/>
          <w:sz w:val="24"/>
          <w:szCs w:val="24"/>
        </w:rPr>
      </w:pPr>
    </w:p>
    <w:p w14:paraId="2F12381D" w14:textId="4D5684BE" w:rsidR="00094E3C" w:rsidRDefault="00094E3C">
      <w:pPr>
        <w:spacing w:line="360" w:lineRule="auto"/>
        <w:jc w:val="both"/>
        <w:rPr>
          <w:rFonts w:ascii="Arial" w:eastAsia="Arial" w:hAnsi="Arial" w:cs="Arial"/>
          <w:sz w:val="24"/>
          <w:szCs w:val="24"/>
        </w:rPr>
      </w:pPr>
      <w:r w:rsidRPr="00B34E79">
        <w:rPr>
          <w:rFonts w:ascii="Arial" w:eastAsia="Arial" w:hAnsi="Arial" w:cs="Arial"/>
          <w:sz w:val="24"/>
          <w:szCs w:val="24"/>
        </w:rPr>
        <w:t>Asimismo, es conveniente precisar que en cuanto a la expresión</w:t>
      </w:r>
      <w:r w:rsidRPr="00B34E79">
        <w:rPr>
          <w:rFonts w:ascii="Arial" w:eastAsia="Arial" w:hAnsi="Arial" w:cs="Arial"/>
          <w:i/>
          <w:iCs/>
          <w:color w:val="000000"/>
        </w:rPr>
        <w:t xml:space="preserve"> “Aguascalientes despierta y le pone un alto a la corrupción</w:t>
      </w:r>
      <w:r w:rsidRPr="00B34E79">
        <w:rPr>
          <w:rFonts w:ascii="Arial" w:eastAsia="Arial" w:hAnsi="Arial" w:cs="Arial"/>
          <w:sz w:val="24"/>
          <w:szCs w:val="24"/>
        </w:rPr>
        <w:t>”, con</w:t>
      </w:r>
      <w:r w:rsidRPr="00094E3C">
        <w:rPr>
          <w:rFonts w:ascii="Arial" w:eastAsia="Arial" w:hAnsi="Arial" w:cs="Arial"/>
          <w:sz w:val="24"/>
          <w:szCs w:val="24"/>
        </w:rPr>
        <w:t xml:space="preserve"> independencia de que se encuentre dentro de un mensaje que contiene la imputación de un delito</w:t>
      </w:r>
      <w:r>
        <w:rPr>
          <w:rFonts w:ascii="Arial" w:eastAsia="Arial" w:hAnsi="Arial" w:cs="Arial"/>
          <w:sz w:val="24"/>
          <w:szCs w:val="24"/>
        </w:rPr>
        <w:t xml:space="preserve"> -robo-</w:t>
      </w:r>
      <w:r w:rsidRPr="00094E3C">
        <w:rPr>
          <w:rFonts w:ascii="Arial" w:eastAsia="Arial" w:hAnsi="Arial" w:cs="Arial"/>
          <w:sz w:val="24"/>
          <w:szCs w:val="24"/>
        </w:rPr>
        <w:t xml:space="preserve">, ello no implica que el hecho de que se usara tal término </w:t>
      </w:r>
      <w:r>
        <w:rPr>
          <w:rFonts w:ascii="Arial" w:eastAsia="Arial" w:hAnsi="Arial" w:cs="Arial"/>
          <w:sz w:val="24"/>
          <w:szCs w:val="24"/>
        </w:rPr>
        <w:t xml:space="preserve">-corrupción- </w:t>
      </w:r>
      <w:r w:rsidRPr="00094E3C">
        <w:rPr>
          <w:rFonts w:ascii="Arial" w:eastAsia="Arial" w:hAnsi="Arial" w:cs="Arial"/>
          <w:sz w:val="24"/>
          <w:szCs w:val="24"/>
        </w:rPr>
        <w:t xml:space="preserve">configure calumnia, pues ha sido criterio de </w:t>
      </w:r>
      <w:r>
        <w:rPr>
          <w:rFonts w:ascii="Arial" w:eastAsia="Arial" w:hAnsi="Arial" w:cs="Arial"/>
          <w:sz w:val="24"/>
          <w:szCs w:val="24"/>
        </w:rPr>
        <w:t>Sala Superior</w:t>
      </w:r>
      <w:r w:rsidRPr="00094E3C">
        <w:rPr>
          <w:rFonts w:ascii="Arial" w:eastAsia="Arial" w:hAnsi="Arial" w:cs="Arial"/>
          <w:sz w:val="24"/>
          <w:szCs w:val="24"/>
        </w:rPr>
        <w:t xml:space="preserve"> que, a pesar de tal situación, </w:t>
      </w:r>
      <w:r>
        <w:rPr>
          <w:rFonts w:ascii="Arial" w:eastAsia="Arial" w:hAnsi="Arial" w:cs="Arial"/>
          <w:sz w:val="24"/>
          <w:szCs w:val="24"/>
        </w:rPr>
        <w:t>tal término</w:t>
      </w:r>
      <w:r w:rsidRPr="00094E3C">
        <w:rPr>
          <w:rFonts w:ascii="Arial" w:eastAsia="Arial" w:hAnsi="Arial" w:cs="Arial"/>
          <w:sz w:val="24"/>
          <w:szCs w:val="24"/>
        </w:rPr>
        <w:t xml:space="preserve"> está permitido dentro del debate político.</w:t>
      </w:r>
      <w:r>
        <w:rPr>
          <w:rStyle w:val="Refdenotaalpie"/>
          <w:rFonts w:ascii="Arial" w:eastAsia="Arial" w:hAnsi="Arial" w:cs="Arial"/>
          <w:sz w:val="24"/>
          <w:szCs w:val="24"/>
        </w:rPr>
        <w:footnoteReference w:id="14"/>
      </w:r>
    </w:p>
    <w:p w14:paraId="3BF75937" w14:textId="77777777" w:rsidR="00187EF5" w:rsidRDefault="00187EF5">
      <w:pPr>
        <w:pBdr>
          <w:top w:val="nil"/>
          <w:left w:val="nil"/>
          <w:bottom w:val="nil"/>
          <w:right w:val="nil"/>
          <w:between w:val="nil"/>
        </w:pBdr>
        <w:rPr>
          <w:color w:val="000000"/>
        </w:rPr>
      </w:pPr>
    </w:p>
    <w:p w14:paraId="1B266D6C"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lastRenderedPageBreak/>
        <w:t xml:space="preserve">Finalmente, en lo que respecta al </w:t>
      </w:r>
      <w:r>
        <w:rPr>
          <w:rFonts w:ascii="Arial" w:eastAsia="Arial" w:hAnsi="Arial" w:cs="Arial"/>
          <w:b/>
          <w:i/>
          <w:sz w:val="24"/>
          <w:szCs w:val="24"/>
        </w:rPr>
        <w:t xml:space="preserve">c) </w:t>
      </w:r>
      <w:r>
        <w:rPr>
          <w:rFonts w:ascii="Arial" w:eastAsia="Arial" w:hAnsi="Arial" w:cs="Arial"/>
          <w:b/>
          <w:sz w:val="24"/>
          <w:szCs w:val="24"/>
        </w:rPr>
        <w:t>elemento subjetivo</w:t>
      </w:r>
      <w:r>
        <w:rPr>
          <w:rFonts w:ascii="Arial" w:eastAsia="Arial" w:hAnsi="Arial" w:cs="Arial"/>
          <w:sz w:val="24"/>
          <w:szCs w:val="24"/>
        </w:rPr>
        <w:t xml:space="preserve">, igualmente </w:t>
      </w:r>
      <w:r>
        <w:rPr>
          <w:rFonts w:ascii="Arial" w:eastAsia="Arial" w:hAnsi="Arial" w:cs="Arial"/>
          <w:b/>
          <w:sz w:val="24"/>
          <w:szCs w:val="24"/>
        </w:rPr>
        <w:t>se acredita</w:t>
      </w:r>
      <w:r>
        <w:rPr>
          <w:rFonts w:ascii="Arial" w:eastAsia="Arial" w:hAnsi="Arial" w:cs="Arial"/>
          <w:sz w:val="24"/>
          <w:szCs w:val="24"/>
        </w:rPr>
        <w:t xml:space="preserve">, porque </w:t>
      </w:r>
      <w:r>
        <w:rPr>
          <w:rFonts w:ascii="Arial" w:eastAsia="Arial" w:hAnsi="Arial" w:cs="Arial"/>
          <w:b/>
          <w:sz w:val="24"/>
          <w:szCs w:val="24"/>
        </w:rPr>
        <w:t>la parte denunciada omitió -por completo- ofrecer alguna prueba en la que sustentara la expresión realizada</w:t>
      </w:r>
      <w:r>
        <w:rPr>
          <w:rFonts w:ascii="Arial" w:eastAsia="Arial" w:hAnsi="Arial" w:cs="Arial"/>
          <w:sz w:val="24"/>
          <w:szCs w:val="24"/>
        </w:rPr>
        <w:t xml:space="preserve">, es decir, que cuando fue emplazada por la autoridad administrativa y, en su momento, compareció a la audiencia para desahogar las pruebas y emitir alegatos, únicamente ofreció como medios de prueba la instrumental de actuaciones y la presuncional en su doble aspecto, legal y humana, lo cual, implica la ausencia total de material probatorio que, en su caso, hubiese motivado la emisión de la expresión denunciada. </w:t>
      </w:r>
    </w:p>
    <w:p w14:paraId="2C4084EE" w14:textId="77777777" w:rsidR="00187EF5" w:rsidRDefault="00187EF5">
      <w:pPr>
        <w:pBdr>
          <w:top w:val="nil"/>
          <w:left w:val="nil"/>
          <w:bottom w:val="nil"/>
          <w:right w:val="nil"/>
          <w:between w:val="nil"/>
        </w:pBdr>
        <w:rPr>
          <w:color w:val="000000"/>
        </w:rPr>
      </w:pPr>
    </w:p>
    <w:p w14:paraId="423856E2"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En consecuencia, a criterio de esta autoridad jurisdiccional, se considera que el hecho de que la candidata denunciada calumniara un delito en perjuicio del PAN, sin contar con sustento fáctico alguno, implicó que se evidenciara una </w:t>
      </w:r>
      <w:r>
        <w:rPr>
          <w:rFonts w:ascii="Arial" w:eastAsia="Arial" w:hAnsi="Arial" w:cs="Arial"/>
          <w:b/>
          <w:sz w:val="24"/>
          <w:szCs w:val="24"/>
        </w:rPr>
        <w:t>intención maliciosa de afectarlos sin razón</w:t>
      </w:r>
      <w:r>
        <w:rPr>
          <w:rFonts w:ascii="Arial" w:eastAsia="Arial" w:hAnsi="Arial" w:cs="Arial"/>
          <w:sz w:val="24"/>
          <w:szCs w:val="24"/>
        </w:rPr>
        <w:t>, es decir, que se realizó con la única intención de dañar la imagen de dicho instituto,</w:t>
      </w:r>
      <w:r>
        <w:rPr>
          <w:rFonts w:ascii="Arial" w:eastAsia="Arial" w:hAnsi="Arial" w:cs="Arial"/>
          <w:b/>
          <w:sz w:val="24"/>
          <w:szCs w:val="24"/>
        </w:rPr>
        <w:t xml:space="preserve"> a sabiendas de que ello era falso</w:t>
      </w:r>
      <w:r>
        <w:rPr>
          <w:rFonts w:ascii="Arial" w:eastAsia="Arial" w:hAnsi="Arial" w:cs="Arial"/>
          <w:sz w:val="24"/>
          <w:szCs w:val="24"/>
        </w:rPr>
        <w:t xml:space="preserve">.  </w:t>
      </w:r>
    </w:p>
    <w:p w14:paraId="0669ED54" w14:textId="77777777" w:rsidR="00187EF5" w:rsidRDefault="00187EF5">
      <w:pPr>
        <w:pBdr>
          <w:top w:val="nil"/>
          <w:left w:val="nil"/>
          <w:bottom w:val="nil"/>
          <w:right w:val="nil"/>
          <w:between w:val="nil"/>
        </w:pBdr>
        <w:rPr>
          <w:color w:val="000000"/>
        </w:rPr>
      </w:pPr>
    </w:p>
    <w:p w14:paraId="28C25F19"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La postura asumida por este Tribunal Electoral no resulta contraria a las permisiones que existen entorno a las críticas en contra de las figura públicas en el debate político, pues si bien se tiene en cuenta que se trata del derecho a la libertad de expresión, que reviste una especial protección, también es que </w:t>
      </w:r>
      <w:r>
        <w:rPr>
          <w:rFonts w:ascii="Arial" w:eastAsia="Arial" w:hAnsi="Arial" w:cs="Arial"/>
          <w:b/>
          <w:sz w:val="24"/>
          <w:szCs w:val="24"/>
        </w:rPr>
        <w:t>tal libertad no es absoluta ni ilimitada</w:t>
      </w:r>
      <w:r>
        <w:rPr>
          <w:rFonts w:ascii="Arial" w:eastAsia="Arial" w:hAnsi="Arial" w:cs="Arial"/>
          <w:sz w:val="24"/>
          <w:szCs w:val="24"/>
        </w:rPr>
        <w:t xml:space="preserve">, ya que la imagen y reputación de los institutos políticos en el contexto de un proceso electoral es de suma relevancia para incidir en la perspectiva de las y los electores. </w:t>
      </w:r>
    </w:p>
    <w:p w14:paraId="43C702AC" w14:textId="77777777" w:rsidR="00187EF5" w:rsidRDefault="00187EF5">
      <w:pPr>
        <w:pBdr>
          <w:top w:val="nil"/>
          <w:left w:val="nil"/>
          <w:bottom w:val="nil"/>
          <w:right w:val="nil"/>
          <w:between w:val="nil"/>
        </w:pBdr>
        <w:rPr>
          <w:color w:val="000000"/>
        </w:rPr>
      </w:pPr>
    </w:p>
    <w:p w14:paraId="44BE49FD"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Por lo cual, es necesario considerar que, ante un análisis de ponderación entre el derecho a la libertad de expresión en el debate político y el derecho a la buena imagen y reputación de los institutos políticos frente a la ciudadanía, </w:t>
      </w:r>
      <w:r>
        <w:rPr>
          <w:rFonts w:ascii="Arial" w:eastAsia="Arial" w:hAnsi="Arial" w:cs="Arial"/>
          <w:b/>
          <w:sz w:val="24"/>
          <w:szCs w:val="24"/>
        </w:rPr>
        <w:t>debe resolverse en favor del bien constitucionalmente protegido</w:t>
      </w:r>
      <w:r>
        <w:rPr>
          <w:rFonts w:ascii="Arial" w:eastAsia="Arial" w:hAnsi="Arial" w:cs="Arial"/>
          <w:sz w:val="24"/>
          <w:szCs w:val="24"/>
        </w:rPr>
        <w:t xml:space="preserve"> por el texto constitucional, que prohíbe la difusión de propaganda política o electoral de carácter calumnioso.</w:t>
      </w:r>
      <w:r>
        <w:rPr>
          <w:rFonts w:ascii="Arial" w:eastAsia="Arial" w:hAnsi="Arial" w:cs="Arial"/>
          <w:sz w:val="24"/>
          <w:szCs w:val="24"/>
          <w:vertAlign w:val="superscript"/>
        </w:rPr>
        <w:footnoteReference w:id="15"/>
      </w:r>
      <w:r>
        <w:rPr>
          <w:rFonts w:ascii="Arial" w:eastAsia="Arial" w:hAnsi="Arial" w:cs="Arial"/>
          <w:sz w:val="24"/>
          <w:szCs w:val="24"/>
        </w:rPr>
        <w:t xml:space="preserve"> </w:t>
      </w:r>
    </w:p>
    <w:p w14:paraId="53295004" w14:textId="77777777" w:rsidR="00187EF5" w:rsidRDefault="00187EF5">
      <w:pPr>
        <w:pBdr>
          <w:top w:val="nil"/>
          <w:left w:val="nil"/>
          <w:bottom w:val="nil"/>
          <w:right w:val="nil"/>
          <w:between w:val="nil"/>
        </w:pBdr>
        <w:rPr>
          <w:color w:val="000000"/>
        </w:rPr>
      </w:pPr>
    </w:p>
    <w:p w14:paraId="72EF92E0"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Ante ello, es posible concluir que las autoridades electorales, en el ámbito de sus atribuciones y competencias, </w:t>
      </w:r>
      <w:r>
        <w:rPr>
          <w:rFonts w:ascii="Arial" w:eastAsia="Arial" w:hAnsi="Arial" w:cs="Arial"/>
          <w:b/>
          <w:sz w:val="24"/>
          <w:szCs w:val="24"/>
        </w:rPr>
        <w:t xml:space="preserve">cuentan con la facultad de limitar la libertad de expresión cuando se pretende proteger la imputación de delitos que calumnien </w:t>
      </w:r>
      <w:r>
        <w:rPr>
          <w:rFonts w:ascii="Arial" w:eastAsia="Arial" w:hAnsi="Arial" w:cs="Arial"/>
          <w:sz w:val="24"/>
          <w:szCs w:val="24"/>
        </w:rPr>
        <w:t xml:space="preserve">a los institutos políticos a fin de evitar una incidencia en el voto informado de las y los electores que participan en un proceso comicial. </w:t>
      </w:r>
    </w:p>
    <w:p w14:paraId="6BE28B04" w14:textId="77777777" w:rsidR="00187EF5" w:rsidRDefault="00187EF5">
      <w:pPr>
        <w:pBdr>
          <w:top w:val="nil"/>
          <w:left w:val="nil"/>
          <w:bottom w:val="nil"/>
          <w:right w:val="nil"/>
          <w:between w:val="nil"/>
        </w:pBdr>
        <w:rPr>
          <w:color w:val="000000"/>
        </w:rPr>
      </w:pPr>
    </w:p>
    <w:p w14:paraId="6CFC0B2A" w14:textId="77777777" w:rsidR="00187EF5" w:rsidRDefault="00745C3F">
      <w:pPr>
        <w:spacing w:line="360" w:lineRule="auto"/>
        <w:jc w:val="both"/>
        <w:rPr>
          <w:rFonts w:ascii="Arial" w:eastAsia="Arial" w:hAnsi="Arial" w:cs="Arial"/>
          <w:sz w:val="24"/>
          <w:szCs w:val="24"/>
        </w:rPr>
      </w:pPr>
      <w:r>
        <w:rPr>
          <w:rFonts w:ascii="Arial" w:eastAsia="Arial" w:hAnsi="Arial" w:cs="Arial"/>
          <w:sz w:val="24"/>
          <w:szCs w:val="24"/>
        </w:rPr>
        <w:t xml:space="preserve">De ahí que, como se adelantó, en el caso </w:t>
      </w:r>
      <w:r>
        <w:rPr>
          <w:rFonts w:ascii="Arial" w:eastAsia="Arial" w:hAnsi="Arial" w:cs="Arial"/>
          <w:b/>
          <w:sz w:val="24"/>
          <w:szCs w:val="24"/>
        </w:rPr>
        <w:t xml:space="preserve">quedó acreditada la existencia de calumnia </w:t>
      </w:r>
      <w:r>
        <w:rPr>
          <w:rFonts w:ascii="Arial" w:eastAsia="Arial" w:hAnsi="Arial" w:cs="Arial"/>
          <w:sz w:val="24"/>
          <w:szCs w:val="24"/>
        </w:rPr>
        <w:t xml:space="preserve">en perjuicio del partido político denunciante. </w:t>
      </w:r>
    </w:p>
    <w:p w14:paraId="1C454E0F" w14:textId="1F2CFA18" w:rsidR="00187EF5" w:rsidRDefault="00187EF5">
      <w:pPr>
        <w:pBdr>
          <w:top w:val="nil"/>
          <w:left w:val="nil"/>
          <w:bottom w:val="nil"/>
          <w:right w:val="nil"/>
          <w:between w:val="nil"/>
        </w:pBdr>
        <w:rPr>
          <w:color w:val="000000"/>
        </w:rPr>
      </w:pPr>
    </w:p>
    <w:p w14:paraId="1143E92A" w14:textId="77777777" w:rsidR="003F6FC6" w:rsidRPr="00000B6B" w:rsidRDefault="003F6FC6" w:rsidP="003F6FC6">
      <w:pPr>
        <w:spacing w:line="360" w:lineRule="auto"/>
        <w:jc w:val="both"/>
        <w:rPr>
          <w:rFonts w:ascii="Arial" w:eastAsia="Arial" w:hAnsi="Arial" w:cs="Arial"/>
          <w:sz w:val="24"/>
          <w:szCs w:val="24"/>
        </w:rPr>
      </w:pPr>
      <w:r>
        <w:rPr>
          <w:rFonts w:ascii="Arial" w:eastAsia="Arial" w:hAnsi="Arial" w:cs="Arial"/>
          <w:sz w:val="24"/>
          <w:szCs w:val="24"/>
        </w:rPr>
        <w:t>Ahora bien, e</w:t>
      </w:r>
      <w:r w:rsidRPr="00000B6B">
        <w:rPr>
          <w:rFonts w:ascii="Arial" w:eastAsia="Arial" w:hAnsi="Arial" w:cs="Arial"/>
          <w:sz w:val="24"/>
          <w:szCs w:val="24"/>
        </w:rPr>
        <w:t xml:space="preserve">n atención a la pretensión del promovente encaminada a demostrar que la calumnia es en perjuicio de la colación en su conjunto, debe tomarse en cuenta que el marco </w:t>
      </w:r>
      <w:r w:rsidRPr="00000B6B">
        <w:rPr>
          <w:rFonts w:ascii="Arial" w:eastAsia="Arial" w:hAnsi="Arial" w:cs="Arial"/>
          <w:sz w:val="24"/>
          <w:szCs w:val="24"/>
        </w:rPr>
        <w:lastRenderedPageBreak/>
        <w:t xml:space="preserve">normativo en materia de calumnia establece como presupuesto procesal que para su presentación </w:t>
      </w:r>
      <w:r w:rsidRPr="00000B6B">
        <w:rPr>
          <w:rFonts w:ascii="Arial" w:eastAsia="Arial" w:hAnsi="Arial" w:cs="Arial"/>
          <w:b/>
          <w:bCs/>
          <w:sz w:val="24"/>
          <w:szCs w:val="24"/>
        </w:rPr>
        <w:t>debe comparecer la parte que se considera afectada</w:t>
      </w:r>
      <w:r w:rsidRPr="00000B6B">
        <w:rPr>
          <w:rFonts w:ascii="Arial" w:eastAsia="Arial" w:hAnsi="Arial" w:cs="Arial"/>
          <w:sz w:val="24"/>
          <w:szCs w:val="24"/>
        </w:rPr>
        <w:t xml:space="preserve">, por lo cual, en todo caso, debieron comparecer los partidos políticos coaligantes </w:t>
      </w:r>
      <w:r w:rsidRPr="00000B6B">
        <w:rPr>
          <w:rFonts w:ascii="Arial" w:eastAsia="Arial" w:hAnsi="Arial" w:cs="Arial"/>
          <w:b/>
          <w:bCs/>
          <w:sz w:val="24"/>
          <w:szCs w:val="24"/>
        </w:rPr>
        <w:t>en lo individual.</w:t>
      </w:r>
      <w:r w:rsidRPr="00000B6B">
        <w:rPr>
          <w:rFonts w:ascii="Arial" w:eastAsia="Arial" w:hAnsi="Arial" w:cs="Arial"/>
          <w:sz w:val="24"/>
          <w:szCs w:val="24"/>
        </w:rPr>
        <w:t xml:space="preserve"> </w:t>
      </w:r>
    </w:p>
    <w:p w14:paraId="7554B56A" w14:textId="77777777" w:rsidR="003F6FC6" w:rsidRDefault="003F6FC6" w:rsidP="003F6FC6">
      <w:pPr>
        <w:pStyle w:val="Sinespaciado"/>
        <w:rPr>
          <w:rFonts w:eastAsia="Arial"/>
        </w:rPr>
      </w:pPr>
    </w:p>
    <w:p w14:paraId="4DC09673" w14:textId="77777777" w:rsidR="003F6FC6" w:rsidRPr="00000B6B" w:rsidRDefault="003F6FC6" w:rsidP="003F6FC6">
      <w:pPr>
        <w:spacing w:line="360" w:lineRule="auto"/>
        <w:jc w:val="both"/>
        <w:rPr>
          <w:rFonts w:ascii="Arial" w:eastAsia="Arial" w:hAnsi="Arial" w:cs="Arial"/>
          <w:sz w:val="24"/>
          <w:szCs w:val="24"/>
        </w:rPr>
      </w:pPr>
      <w:r w:rsidRPr="00000B6B">
        <w:rPr>
          <w:rFonts w:ascii="Arial" w:eastAsia="Arial" w:hAnsi="Arial" w:cs="Arial"/>
          <w:sz w:val="24"/>
          <w:szCs w:val="24"/>
        </w:rPr>
        <w:t xml:space="preserve">Asimismo, debe tomarse en cuenta que la Sala Superior ha sostenido que los partidos políticos sí tienen legitimación activa para cuestionar la calumnia en contra de las candidaturas que postulan en atención al estrecho vínculo que existe entre estos. </w:t>
      </w:r>
    </w:p>
    <w:p w14:paraId="705885D4" w14:textId="77777777" w:rsidR="003F6FC6" w:rsidRDefault="003F6FC6" w:rsidP="003F6FC6">
      <w:pPr>
        <w:pStyle w:val="Sinespaciado"/>
        <w:rPr>
          <w:rFonts w:eastAsia="Arial"/>
        </w:rPr>
      </w:pPr>
    </w:p>
    <w:p w14:paraId="1B83258A" w14:textId="688418C1" w:rsidR="003F6FC6" w:rsidRPr="003F6FC6" w:rsidRDefault="003F6FC6" w:rsidP="003F6FC6">
      <w:pPr>
        <w:spacing w:line="360" w:lineRule="auto"/>
        <w:jc w:val="both"/>
        <w:rPr>
          <w:rFonts w:ascii="Arial" w:eastAsia="Arial" w:hAnsi="Arial" w:cs="Arial"/>
          <w:sz w:val="24"/>
          <w:szCs w:val="24"/>
        </w:rPr>
      </w:pPr>
      <w:r w:rsidRPr="00000B6B">
        <w:rPr>
          <w:rFonts w:ascii="Arial" w:eastAsia="Arial" w:hAnsi="Arial" w:cs="Arial"/>
          <w:sz w:val="24"/>
          <w:szCs w:val="24"/>
        </w:rPr>
        <w:t>De ahí que no sea viable acreditar la calumnia en contra de la coalición en conjunto, sino que como se explicó, el análisis debe hacerse en lo individual, tal y como se aborda en el desarrollo de la presente resolución.</w:t>
      </w:r>
    </w:p>
    <w:p w14:paraId="29D05C68" w14:textId="77777777" w:rsidR="00187EF5" w:rsidRDefault="00187EF5">
      <w:pPr>
        <w:jc w:val="both"/>
        <w:rPr>
          <w:rFonts w:ascii="Arial" w:eastAsia="Arial" w:hAnsi="Arial" w:cs="Arial"/>
          <w:sz w:val="24"/>
          <w:szCs w:val="24"/>
        </w:rPr>
      </w:pPr>
    </w:p>
    <w:p w14:paraId="3975DC25" w14:textId="77777777" w:rsidR="00187EF5" w:rsidRDefault="00745C3F">
      <w:pPr>
        <w:numPr>
          <w:ilvl w:val="0"/>
          <w:numId w:val="3"/>
        </w:numPr>
        <w:pBdr>
          <w:top w:val="nil"/>
          <w:left w:val="nil"/>
          <w:bottom w:val="nil"/>
          <w:right w:val="nil"/>
          <w:between w:val="nil"/>
        </w:pBdr>
        <w:spacing w:after="280"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t>Responsabilidad de las partes involucradas</w:t>
      </w:r>
    </w:p>
    <w:p w14:paraId="798B5386"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Este órgano jurisdiccional estima que: </w:t>
      </w:r>
      <w:r>
        <w:rPr>
          <w:rFonts w:ascii="Arial" w:eastAsia="Arial" w:hAnsi="Arial" w:cs="Arial"/>
          <w:b/>
          <w:i/>
          <w:sz w:val="24"/>
          <w:szCs w:val="24"/>
        </w:rPr>
        <w:t xml:space="preserve">a) </w:t>
      </w:r>
      <w:r>
        <w:rPr>
          <w:rFonts w:ascii="Arial" w:eastAsia="Arial" w:hAnsi="Arial" w:cs="Arial"/>
          <w:sz w:val="24"/>
          <w:szCs w:val="24"/>
        </w:rPr>
        <w:t xml:space="preserve">Norma Ruvalcaba Gámez, candidata a la gubernatura de esta entidad, por el partido Morena, vulneró lo dispuesto por el artículo 244, primer párrafo, fracción IV, del Código Electoral y, </w:t>
      </w:r>
      <w:r>
        <w:rPr>
          <w:rFonts w:ascii="Arial" w:eastAsia="Arial" w:hAnsi="Arial" w:cs="Arial"/>
          <w:b/>
          <w:i/>
          <w:sz w:val="24"/>
          <w:szCs w:val="24"/>
        </w:rPr>
        <w:t xml:space="preserve">b) </w:t>
      </w:r>
      <w:r>
        <w:rPr>
          <w:rFonts w:ascii="Arial" w:eastAsia="Arial" w:hAnsi="Arial" w:cs="Arial"/>
          <w:i/>
          <w:sz w:val="24"/>
          <w:szCs w:val="24"/>
        </w:rPr>
        <w:t>el partido político</w:t>
      </w:r>
      <w:r>
        <w:rPr>
          <w:rFonts w:ascii="Arial" w:eastAsia="Arial" w:hAnsi="Arial" w:cs="Arial"/>
          <w:b/>
          <w:i/>
          <w:sz w:val="24"/>
          <w:szCs w:val="24"/>
        </w:rPr>
        <w:t xml:space="preserve"> </w:t>
      </w:r>
      <w:r>
        <w:rPr>
          <w:rFonts w:ascii="Arial" w:eastAsia="Arial" w:hAnsi="Arial" w:cs="Arial"/>
          <w:sz w:val="24"/>
          <w:szCs w:val="24"/>
        </w:rPr>
        <w:t>Morena incumplió su deber de cuidado en cuanto a la conducta denunciada y, por tanto, vulneró el primer párrafo, inciso a), del artículo 25, de la Ley General de Partidos Políticos.</w:t>
      </w:r>
    </w:p>
    <w:p w14:paraId="711044F2" w14:textId="77777777" w:rsidR="00187EF5" w:rsidRDefault="00745C3F">
      <w:pPr>
        <w:numPr>
          <w:ilvl w:val="0"/>
          <w:numId w:val="3"/>
        </w:numPr>
        <w:pBdr>
          <w:top w:val="nil"/>
          <w:left w:val="nil"/>
          <w:bottom w:val="nil"/>
          <w:right w:val="nil"/>
          <w:between w:val="nil"/>
        </w:pBdr>
        <w:spacing w:before="240" w:after="240" w:line="360" w:lineRule="auto"/>
        <w:ind w:left="284" w:hanging="284"/>
        <w:jc w:val="both"/>
        <w:rPr>
          <w:rFonts w:ascii="Arial" w:eastAsia="Arial" w:hAnsi="Arial" w:cs="Arial"/>
          <w:b/>
          <w:color w:val="000000"/>
          <w:sz w:val="24"/>
          <w:szCs w:val="24"/>
          <w:u w:val="single"/>
        </w:rPr>
      </w:pPr>
      <w:r>
        <w:rPr>
          <w:rFonts w:ascii="Arial" w:eastAsia="Arial" w:hAnsi="Arial" w:cs="Arial"/>
          <w:b/>
          <w:color w:val="000000"/>
          <w:sz w:val="24"/>
          <w:szCs w:val="24"/>
          <w:u w:val="single"/>
        </w:rPr>
        <w:t>Individualización de la sanción</w:t>
      </w:r>
    </w:p>
    <w:p w14:paraId="1831EF21" w14:textId="77777777" w:rsidR="00187EF5" w:rsidRDefault="00745C3F">
      <w:pPr>
        <w:spacing w:before="240" w:after="240" w:line="360" w:lineRule="auto"/>
        <w:jc w:val="both"/>
        <w:rPr>
          <w:rFonts w:ascii="Arial" w:eastAsia="Arial" w:hAnsi="Arial" w:cs="Arial"/>
          <w:sz w:val="40"/>
          <w:szCs w:val="40"/>
          <w:vertAlign w:val="superscript"/>
        </w:rPr>
      </w:pPr>
      <w:r>
        <w:rPr>
          <w:rFonts w:ascii="Arial" w:eastAsia="Arial" w:hAnsi="Arial" w:cs="Arial"/>
          <w:sz w:val="24"/>
          <w:szCs w:val="24"/>
        </w:rPr>
        <w:t>Una vez verificada la falta, procede determinar la clase de sanción que legalmente corresponda, tomando en cuenta lo dispuesto por el artículo 251, del Código Electoral, el cual establece que para la individualizar las sanciones, una vez que se tenga plenamente acreditada la existencia de una infracción y su imputación, la autoridad deberá tomar en cuenta las circunstancias que rodearon la conducta que vulneró la norma.</w:t>
      </w:r>
      <w:r>
        <w:rPr>
          <w:rFonts w:ascii="Arial" w:eastAsia="Arial" w:hAnsi="Arial" w:cs="Arial"/>
          <w:sz w:val="24"/>
          <w:szCs w:val="24"/>
          <w:vertAlign w:val="superscript"/>
        </w:rPr>
        <w:footnoteReference w:id="16"/>
      </w:r>
    </w:p>
    <w:p w14:paraId="4EAF782A"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Por tanto, tomando en consideración los elementos objetivos y subjetivos que se acreditaron en la valoración de la presente sentencia, lo procedente es calificar debidamente la falta, valorando los siguientes elementos:</w:t>
      </w:r>
    </w:p>
    <w:p w14:paraId="3CA1BF6C"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b/>
          <w:i/>
          <w:sz w:val="24"/>
          <w:szCs w:val="24"/>
        </w:rPr>
        <w:t>i)</w:t>
      </w:r>
      <w:r>
        <w:rPr>
          <w:sz w:val="14"/>
          <w:szCs w:val="14"/>
        </w:rPr>
        <w:t xml:space="preserve">   </w:t>
      </w:r>
      <w:r>
        <w:rPr>
          <w:rFonts w:ascii="Arial" w:eastAsia="Arial" w:hAnsi="Arial" w:cs="Arial"/>
          <w:b/>
          <w:sz w:val="24"/>
          <w:szCs w:val="24"/>
        </w:rPr>
        <w:t xml:space="preserve">Bien jurídico tutelado. </w:t>
      </w:r>
      <w:r>
        <w:rPr>
          <w:rFonts w:ascii="Arial" w:eastAsia="Arial" w:hAnsi="Arial" w:cs="Arial"/>
          <w:sz w:val="24"/>
          <w:szCs w:val="24"/>
        </w:rPr>
        <w:t xml:space="preserve">El bien jurídico directamente tutelado en las normas constitucionales es proteger los vínculos y límites de los derechos fundamentales a la </w:t>
      </w:r>
      <w:r>
        <w:rPr>
          <w:rFonts w:ascii="Arial" w:eastAsia="Arial" w:hAnsi="Arial" w:cs="Arial"/>
          <w:b/>
          <w:sz w:val="24"/>
          <w:szCs w:val="24"/>
        </w:rPr>
        <w:lastRenderedPageBreak/>
        <w:t>libertad de expresión</w:t>
      </w:r>
      <w:r>
        <w:rPr>
          <w:rFonts w:ascii="Arial" w:eastAsia="Arial" w:hAnsi="Arial" w:cs="Arial"/>
          <w:sz w:val="24"/>
          <w:szCs w:val="24"/>
        </w:rPr>
        <w:t xml:space="preserve"> en relación con el </w:t>
      </w:r>
      <w:r>
        <w:rPr>
          <w:rFonts w:ascii="Arial" w:eastAsia="Arial" w:hAnsi="Arial" w:cs="Arial"/>
          <w:b/>
          <w:sz w:val="24"/>
          <w:szCs w:val="24"/>
        </w:rPr>
        <w:t>honor y reputación</w:t>
      </w:r>
      <w:r>
        <w:rPr>
          <w:rFonts w:ascii="Arial" w:eastAsia="Arial" w:hAnsi="Arial" w:cs="Arial"/>
          <w:sz w:val="24"/>
          <w:szCs w:val="24"/>
        </w:rPr>
        <w:t xml:space="preserve"> de los partidos políticos. Así como el principio de legalidad, que impone la prohibición de difundir propaganda política que calumnie a las personas.</w:t>
      </w:r>
    </w:p>
    <w:p w14:paraId="243955BF"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b/>
          <w:i/>
          <w:sz w:val="24"/>
          <w:szCs w:val="24"/>
        </w:rPr>
        <w:t>ii)</w:t>
      </w:r>
      <w:r>
        <w:rPr>
          <w:rFonts w:ascii="Arial" w:eastAsia="Arial" w:hAnsi="Arial" w:cs="Arial"/>
          <w:b/>
          <w:sz w:val="24"/>
          <w:szCs w:val="24"/>
        </w:rPr>
        <w:t xml:space="preserve"> Singularidad o pluralidad de las faltas.</w:t>
      </w:r>
      <w:r>
        <w:rPr>
          <w:rFonts w:ascii="Arial" w:eastAsia="Arial" w:hAnsi="Arial" w:cs="Arial"/>
          <w:sz w:val="24"/>
          <w:szCs w:val="24"/>
        </w:rPr>
        <w:t xml:space="preserve"> La comisión de dicha conducta no puede considerarse como una pluralidad de infracciones o de faltas administrativas, pues se trató de una sola conducta (propaganda con contenido calumnioso).</w:t>
      </w:r>
    </w:p>
    <w:p w14:paraId="469B4D1D" w14:textId="77777777" w:rsidR="00187EF5" w:rsidRDefault="00745C3F">
      <w:pPr>
        <w:spacing w:before="240" w:after="240" w:line="360" w:lineRule="auto"/>
        <w:jc w:val="both"/>
        <w:rPr>
          <w:rFonts w:ascii="Arial" w:eastAsia="Arial" w:hAnsi="Arial" w:cs="Arial"/>
          <w:b/>
          <w:sz w:val="24"/>
          <w:szCs w:val="24"/>
        </w:rPr>
      </w:pPr>
      <w:r>
        <w:rPr>
          <w:rFonts w:ascii="Arial" w:eastAsia="Arial" w:hAnsi="Arial" w:cs="Arial"/>
          <w:b/>
          <w:i/>
          <w:sz w:val="24"/>
          <w:szCs w:val="24"/>
        </w:rPr>
        <w:t>iii)</w:t>
      </w:r>
      <w:r>
        <w:rPr>
          <w:rFonts w:ascii="Arial" w:eastAsia="Arial" w:hAnsi="Arial" w:cs="Arial"/>
          <w:b/>
          <w:sz w:val="24"/>
          <w:szCs w:val="24"/>
        </w:rPr>
        <w:t xml:space="preserve"> Circunstancias de modo, tiempo y lugar:</w:t>
      </w:r>
    </w:p>
    <w:p w14:paraId="4EEA2B60" w14:textId="77777777" w:rsidR="00187EF5" w:rsidRDefault="00745C3F">
      <w:pPr>
        <w:numPr>
          <w:ilvl w:val="0"/>
          <w:numId w:val="5"/>
        </w:numPr>
        <w:pBdr>
          <w:top w:val="nil"/>
          <w:left w:val="nil"/>
          <w:bottom w:val="nil"/>
          <w:right w:val="nil"/>
          <w:between w:val="nil"/>
        </w:pBdr>
        <w:spacing w:before="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Modo.</w:t>
      </w:r>
      <w:r>
        <w:rPr>
          <w:rFonts w:ascii="Arial" w:eastAsia="Arial" w:hAnsi="Arial" w:cs="Arial"/>
          <w:color w:val="000000"/>
          <w:sz w:val="24"/>
          <w:szCs w:val="24"/>
        </w:rPr>
        <w:t xml:space="preserve"> La irregularidad consistió en la difusión de una publicación con expresiones calumniosas a través de las </w:t>
      </w:r>
      <w:r>
        <w:rPr>
          <w:rFonts w:ascii="Arial" w:eastAsia="Arial" w:hAnsi="Arial" w:cs="Arial"/>
          <w:i/>
          <w:color w:val="000000"/>
          <w:sz w:val="24"/>
          <w:szCs w:val="24"/>
        </w:rPr>
        <w:t xml:space="preserve">fan page </w:t>
      </w:r>
      <w:r>
        <w:rPr>
          <w:rFonts w:ascii="Arial" w:eastAsia="Arial" w:hAnsi="Arial" w:cs="Arial"/>
          <w:color w:val="000000"/>
          <w:sz w:val="24"/>
          <w:szCs w:val="24"/>
        </w:rPr>
        <w:t>de Facebook y Twitter de la denunciada, de nombre “Nora Ruvalcaba”.</w:t>
      </w:r>
    </w:p>
    <w:p w14:paraId="088ED38D" w14:textId="77777777" w:rsidR="00187EF5" w:rsidRDefault="00745C3F">
      <w:pPr>
        <w:numPr>
          <w:ilvl w:val="0"/>
          <w:numId w:val="5"/>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Tiempo.</w:t>
      </w:r>
      <w:r>
        <w:rPr>
          <w:rFonts w:ascii="Arial" w:eastAsia="Arial" w:hAnsi="Arial" w:cs="Arial"/>
          <w:color w:val="000000"/>
          <w:sz w:val="24"/>
          <w:szCs w:val="24"/>
        </w:rPr>
        <w:t xml:space="preserve"> La conducta se realiza durante el periodo comprendido del </w:t>
      </w:r>
      <w:r>
        <w:rPr>
          <w:rFonts w:ascii="Arial" w:eastAsia="Arial" w:hAnsi="Arial" w:cs="Arial"/>
          <w:sz w:val="24"/>
          <w:szCs w:val="24"/>
        </w:rPr>
        <w:t>primero</w:t>
      </w:r>
      <w:r>
        <w:rPr>
          <w:rFonts w:ascii="Arial" w:eastAsia="Arial" w:hAnsi="Arial" w:cs="Arial"/>
          <w:color w:val="000000"/>
          <w:sz w:val="24"/>
          <w:szCs w:val="24"/>
        </w:rPr>
        <w:t xml:space="preserve"> de mayo a la fecha presente </w:t>
      </w:r>
      <w:r>
        <w:rPr>
          <w:rFonts w:ascii="Arial" w:eastAsia="Arial" w:hAnsi="Arial" w:cs="Arial"/>
          <w:sz w:val="24"/>
          <w:szCs w:val="24"/>
        </w:rPr>
        <w:t>-18 de mayo-</w:t>
      </w:r>
      <w:r>
        <w:rPr>
          <w:rFonts w:ascii="Arial" w:eastAsia="Arial" w:hAnsi="Arial" w:cs="Arial"/>
          <w:color w:val="000000"/>
          <w:sz w:val="24"/>
          <w:szCs w:val="24"/>
        </w:rPr>
        <w:t xml:space="preserve">, por tanto, las publicaciones denunciadas han estado en la red durante </w:t>
      </w:r>
      <w:r>
        <w:rPr>
          <w:rFonts w:ascii="Arial" w:eastAsia="Arial" w:hAnsi="Arial" w:cs="Arial"/>
          <w:b/>
          <w:color w:val="000000"/>
          <w:sz w:val="24"/>
          <w:szCs w:val="24"/>
        </w:rPr>
        <w:t xml:space="preserve">dieciocho días dentro del periodo de campaña </w:t>
      </w:r>
      <w:r>
        <w:rPr>
          <w:rFonts w:ascii="Arial" w:eastAsia="Arial" w:hAnsi="Arial" w:cs="Arial"/>
          <w:color w:val="000000"/>
          <w:sz w:val="24"/>
          <w:szCs w:val="24"/>
        </w:rPr>
        <w:t>del proceso electoral local.</w:t>
      </w:r>
    </w:p>
    <w:p w14:paraId="6A567B3F" w14:textId="77777777" w:rsidR="00187EF5" w:rsidRDefault="00745C3F">
      <w:pPr>
        <w:numPr>
          <w:ilvl w:val="0"/>
          <w:numId w:val="5"/>
        </w:numPr>
        <w:pBdr>
          <w:top w:val="nil"/>
          <w:left w:val="nil"/>
          <w:bottom w:val="nil"/>
          <w:right w:val="nil"/>
          <w:between w:val="nil"/>
        </w:pBdr>
        <w:spacing w:after="240" w:line="360" w:lineRule="auto"/>
        <w:ind w:left="426"/>
        <w:jc w:val="both"/>
        <w:rPr>
          <w:rFonts w:ascii="Arial" w:eastAsia="Arial" w:hAnsi="Arial" w:cs="Arial"/>
          <w:color w:val="000000"/>
          <w:sz w:val="24"/>
          <w:szCs w:val="24"/>
        </w:rPr>
      </w:pPr>
      <w:r>
        <w:rPr>
          <w:rFonts w:ascii="Arial" w:eastAsia="Arial" w:hAnsi="Arial" w:cs="Arial"/>
          <w:b/>
          <w:color w:val="000000"/>
          <w:sz w:val="24"/>
          <w:szCs w:val="24"/>
        </w:rPr>
        <w:t>Lugar.</w:t>
      </w:r>
      <w:r>
        <w:rPr>
          <w:rFonts w:ascii="Arial" w:eastAsia="Arial" w:hAnsi="Arial" w:cs="Arial"/>
          <w:color w:val="000000"/>
          <w:sz w:val="24"/>
          <w:szCs w:val="24"/>
        </w:rPr>
        <w:t xml:space="preserve"> La propaganda se transmitió a través de las redes sociales de Facebook y Twitter de la denunciada, de nombre “Nora Ruvalcaba”.</w:t>
      </w:r>
    </w:p>
    <w:p w14:paraId="12C3147A" w14:textId="77777777" w:rsidR="00187EF5" w:rsidRDefault="00745C3F">
      <w:pPr>
        <w:spacing w:line="360" w:lineRule="auto"/>
        <w:jc w:val="both"/>
        <w:rPr>
          <w:rFonts w:ascii="Arial" w:eastAsia="Arial" w:hAnsi="Arial" w:cs="Arial"/>
          <w:sz w:val="24"/>
          <w:szCs w:val="24"/>
        </w:rPr>
      </w:pPr>
      <w:r>
        <w:rPr>
          <w:rFonts w:ascii="Arial" w:eastAsia="Arial" w:hAnsi="Arial" w:cs="Arial"/>
          <w:b/>
          <w:i/>
          <w:sz w:val="24"/>
          <w:szCs w:val="24"/>
        </w:rPr>
        <w:t>iv)</w:t>
      </w:r>
      <w:r>
        <w:rPr>
          <w:rFonts w:ascii="Arial" w:eastAsia="Arial" w:hAnsi="Arial" w:cs="Arial"/>
          <w:b/>
          <w:sz w:val="24"/>
          <w:szCs w:val="24"/>
        </w:rPr>
        <w:t xml:space="preserve"> Condiciones externas y medios de ejecución.</w:t>
      </w:r>
      <w:r>
        <w:rPr>
          <w:rFonts w:ascii="Arial" w:eastAsia="Arial" w:hAnsi="Arial" w:cs="Arial"/>
          <w:sz w:val="24"/>
          <w:szCs w:val="24"/>
        </w:rPr>
        <w:t xml:space="preserve"> La difusión del video con contenido calumnioso se realizó en el periodo de campaña dentro del PEL 2021-2022, a través de las redes sociales de la denunciada. La interacción que tales publicaciones fueron las siguientes:</w:t>
      </w:r>
    </w:p>
    <w:p w14:paraId="60F55812" w14:textId="77777777" w:rsidR="00187EF5" w:rsidRDefault="00187EF5">
      <w:pPr>
        <w:pBdr>
          <w:top w:val="nil"/>
          <w:left w:val="nil"/>
          <w:bottom w:val="nil"/>
          <w:right w:val="nil"/>
          <w:between w:val="nil"/>
        </w:pBdr>
        <w:rPr>
          <w:color w:val="000000"/>
        </w:rPr>
      </w:pPr>
    </w:p>
    <w:tbl>
      <w:tblPr>
        <w:tblStyle w:val="a3"/>
        <w:tblW w:w="6090" w:type="dxa"/>
        <w:jc w:val="center"/>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3113"/>
        <w:gridCol w:w="2977"/>
      </w:tblGrid>
      <w:tr w:rsidR="00187EF5" w14:paraId="26885C48" w14:textId="77777777" w:rsidTr="004A6C88">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3F409CE1" w14:textId="77777777" w:rsidR="00187EF5" w:rsidRDefault="00745C3F">
            <w:pPr>
              <w:jc w:val="both"/>
              <w:rPr>
                <w:rFonts w:ascii="Arial" w:eastAsia="Arial" w:hAnsi="Arial" w:cs="Arial"/>
                <w:color w:val="000000"/>
                <w:sz w:val="18"/>
                <w:szCs w:val="18"/>
              </w:rPr>
            </w:pPr>
            <w:r>
              <w:rPr>
                <w:rFonts w:ascii="Arial" w:eastAsia="Arial" w:hAnsi="Arial" w:cs="Arial"/>
                <w:color w:val="000000"/>
                <w:sz w:val="18"/>
                <w:szCs w:val="18"/>
              </w:rPr>
              <w:t>Red social y/o plataforma digital</w:t>
            </w:r>
          </w:p>
        </w:tc>
        <w:tc>
          <w:tcPr>
            <w:tcW w:w="2977" w:type="dxa"/>
            <w:vAlign w:val="center"/>
          </w:tcPr>
          <w:p w14:paraId="2CCF449F" w14:textId="77777777" w:rsidR="00187EF5" w:rsidRDefault="00745C3F">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18"/>
                <w:szCs w:val="18"/>
              </w:rPr>
            </w:pPr>
            <w:r>
              <w:rPr>
                <w:rFonts w:ascii="Arial" w:eastAsia="Arial" w:hAnsi="Arial" w:cs="Arial"/>
                <w:color w:val="000000"/>
                <w:sz w:val="18"/>
                <w:szCs w:val="18"/>
              </w:rPr>
              <w:t>Interacción</w:t>
            </w:r>
          </w:p>
        </w:tc>
      </w:tr>
      <w:tr w:rsidR="00187EF5" w14:paraId="0E95383B" w14:textId="77777777" w:rsidTr="004A6C88">
        <w:trPr>
          <w:cnfStyle w:val="000000100000" w:firstRow="0" w:lastRow="0" w:firstColumn="0" w:lastColumn="0" w:oddVBand="0" w:evenVBand="0" w:oddHBand="1" w:evenHBand="0" w:firstRowFirstColumn="0" w:firstRowLastColumn="0" w:lastRowFirstColumn="0" w:lastRowLastColumn="0"/>
          <w:trHeight w:val="384"/>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58490BCC" w14:textId="77777777" w:rsidR="00187EF5" w:rsidRDefault="00745C3F">
            <w:pPr>
              <w:jc w:val="center"/>
              <w:rPr>
                <w:rFonts w:ascii="Arial" w:eastAsia="Arial" w:hAnsi="Arial" w:cs="Arial"/>
                <w:sz w:val="18"/>
                <w:szCs w:val="18"/>
              </w:rPr>
            </w:pPr>
            <w:r>
              <w:rPr>
                <w:rFonts w:ascii="Arial" w:eastAsia="Arial" w:hAnsi="Arial" w:cs="Arial"/>
                <w:sz w:val="18"/>
                <w:szCs w:val="18"/>
              </w:rPr>
              <w:t>Facebook</w:t>
            </w:r>
          </w:p>
        </w:tc>
        <w:tc>
          <w:tcPr>
            <w:tcW w:w="2977" w:type="dxa"/>
            <w:vAlign w:val="center"/>
          </w:tcPr>
          <w:p w14:paraId="0556828E" w14:textId="77777777" w:rsidR="00187EF5" w:rsidRDefault="00745C3F">
            <w:pPr>
              <w:widowControl w:val="0"/>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33 comentarios</w:t>
            </w:r>
          </w:p>
          <w:p w14:paraId="62DB3536" w14:textId="77777777" w:rsidR="00187EF5" w:rsidRDefault="00745C3F">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8,7 mil reproducciones</w:t>
            </w:r>
          </w:p>
        </w:tc>
      </w:tr>
      <w:tr w:rsidR="00187EF5" w14:paraId="35D1B71E" w14:textId="77777777" w:rsidTr="004A6C88">
        <w:trPr>
          <w:trHeight w:val="346"/>
          <w:jc w:val="center"/>
        </w:trPr>
        <w:tc>
          <w:tcPr>
            <w:cnfStyle w:val="001000000000" w:firstRow="0" w:lastRow="0" w:firstColumn="1" w:lastColumn="0" w:oddVBand="0" w:evenVBand="0" w:oddHBand="0" w:evenHBand="0" w:firstRowFirstColumn="0" w:firstRowLastColumn="0" w:lastRowFirstColumn="0" w:lastRowLastColumn="0"/>
            <w:tcW w:w="3114" w:type="dxa"/>
            <w:vAlign w:val="center"/>
          </w:tcPr>
          <w:p w14:paraId="0D9ADA39" w14:textId="77777777" w:rsidR="00187EF5" w:rsidRDefault="00745C3F">
            <w:pPr>
              <w:jc w:val="center"/>
              <w:rPr>
                <w:rFonts w:ascii="Arial" w:eastAsia="Arial" w:hAnsi="Arial" w:cs="Arial"/>
                <w:sz w:val="18"/>
                <w:szCs w:val="18"/>
              </w:rPr>
            </w:pPr>
            <w:r>
              <w:rPr>
                <w:rFonts w:ascii="Arial" w:eastAsia="Arial" w:hAnsi="Arial" w:cs="Arial"/>
                <w:sz w:val="18"/>
                <w:szCs w:val="18"/>
              </w:rPr>
              <w:t>Twitter</w:t>
            </w:r>
          </w:p>
        </w:tc>
        <w:tc>
          <w:tcPr>
            <w:tcW w:w="2977" w:type="dxa"/>
            <w:vAlign w:val="center"/>
          </w:tcPr>
          <w:p w14:paraId="08B26552" w14:textId="77777777" w:rsidR="00187EF5" w:rsidRDefault="00745C3F">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121 retweets</w:t>
            </w:r>
          </w:p>
          <w:p w14:paraId="3EE5BF80" w14:textId="77777777" w:rsidR="00187EF5" w:rsidRDefault="00745C3F">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4 tweets citados </w:t>
            </w:r>
          </w:p>
          <w:p w14:paraId="0EF05AA2" w14:textId="77777777" w:rsidR="00187EF5" w:rsidRDefault="00745C3F">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192 me gusta</w:t>
            </w:r>
          </w:p>
        </w:tc>
      </w:tr>
    </w:tbl>
    <w:p w14:paraId="496AD190" w14:textId="77777777" w:rsidR="00187EF5" w:rsidRDefault="00187EF5">
      <w:pPr>
        <w:spacing w:after="240" w:line="360" w:lineRule="auto"/>
        <w:jc w:val="both"/>
        <w:rPr>
          <w:rFonts w:ascii="Arial" w:eastAsia="Arial" w:hAnsi="Arial" w:cs="Arial"/>
          <w:sz w:val="24"/>
          <w:szCs w:val="24"/>
        </w:rPr>
      </w:pPr>
    </w:p>
    <w:p w14:paraId="21F66F16" w14:textId="77777777" w:rsidR="00187EF5" w:rsidRDefault="00745C3F">
      <w:pPr>
        <w:spacing w:after="240" w:line="360" w:lineRule="auto"/>
        <w:jc w:val="both"/>
        <w:rPr>
          <w:rFonts w:ascii="Arial" w:eastAsia="Arial" w:hAnsi="Arial" w:cs="Arial"/>
          <w:sz w:val="24"/>
          <w:szCs w:val="24"/>
        </w:rPr>
      </w:pPr>
      <w:r>
        <w:rPr>
          <w:rFonts w:ascii="Arial" w:eastAsia="Arial" w:hAnsi="Arial" w:cs="Arial"/>
          <w:b/>
          <w:i/>
          <w:sz w:val="24"/>
          <w:szCs w:val="24"/>
        </w:rPr>
        <w:t>v)</w:t>
      </w:r>
      <w:r>
        <w:rPr>
          <w:rFonts w:ascii="Arial" w:eastAsia="Arial" w:hAnsi="Arial" w:cs="Arial"/>
          <w:b/>
          <w:sz w:val="24"/>
          <w:szCs w:val="24"/>
        </w:rPr>
        <w:t xml:space="preserve"> Beneficio o lucro.</w:t>
      </w:r>
      <w:r>
        <w:rPr>
          <w:rFonts w:ascii="Arial" w:eastAsia="Arial" w:hAnsi="Arial" w:cs="Arial"/>
          <w:sz w:val="24"/>
          <w:szCs w:val="24"/>
        </w:rPr>
        <w:t xml:space="preserve"> En el caso, de las constancias que obran en el expediente no se advierte que haya obtenido un lucro cuantificable con la realización de las conductas sancionadas; sin embargo, sí existió una violación al principio de legalidad en la contienda electoral al expresar manifestaciones calumniosas sin tener sustento alguno.</w:t>
      </w:r>
    </w:p>
    <w:p w14:paraId="06105671"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b/>
          <w:i/>
          <w:sz w:val="24"/>
          <w:szCs w:val="24"/>
        </w:rPr>
        <w:t>vi)</w:t>
      </w:r>
      <w:r>
        <w:rPr>
          <w:rFonts w:ascii="Arial" w:eastAsia="Arial" w:hAnsi="Arial" w:cs="Arial"/>
          <w:b/>
          <w:sz w:val="24"/>
          <w:szCs w:val="24"/>
        </w:rPr>
        <w:t xml:space="preserve"> Intencionalidad (comisión dolosa o culposa).</w:t>
      </w:r>
      <w:r>
        <w:rPr>
          <w:rFonts w:ascii="Arial" w:eastAsia="Arial" w:hAnsi="Arial" w:cs="Arial"/>
          <w:sz w:val="24"/>
          <w:szCs w:val="24"/>
        </w:rPr>
        <w:t xml:space="preserve"> Se encuentra acreditado que la candidata tuvo la intención de realizar la publicación que contiene expresiones calumniosas, con la finalidad de obtener un mejor posicionamiento durante el presente proceso electoral, a través de manifestaciones que constituyen imputaciones directas al quejoso.</w:t>
      </w:r>
    </w:p>
    <w:p w14:paraId="3BD0F069"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b/>
          <w:i/>
          <w:sz w:val="24"/>
          <w:szCs w:val="24"/>
        </w:rPr>
        <w:lastRenderedPageBreak/>
        <w:t>vii)</w:t>
      </w:r>
      <w:r>
        <w:rPr>
          <w:sz w:val="14"/>
          <w:szCs w:val="14"/>
        </w:rPr>
        <w:t xml:space="preserve"> </w:t>
      </w:r>
      <w:r>
        <w:rPr>
          <w:rFonts w:ascii="Arial" w:eastAsia="Arial" w:hAnsi="Arial" w:cs="Arial"/>
          <w:b/>
          <w:sz w:val="24"/>
          <w:szCs w:val="24"/>
        </w:rPr>
        <w:t>Reincidencia.</w:t>
      </w:r>
      <w:r>
        <w:rPr>
          <w:rFonts w:ascii="Arial" w:eastAsia="Arial" w:hAnsi="Arial" w:cs="Arial"/>
          <w:sz w:val="24"/>
          <w:szCs w:val="24"/>
        </w:rPr>
        <w:t xml:space="preserve"> De conformidad con el artículo 251, segundo párrafo, del Código Electoral se considerará reincidente, a quien haya sido declarado responsable del incumplimiento de alguna de las obligaciones a que se refiere la ley e incurre nuevamente en la misma conducta infractora.</w:t>
      </w:r>
    </w:p>
    <w:p w14:paraId="59A3D14C" w14:textId="6770E42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cual, no ocurre en el presente caso, ya que si bien, este órgano jurisdiccional ha emitido de manera previa diversas sentencias definitivas en las que se sanciona a la candidata denunciada por la misma infracción -calumnia- ello no es motivo suficiente para tomarlas en cuenta como una reincidencia, </w:t>
      </w:r>
      <w:r w:rsidR="004A6C88">
        <w:rPr>
          <w:rFonts w:ascii="Arial" w:eastAsia="Arial" w:hAnsi="Arial" w:cs="Arial"/>
          <w:sz w:val="24"/>
          <w:szCs w:val="24"/>
        </w:rPr>
        <w:t>ya que,</w:t>
      </w:r>
      <w:r>
        <w:rPr>
          <w:rFonts w:ascii="Arial" w:eastAsia="Arial" w:hAnsi="Arial" w:cs="Arial"/>
          <w:sz w:val="24"/>
          <w:szCs w:val="24"/>
        </w:rPr>
        <w:t xml:space="preserve"> para acreditar tal infracción, resulta necesario que tales sentencias hayan causado ejecutoria, cuestión que a la fecha en la que se emite la presente sentencia, no sucede. </w:t>
      </w:r>
    </w:p>
    <w:p w14:paraId="70ED9BA9" w14:textId="663F9CE9" w:rsidR="00F265F0" w:rsidRDefault="00F265F0">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w:t>
      </w:r>
      <w:r w:rsidR="00753F35">
        <w:rPr>
          <w:rFonts w:ascii="Arial" w:eastAsia="Arial" w:hAnsi="Arial" w:cs="Arial"/>
          <w:sz w:val="24"/>
          <w:szCs w:val="24"/>
        </w:rPr>
        <w:t xml:space="preserve">lo </w:t>
      </w:r>
      <w:r>
        <w:rPr>
          <w:rFonts w:ascii="Arial" w:eastAsia="Arial" w:hAnsi="Arial" w:cs="Arial"/>
          <w:sz w:val="24"/>
          <w:szCs w:val="24"/>
        </w:rPr>
        <w:t xml:space="preserve">tanto, no le asiste la razón al actor en cuanto a calificar como reincidente la conducta de la denunciada y el instituto político que la postula. </w:t>
      </w:r>
    </w:p>
    <w:p w14:paraId="58E7C02A" w14:textId="2429821A" w:rsidR="00BA0B27" w:rsidRDefault="00745C3F">
      <w:pPr>
        <w:spacing w:before="240" w:after="240" w:line="360" w:lineRule="auto"/>
        <w:jc w:val="both"/>
        <w:rPr>
          <w:rFonts w:ascii="Arial" w:eastAsia="Arial" w:hAnsi="Arial" w:cs="Arial"/>
          <w:sz w:val="24"/>
          <w:szCs w:val="24"/>
        </w:rPr>
      </w:pPr>
      <w:r>
        <w:rPr>
          <w:rFonts w:ascii="Arial" w:eastAsia="Arial" w:hAnsi="Arial" w:cs="Arial"/>
          <w:b/>
          <w:i/>
          <w:sz w:val="24"/>
          <w:szCs w:val="24"/>
        </w:rPr>
        <w:t>viii)</w:t>
      </w:r>
      <w:r>
        <w:rPr>
          <w:sz w:val="14"/>
          <w:szCs w:val="14"/>
        </w:rPr>
        <w:t xml:space="preserve"> </w:t>
      </w:r>
      <w:r>
        <w:rPr>
          <w:rFonts w:ascii="Arial" w:eastAsia="Arial" w:hAnsi="Arial" w:cs="Arial"/>
          <w:b/>
          <w:sz w:val="24"/>
          <w:szCs w:val="24"/>
        </w:rPr>
        <w:t>Impacto en las actividades del sujeto infractor.</w:t>
      </w:r>
      <w:r>
        <w:rPr>
          <w:rFonts w:ascii="Arial" w:eastAsia="Arial" w:hAnsi="Arial" w:cs="Arial"/>
          <w:sz w:val="24"/>
          <w:szCs w:val="24"/>
        </w:rPr>
        <w:t xml:space="preserve"> Derivado de la naturaleza de la sanción impuesta, no impacta en modo alguno en las actividades de la candidata sancionada.</w:t>
      </w:r>
    </w:p>
    <w:p w14:paraId="4F228139" w14:textId="77777777" w:rsidR="00187EF5" w:rsidRDefault="00745C3F">
      <w:pPr>
        <w:numPr>
          <w:ilvl w:val="0"/>
          <w:numId w:val="6"/>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Calificación de la responsabilidad</w:t>
      </w:r>
    </w:p>
    <w:p w14:paraId="79C44823"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 partir de las circunstancias en el presente caso, este Tribunal Electoral estima que la infracción en que incurrió la candidata denunciada Nora Ruvalcaba Gámez es </w:t>
      </w:r>
      <w:r>
        <w:rPr>
          <w:rFonts w:ascii="Arial" w:eastAsia="Arial" w:hAnsi="Arial" w:cs="Arial"/>
          <w:b/>
          <w:sz w:val="24"/>
          <w:szCs w:val="24"/>
        </w:rPr>
        <w:t>grave ordinaria</w:t>
      </w:r>
      <w:r>
        <w:rPr>
          <w:rFonts w:ascii="Arial" w:eastAsia="Arial" w:hAnsi="Arial" w:cs="Arial"/>
          <w:sz w:val="24"/>
          <w:szCs w:val="24"/>
        </w:rPr>
        <w:t xml:space="preserve">, mientras que para el partido político Morena resulta </w:t>
      </w:r>
      <w:r>
        <w:rPr>
          <w:rFonts w:ascii="Arial" w:eastAsia="Arial" w:hAnsi="Arial" w:cs="Arial"/>
          <w:b/>
          <w:sz w:val="24"/>
          <w:szCs w:val="24"/>
        </w:rPr>
        <w:t>levísima</w:t>
      </w:r>
      <w:r>
        <w:rPr>
          <w:rFonts w:ascii="Arial" w:eastAsia="Arial" w:hAnsi="Arial" w:cs="Arial"/>
          <w:sz w:val="24"/>
          <w:szCs w:val="24"/>
        </w:rPr>
        <w:t>, en virtud de que su responsabilidad sobre la conducta denunciada es indirecta, ya que no se le puede desvincular de las acciones que su candidata a la gubernatura realice.</w:t>
      </w:r>
    </w:p>
    <w:p w14:paraId="7A105E26"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Ello es así, porque si bien los bienes jurídicos tutelados son el honor y la imagen de los denunciantes, lo cierto es que la vulneración a dichos bienes surgió con motivo de la expresión de un mensaje realizado por parte de la denunciada respecto a diversas fuerzas políticas, en ejercicio de su derecho a la libertad de expresión y del debate político, sin embargo, indebidamente realizó señalamientos contrarios a Derecho.</w:t>
      </w:r>
    </w:p>
    <w:p w14:paraId="60F8C652"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Además, esta autoridad jurisdiccional toma en cuenta que la publicación denunciada se difundió a través de las redes sociales de Facebook y Twitter -durante un lapso de </w:t>
      </w:r>
      <w:r>
        <w:rPr>
          <w:rFonts w:ascii="Arial" w:eastAsia="Arial" w:hAnsi="Arial" w:cs="Arial"/>
          <w:b/>
          <w:sz w:val="24"/>
          <w:szCs w:val="24"/>
        </w:rPr>
        <w:t>dieciocho días</w:t>
      </w:r>
      <w:r>
        <w:rPr>
          <w:rFonts w:ascii="Arial" w:eastAsia="Arial" w:hAnsi="Arial" w:cs="Arial"/>
          <w:sz w:val="24"/>
          <w:szCs w:val="24"/>
        </w:rPr>
        <w:t>-, los cuales son considerados como un medio masivo de comunicación, pero a pesar de ello, este Tribunal ha estimado que el alcance o difusión que tales publicaciones tengan depende de la voluntad que la y el usuario tenga de interactuar con dichas publicaciones.</w:t>
      </w:r>
    </w:p>
    <w:p w14:paraId="42DD34FF"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lastRenderedPageBreak/>
        <w:t xml:space="preserve">Por tanto, en atención a que la conducta infractora desplegada por la candidata denunciada contraviene los límites a la libertad de expresión, este Tribunal estima que la calificación de la falta, como </w:t>
      </w:r>
      <w:r>
        <w:rPr>
          <w:rFonts w:ascii="Arial" w:eastAsia="Arial" w:hAnsi="Arial" w:cs="Arial"/>
          <w:b/>
          <w:sz w:val="24"/>
          <w:szCs w:val="24"/>
        </w:rPr>
        <w:t>grave ordinaria</w:t>
      </w:r>
      <w:r>
        <w:rPr>
          <w:rFonts w:ascii="Arial" w:eastAsia="Arial" w:hAnsi="Arial" w:cs="Arial"/>
          <w:sz w:val="24"/>
          <w:szCs w:val="24"/>
        </w:rPr>
        <w:t xml:space="preserve"> es adecuada.</w:t>
      </w:r>
    </w:p>
    <w:p w14:paraId="3B46E21E" w14:textId="77777777" w:rsidR="00187EF5" w:rsidRDefault="00745C3F">
      <w:pPr>
        <w:numPr>
          <w:ilvl w:val="0"/>
          <w:numId w:val="6"/>
        </w:numPr>
        <w:pBdr>
          <w:top w:val="nil"/>
          <w:left w:val="nil"/>
          <w:bottom w:val="nil"/>
          <w:right w:val="nil"/>
          <w:between w:val="nil"/>
        </w:pBdr>
        <w:tabs>
          <w:tab w:val="left" w:pos="426"/>
        </w:tabs>
        <w:spacing w:before="240" w:after="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Capacidad económica.</w:t>
      </w:r>
      <w:r>
        <w:rPr>
          <w:rFonts w:ascii="Arial" w:eastAsia="Arial" w:hAnsi="Arial" w:cs="Arial"/>
          <w:b/>
          <w:color w:val="000000"/>
          <w:sz w:val="24"/>
          <w:szCs w:val="24"/>
        </w:rPr>
        <w:t xml:space="preserve"> </w:t>
      </w:r>
      <w:r>
        <w:rPr>
          <w:rFonts w:ascii="Arial" w:eastAsia="Arial" w:hAnsi="Arial" w:cs="Arial"/>
          <w:color w:val="000000"/>
          <w:sz w:val="24"/>
          <w:szCs w:val="24"/>
        </w:rPr>
        <w:t>Derivado de la acreditación de la infracción de calumnia atribuida a Nora Ruvalcaba Gámez, este Tribunal Electoral estima que lo procedente es imponer una multa, en términos del artículo 244, párrafo segundo, fracción III, del Código Electoral</w:t>
      </w:r>
    </w:p>
    <w:p w14:paraId="295D7DAE"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Al respecto, la Sala Superior</w:t>
      </w:r>
      <w:r>
        <w:rPr>
          <w:rFonts w:ascii="Arial" w:eastAsia="Arial" w:hAnsi="Arial" w:cs="Arial"/>
          <w:sz w:val="24"/>
          <w:szCs w:val="24"/>
          <w:vertAlign w:val="superscript"/>
        </w:rPr>
        <w:footnoteReference w:id="17"/>
      </w:r>
      <w:r>
        <w:rPr>
          <w:rFonts w:ascii="Arial" w:eastAsia="Arial" w:hAnsi="Arial" w:cs="Arial"/>
          <w:sz w:val="24"/>
          <w:szCs w:val="24"/>
        </w:rPr>
        <w:t xml:space="preserve"> ha determinado que la cuantía o calidad de la multa no depende solo de la capacidad económica de la persona sancionada, sino que también se trata de un ejercicio de racionalidad del órgano jurisdiccional, así como de la valoración conjunta de todos los elementos objetivos y subjetivos de la infracción.</w:t>
      </w:r>
    </w:p>
    <w:p w14:paraId="02AB3B74" w14:textId="77777777" w:rsidR="00187EF5" w:rsidRDefault="00745C3F">
      <w:pPr>
        <w:spacing w:before="240" w:after="240" w:line="360" w:lineRule="auto"/>
        <w:jc w:val="both"/>
        <w:rPr>
          <w:sz w:val="14"/>
          <w:szCs w:val="14"/>
        </w:rPr>
      </w:pPr>
      <w:r>
        <w:rPr>
          <w:rFonts w:ascii="Arial" w:eastAsia="Arial" w:hAnsi="Arial" w:cs="Arial"/>
          <w:sz w:val="24"/>
          <w:szCs w:val="24"/>
        </w:rPr>
        <w:t>Por tanto, ello implica que, con independencia de que no se cuente con las constancias idóneas, este Tribunal Electoral se encuentre en posibilidad de imponer una sanción económica a la infractora, bajo un ejercicio de racionalidad y a partir de una valoración integral de la infracción.</w:t>
      </w:r>
      <w:r>
        <w:rPr>
          <w:sz w:val="14"/>
          <w:szCs w:val="14"/>
        </w:rPr>
        <w:t xml:space="preserve"> </w:t>
      </w:r>
    </w:p>
    <w:p w14:paraId="7E14904D" w14:textId="77777777" w:rsidR="00187EF5" w:rsidRDefault="00745C3F">
      <w:pPr>
        <w:numPr>
          <w:ilvl w:val="0"/>
          <w:numId w:val="6"/>
        </w:numPr>
        <w:pBdr>
          <w:top w:val="nil"/>
          <w:left w:val="nil"/>
          <w:bottom w:val="nil"/>
          <w:right w:val="nil"/>
          <w:between w:val="nil"/>
        </w:pBdr>
        <w:spacing w:before="240"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Sanción</w:t>
      </w:r>
    </w:p>
    <w:p w14:paraId="75F0DEE5"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Con base en el artículo 244, fracción IV, del Código Electoral</w:t>
      </w:r>
      <w:r>
        <w:rPr>
          <w:rFonts w:ascii="Arial" w:eastAsia="Arial" w:hAnsi="Arial" w:cs="Arial"/>
          <w:sz w:val="24"/>
          <w:szCs w:val="24"/>
          <w:vertAlign w:val="superscript"/>
        </w:rPr>
        <w:footnoteReference w:id="18"/>
      </w:r>
      <w:r>
        <w:rPr>
          <w:rFonts w:ascii="Arial" w:eastAsia="Arial" w:hAnsi="Arial" w:cs="Arial"/>
          <w:sz w:val="24"/>
          <w:szCs w:val="24"/>
        </w:rPr>
        <w:t xml:space="preserve"> y teniendo presente los elementos objetivos y subjetivos de la infracción, especialmente, los bienes jurídicos protegidos y los efectos de la misma, así como la conducta, se considera que lo procedente es imponer a la candidata Nora Ruvalcaba Gámez, la sanción prevista en el artículo 244, párrafo segundo, fracción III, del Código Electoral</w:t>
      </w:r>
      <w:r>
        <w:rPr>
          <w:rFonts w:ascii="Arial" w:eastAsia="Arial" w:hAnsi="Arial" w:cs="Arial"/>
          <w:sz w:val="24"/>
          <w:szCs w:val="24"/>
          <w:vertAlign w:val="superscript"/>
        </w:rPr>
        <w:footnoteReference w:id="19"/>
      </w:r>
      <w:r>
        <w:rPr>
          <w:rFonts w:ascii="Arial" w:eastAsia="Arial" w:hAnsi="Arial" w:cs="Arial"/>
          <w:sz w:val="24"/>
          <w:szCs w:val="24"/>
        </w:rPr>
        <w:t xml:space="preserve"> consistente en una </w:t>
      </w:r>
      <w:r>
        <w:rPr>
          <w:rFonts w:ascii="Arial" w:eastAsia="Arial" w:hAnsi="Arial" w:cs="Arial"/>
          <w:b/>
          <w:sz w:val="24"/>
          <w:szCs w:val="24"/>
        </w:rPr>
        <w:t>multa simbólica de 40 UMAS</w:t>
      </w:r>
      <w:r>
        <w:rPr>
          <w:rFonts w:ascii="Arial" w:eastAsia="Arial" w:hAnsi="Arial" w:cs="Arial"/>
          <w:b/>
          <w:sz w:val="24"/>
          <w:szCs w:val="24"/>
          <w:vertAlign w:val="superscript"/>
        </w:rPr>
        <w:footnoteReference w:id="20"/>
      </w:r>
      <w:r>
        <w:rPr>
          <w:rFonts w:ascii="Arial" w:eastAsia="Arial" w:hAnsi="Arial" w:cs="Arial"/>
          <w:sz w:val="24"/>
          <w:szCs w:val="24"/>
        </w:rPr>
        <w:t xml:space="preserve"> (Cuarenta Unidades de Medida y Actualización) equivalente a $3,848.80 (Tres mil ochocientos cuarenta y ocho pesos 80/100 M.N.)</w:t>
      </w:r>
    </w:p>
    <w:p w14:paraId="34A3F0F3"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Lo anterior, resulta congruente tomando en cuenta la doble finalidad de la aplicación de las sanciones, es decir, una prevención </w:t>
      </w:r>
      <w:r>
        <w:rPr>
          <w:rFonts w:ascii="Arial" w:eastAsia="Arial" w:hAnsi="Arial" w:cs="Arial"/>
          <w:b/>
          <w:i/>
          <w:sz w:val="24"/>
          <w:szCs w:val="24"/>
        </w:rPr>
        <w:t>general</w:t>
      </w:r>
      <w:r>
        <w:rPr>
          <w:rFonts w:ascii="Arial" w:eastAsia="Arial" w:hAnsi="Arial" w:cs="Arial"/>
          <w:sz w:val="24"/>
          <w:szCs w:val="24"/>
        </w:rPr>
        <w:t xml:space="preserve">: impedir la comisión de otros hechos </w:t>
      </w:r>
      <w:r>
        <w:rPr>
          <w:rFonts w:ascii="Arial" w:eastAsia="Arial" w:hAnsi="Arial" w:cs="Arial"/>
          <w:sz w:val="24"/>
          <w:szCs w:val="24"/>
        </w:rPr>
        <w:lastRenderedPageBreak/>
        <w:t xml:space="preserve">irregulares y, </w:t>
      </w:r>
      <w:r>
        <w:rPr>
          <w:rFonts w:ascii="Arial" w:eastAsia="Arial" w:hAnsi="Arial" w:cs="Arial"/>
          <w:b/>
          <w:i/>
          <w:sz w:val="24"/>
          <w:szCs w:val="24"/>
        </w:rPr>
        <w:t>especial</w:t>
      </w:r>
      <w:r>
        <w:rPr>
          <w:rFonts w:ascii="Arial" w:eastAsia="Arial" w:hAnsi="Arial" w:cs="Arial"/>
          <w:i/>
          <w:sz w:val="24"/>
          <w:szCs w:val="24"/>
        </w:rPr>
        <w:t>:</w:t>
      </w:r>
      <w:r>
        <w:rPr>
          <w:rFonts w:ascii="Arial" w:eastAsia="Arial" w:hAnsi="Arial" w:cs="Arial"/>
          <w:sz w:val="24"/>
          <w:szCs w:val="24"/>
        </w:rPr>
        <w:t xml:space="preserve"> es decir, la aplicación de una sanción a la responsable de la infracción para persuadir y evitar que vuelva a transgredir la normativa, es que se busca hacer conciencia en la candidata denunciada sobre el deber de mayor diligencia que debe observar cuando realice manifestaciones que incluyan temas de especial cuidado.</w:t>
      </w:r>
    </w:p>
    <w:p w14:paraId="105F7A90" w14:textId="70B28FB2"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ello, se justifica en el presente asunto la imposición de dicha multa, ya que resulta ser una medida razonable en relación a la gravedad del ilícito y la culpabilidad de la candidata denunciada, pues de imponerse una sanción más grave, podría llegarse al extremo de sancionar de forma excesiva y desproporcionada, en atención a las particularidades de la conducta señalada. </w:t>
      </w:r>
    </w:p>
    <w:p w14:paraId="0D3F97B4" w14:textId="77777777" w:rsidR="009B1C02" w:rsidRPr="009B1C02" w:rsidRDefault="009B1C02">
      <w:pPr>
        <w:spacing w:before="240" w:after="240" w:line="360" w:lineRule="auto"/>
        <w:jc w:val="both"/>
        <w:rPr>
          <w:rFonts w:ascii="Arial" w:eastAsia="Arial" w:hAnsi="Arial" w:cs="Arial"/>
          <w:sz w:val="2"/>
          <w:szCs w:val="2"/>
        </w:rPr>
      </w:pPr>
    </w:p>
    <w:p w14:paraId="6D8A7106" w14:textId="0DDB44FB" w:rsidR="00187EF5" w:rsidRDefault="00745C3F" w:rsidP="00BA0B27">
      <w:pPr>
        <w:numPr>
          <w:ilvl w:val="0"/>
          <w:numId w:val="6"/>
        </w:numPr>
        <w:pBdr>
          <w:top w:val="nil"/>
          <w:left w:val="nil"/>
          <w:bottom w:val="nil"/>
          <w:right w:val="nil"/>
          <w:between w:val="nil"/>
        </w:pBdr>
        <w:tabs>
          <w:tab w:val="left" w:pos="284"/>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Pago de la multa.</w:t>
      </w:r>
      <w:r>
        <w:rPr>
          <w:rFonts w:ascii="Arial" w:eastAsia="Arial" w:hAnsi="Arial" w:cs="Arial"/>
          <w:b/>
          <w:color w:val="000000"/>
          <w:sz w:val="24"/>
          <w:szCs w:val="24"/>
        </w:rPr>
        <w:t xml:space="preserve"> </w:t>
      </w:r>
      <w:r>
        <w:rPr>
          <w:rFonts w:ascii="Arial" w:eastAsia="Arial" w:hAnsi="Arial" w:cs="Arial"/>
          <w:color w:val="000000"/>
          <w:sz w:val="24"/>
          <w:szCs w:val="24"/>
        </w:rPr>
        <w:t xml:space="preserve">El pago de la multa impuesta a la candidata Nora Ruvalcaba Gámez, deberá realizarse en la Dirección Administrativa del Instituto </w:t>
      </w:r>
      <w:r w:rsidR="00416D6B">
        <w:rPr>
          <w:rFonts w:ascii="Arial" w:eastAsia="Arial" w:hAnsi="Arial" w:cs="Arial"/>
          <w:color w:val="000000"/>
          <w:sz w:val="24"/>
          <w:szCs w:val="24"/>
        </w:rPr>
        <w:t>L</w:t>
      </w:r>
      <w:r>
        <w:rPr>
          <w:rFonts w:ascii="Arial" w:eastAsia="Arial" w:hAnsi="Arial" w:cs="Arial"/>
          <w:color w:val="000000"/>
          <w:sz w:val="24"/>
          <w:szCs w:val="24"/>
        </w:rPr>
        <w:t xml:space="preserve">ocal, dentro de los </w:t>
      </w:r>
      <w:r>
        <w:rPr>
          <w:rFonts w:ascii="Arial" w:eastAsia="Arial" w:hAnsi="Arial" w:cs="Arial"/>
          <w:b/>
          <w:color w:val="000000"/>
          <w:sz w:val="24"/>
          <w:szCs w:val="24"/>
        </w:rPr>
        <w:t>cinco días</w:t>
      </w:r>
      <w:r>
        <w:rPr>
          <w:rFonts w:ascii="Arial" w:eastAsia="Arial" w:hAnsi="Arial" w:cs="Arial"/>
          <w:color w:val="000000"/>
          <w:sz w:val="24"/>
          <w:szCs w:val="24"/>
        </w:rPr>
        <w:t xml:space="preserve"> siguientes a que esta sentencia quede firme.</w:t>
      </w:r>
      <w:r>
        <w:rPr>
          <w:color w:val="000000"/>
          <w:vertAlign w:val="superscript"/>
        </w:rPr>
        <w:footnoteReference w:id="21"/>
      </w:r>
    </w:p>
    <w:p w14:paraId="2FF1F78C" w14:textId="77777777" w:rsidR="009B1C02" w:rsidRPr="009B1C02" w:rsidRDefault="009B1C02" w:rsidP="009B1C02">
      <w:pPr>
        <w:pBdr>
          <w:top w:val="nil"/>
          <w:left w:val="nil"/>
          <w:bottom w:val="nil"/>
          <w:right w:val="nil"/>
          <w:between w:val="nil"/>
        </w:pBdr>
        <w:tabs>
          <w:tab w:val="left" w:pos="284"/>
        </w:tabs>
        <w:spacing w:before="240" w:line="360" w:lineRule="auto"/>
        <w:jc w:val="both"/>
        <w:rPr>
          <w:rFonts w:ascii="Arial" w:eastAsia="Arial" w:hAnsi="Arial" w:cs="Arial"/>
          <w:color w:val="000000"/>
          <w:sz w:val="18"/>
          <w:szCs w:val="18"/>
        </w:rPr>
      </w:pPr>
    </w:p>
    <w:p w14:paraId="731EE19F" w14:textId="77777777" w:rsidR="00187EF5" w:rsidRDefault="00745C3F">
      <w:pPr>
        <w:numPr>
          <w:ilvl w:val="0"/>
          <w:numId w:val="6"/>
        </w:numPr>
        <w:pBdr>
          <w:top w:val="nil"/>
          <w:left w:val="nil"/>
          <w:bottom w:val="nil"/>
          <w:right w:val="nil"/>
          <w:between w:val="nil"/>
        </w:pBdr>
        <w:spacing w:after="240" w:line="360" w:lineRule="auto"/>
        <w:ind w:left="284" w:hanging="284"/>
        <w:jc w:val="both"/>
        <w:rPr>
          <w:rFonts w:ascii="Arial" w:eastAsia="Arial" w:hAnsi="Arial" w:cs="Arial"/>
          <w:color w:val="000000"/>
          <w:sz w:val="24"/>
          <w:szCs w:val="24"/>
        </w:rPr>
      </w:pPr>
      <w:r>
        <w:rPr>
          <w:rFonts w:ascii="Arial" w:eastAsia="Arial" w:hAnsi="Arial" w:cs="Arial"/>
          <w:b/>
          <w:color w:val="000000"/>
          <w:sz w:val="24"/>
          <w:szCs w:val="24"/>
          <w:u w:val="single"/>
        </w:rPr>
        <w:t>Culpa in vigilando</w:t>
      </w:r>
    </w:p>
    <w:p w14:paraId="02C28714"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este Tribunal Electoral determina la existencia de la infracción atribuida al Partido Morena, relacionada con la </w:t>
      </w:r>
      <w:r>
        <w:rPr>
          <w:rFonts w:ascii="Arial" w:eastAsia="Arial" w:hAnsi="Arial" w:cs="Arial"/>
          <w:b/>
          <w:sz w:val="24"/>
          <w:szCs w:val="24"/>
        </w:rPr>
        <w:t>omisión</w:t>
      </w:r>
      <w:r>
        <w:rPr>
          <w:rFonts w:ascii="Arial" w:eastAsia="Arial" w:hAnsi="Arial" w:cs="Arial"/>
          <w:sz w:val="24"/>
          <w:szCs w:val="24"/>
        </w:rPr>
        <w:t xml:space="preserve"> a su deber de cuidado en cuanto a la conducta realizada por su candidata a la gubernatura del Estado de Aguascalientes.</w:t>
      </w:r>
    </w:p>
    <w:p w14:paraId="7BC4B68C" w14:textId="77777777" w:rsidR="00187EF5" w:rsidRDefault="00745C3F">
      <w:pPr>
        <w:spacing w:before="240" w:line="360" w:lineRule="auto"/>
        <w:jc w:val="both"/>
        <w:rPr>
          <w:rFonts w:ascii="Arial" w:eastAsia="Arial" w:hAnsi="Arial" w:cs="Arial"/>
          <w:sz w:val="24"/>
          <w:szCs w:val="24"/>
        </w:rPr>
      </w:pPr>
      <w:r>
        <w:rPr>
          <w:rFonts w:ascii="Arial" w:eastAsia="Arial" w:hAnsi="Arial" w:cs="Arial"/>
          <w:sz w:val="24"/>
          <w:szCs w:val="24"/>
        </w:rPr>
        <w:t xml:space="preserve">Lo anterior es así, porque del análisis integral de los hechos denunciados, así como de las pruebas ofrecidas se concluyó que la candidata cuestionada vulneró las reglas en materia de propaganda electoral y, por tanto, </w:t>
      </w:r>
      <w:r>
        <w:rPr>
          <w:rFonts w:ascii="Arial" w:eastAsia="Arial" w:hAnsi="Arial" w:cs="Arial"/>
          <w:b/>
          <w:sz w:val="24"/>
          <w:szCs w:val="24"/>
        </w:rPr>
        <w:t>resulta válido reprochar el incumplimiento al deber de garantes a Morena</w:t>
      </w:r>
      <w:r>
        <w:rPr>
          <w:rFonts w:ascii="Arial" w:eastAsia="Arial" w:hAnsi="Arial" w:cs="Arial"/>
          <w:sz w:val="24"/>
          <w:szCs w:val="24"/>
        </w:rPr>
        <w:t>.</w:t>
      </w:r>
    </w:p>
    <w:p w14:paraId="449C001D" w14:textId="77777777" w:rsidR="00187EF5" w:rsidRDefault="00745C3F">
      <w:pPr>
        <w:spacing w:before="240" w:line="360" w:lineRule="auto"/>
        <w:jc w:val="both"/>
        <w:rPr>
          <w:rFonts w:ascii="Arial" w:eastAsia="Arial" w:hAnsi="Arial" w:cs="Arial"/>
          <w:sz w:val="24"/>
          <w:szCs w:val="24"/>
        </w:rPr>
      </w:pPr>
      <w:r>
        <w:rPr>
          <w:rFonts w:ascii="Arial" w:eastAsia="Arial" w:hAnsi="Arial" w:cs="Arial"/>
          <w:sz w:val="24"/>
          <w:szCs w:val="24"/>
        </w:rPr>
        <w:t>Esto, tomando en cuenta que el referido instituto político tiene el deber de garantizar que las actividades realizadas por sus candidatos y candidatas cumplan con las reglas previstas en el marco normativo vigente.</w:t>
      </w:r>
      <w:r>
        <w:rPr>
          <w:rFonts w:ascii="Arial" w:eastAsia="Arial" w:hAnsi="Arial" w:cs="Arial"/>
          <w:sz w:val="24"/>
          <w:szCs w:val="24"/>
          <w:vertAlign w:val="superscript"/>
        </w:rPr>
        <w:footnoteReference w:id="22"/>
      </w:r>
    </w:p>
    <w:p w14:paraId="2FBD2EA1" w14:textId="77777777" w:rsidR="00187EF5" w:rsidRDefault="00745C3F">
      <w:pPr>
        <w:spacing w:before="240" w:after="240" w:line="360" w:lineRule="auto"/>
        <w:jc w:val="both"/>
        <w:rPr>
          <w:rFonts w:ascii="Arial" w:eastAsia="Arial" w:hAnsi="Arial" w:cs="Arial"/>
          <w:sz w:val="24"/>
          <w:szCs w:val="24"/>
        </w:rPr>
      </w:pPr>
      <w:r>
        <w:rPr>
          <w:rFonts w:ascii="Arial" w:eastAsia="Arial" w:hAnsi="Arial" w:cs="Arial"/>
          <w:sz w:val="24"/>
          <w:szCs w:val="24"/>
        </w:rPr>
        <w:t xml:space="preserve">Por tanto, este órgano jurisdiccional considera necesario imponer a dicho instituto político una sanción consistente en una </w:t>
      </w:r>
      <w:r>
        <w:rPr>
          <w:rFonts w:ascii="Arial" w:eastAsia="Arial" w:hAnsi="Arial" w:cs="Arial"/>
          <w:b/>
          <w:sz w:val="24"/>
          <w:szCs w:val="24"/>
          <w:u w:val="single"/>
        </w:rPr>
        <w:t>amonestación pública</w:t>
      </w:r>
      <w:r>
        <w:rPr>
          <w:rFonts w:ascii="Arial" w:eastAsia="Arial" w:hAnsi="Arial" w:cs="Arial"/>
          <w:sz w:val="24"/>
          <w:szCs w:val="24"/>
        </w:rPr>
        <w:t xml:space="preserve">, en atención a su </w:t>
      </w:r>
      <w:r>
        <w:rPr>
          <w:rFonts w:ascii="Arial" w:eastAsia="Arial" w:hAnsi="Arial" w:cs="Arial"/>
          <w:b/>
          <w:sz w:val="24"/>
          <w:szCs w:val="24"/>
        </w:rPr>
        <w:t xml:space="preserve">omisión de </w:t>
      </w:r>
      <w:r>
        <w:rPr>
          <w:rFonts w:ascii="Arial" w:eastAsia="Arial" w:hAnsi="Arial" w:cs="Arial"/>
          <w:b/>
          <w:sz w:val="24"/>
          <w:szCs w:val="24"/>
        </w:rPr>
        <w:lastRenderedPageBreak/>
        <w:t>cuidar y vigilar</w:t>
      </w:r>
      <w:r>
        <w:rPr>
          <w:rFonts w:ascii="Arial" w:eastAsia="Arial" w:hAnsi="Arial" w:cs="Arial"/>
          <w:sz w:val="24"/>
          <w:szCs w:val="24"/>
        </w:rPr>
        <w:t xml:space="preserve"> que su candidata no vulnerara la normativa. Ello de conformidad al artículo 242, segundo párrafo, fracción I, del Código Electoral.</w:t>
      </w:r>
      <w:r>
        <w:rPr>
          <w:rFonts w:ascii="Arial" w:eastAsia="Arial" w:hAnsi="Arial" w:cs="Arial"/>
          <w:sz w:val="24"/>
          <w:szCs w:val="24"/>
          <w:vertAlign w:val="superscript"/>
        </w:rPr>
        <w:footnoteReference w:id="23"/>
      </w:r>
    </w:p>
    <w:p w14:paraId="07B2A504" w14:textId="77777777" w:rsidR="00187EF5" w:rsidRDefault="00745C3F">
      <w:pPr>
        <w:numPr>
          <w:ilvl w:val="0"/>
          <w:numId w:val="7"/>
        </w:numPr>
        <w:pBdr>
          <w:top w:val="nil"/>
          <w:left w:val="nil"/>
          <w:bottom w:val="nil"/>
          <w:right w:val="nil"/>
          <w:between w:val="nil"/>
        </w:pBdr>
        <w:tabs>
          <w:tab w:val="left" w:pos="284"/>
        </w:tabs>
        <w:spacing w:before="240" w:line="360" w:lineRule="auto"/>
        <w:ind w:left="0" w:firstLine="0"/>
        <w:jc w:val="both"/>
        <w:rPr>
          <w:rFonts w:ascii="Arial" w:eastAsia="Arial" w:hAnsi="Arial" w:cs="Arial"/>
          <w:color w:val="000000"/>
          <w:sz w:val="24"/>
          <w:szCs w:val="24"/>
        </w:rPr>
      </w:pPr>
      <w:r>
        <w:rPr>
          <w:rFonts w:ascii="Arial" w:eastAsia="Arial" w:hAnsi="Arial" w:cs="Arial"/>
          <w:b/>
          <w:color w:val="000000"/>
          <w:sz w:val="24"/>
          <w:szCs w:val="24"/>
          <w:u w:val="single"/>
        </w:rPr>
        <w:t>Publicidad de la sanción.</w:t>
      </w:r>
      <w:r>
        <w:rPr>
          <w:rFonts w:ascii="Arial" w:eastAsia="Arial" w:hAnsi="Arial" w:cs="Arial"/>
          <w:color w:val="000000"/>
          <w:sz w:val="24"/>
          <w:szCs w:val="24"/>
        </w:rPr>
        <w:t xml:space="preserve"> </w:t>
      </w:r>
      <w:r>
        <w:rPr>
          <w:rFonts w:ascii="Arial" w:eastAsia="Arial" w:hAnsi="Arial" w:cs="Arial"/>
          <w:b/>
          <w:color w:val="000000"/>
          <w:sz w:val="24"/>
          <w:szCs w:val="24"/>
        </w:rPr>
        <w:t xml:space="preserve">Publíquese esta sentencia en el Catálogo de Sujetos Sancionados </w:t>
      </w:r>
      <w:r>
        <w:rPr>
          <w:rFonts w:ascii="Arial" w:eastAsia="Arial" w:hAnsi="Arial" w:cs="Arial"/>
          <w:color w:val="000000"/>
          <w:sz w:val="24"/>
          <w:szCs w:val="24"/>
        </w:rPr>
        <w:t>en los Procedimientos Especiales Sancionadores de la página de Internet de este Tribunal Electoral.</w:t>
      </w:r>
    </w:p>
    <w:p w14:paraId="6B714BB7" w14:textId="641351D1" w:rsidR="00187EF5" w:rsidRDefault="00745C3F">
      <w:pPr>
        <w:spacing w:line="360" w:lineRule="auto"/>
        <w:jc w:val="center"/>
        <w:rPr>
          <w:rFonts w:ascii="Arial" w:eastAsia="Arial" w:hAnsi="Arial" w:cs="Arial"/>
          <w:b/>
          <w:sz w:val="24"/>
          <w:szCs w:val="24"/>
        </w:rPr>
      </w:pPr>
      <w:r>
        <w:rPr>
          <w:rFonts w:ascii="Arial" w:eastAsia="Arial" w:hAnsi="Arial" w:cs="Arial"/>
          <w:b/>
          <w:sz w:val="24"/>
          <w:szCs w:val="24"/>
        </w:rPr>
        <w:t>V</w:t>
      </w:r>
      <w:r w:rsidR="00F90427">
        <w:rPr>
          <w:rFonts w:ascii="Arial" w:eastAsia="Arial" w:hAnsi="Arial" w:cs="Arial"/>
          <w:b/>
          <w:sz w:val="24"/>
          <w:szCs w:val="24"/>
        </w:rPr>
        <w:t>II</w:t>
      </w:r>
      <w:r>
        <w:rPr>
          <w:rFonts w:ascii="Arial" w:eastAsia="Arial" w:hAnsi="Arial" w:cs="Arial"/>
          <w:b/>
          <w:sz w:val="24"/>
          <w:szCs w:val="24"/>
        </w:rPr>
        <w:t>I. Resolutivos:</w:t>
      </w:r>
    </w:p>
    <w:p w14:paraId="74728D55" w14:textId="77777777" w:rsidR="00187EF5" w:rsidRDefault="00187EF5">
      <w:pPr>
        <w:pBdr>
          <w:top w:val="nil"/>
          <w:left w:val="nil"/>
          <w:bottom w:val="nil"/>
          <w:right w:val="nil"/>
          <w:between w:val="nil"/>
        </w:pBdr>
        <w:rPr>
          <w:color w:val="000000"/>
        </w:rPr>
      </w:pPr>
    </w:p>
    <w:p w14:paraId="69A4FEC5" w14:textId="77777777" w:rsidR="00187EF5" w:rsidRDefault="00745C3F">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w:t>
      </w:r>
      <w:r>
        <w:rPr>
          <w:rFonts w:ascii="Arial" w:eastAsia="Arial" w:hAnsi="Arial" w:cs="Arial"/>
          <w:b/>
          <w:sz w:val="24"/>
          <w:szCs w:val="24"/>
        </w:rPr>
        <w:t xml:space="preserve">acredita </w:t>
      </w:r>
      <w:r>
        <w:rPr>
          <w:rFonts w:ascii="Arial" w:eastAsia="Arial" w:hAnsi="Arial" w:cs="Arial"/>
          <w:sz w:val="24"/>
          <w:szCs w:val="24"/>
        </w:rPr>
        <w:t>la infracción atribuida a Nora Ruvalcaba Gámez.</w:t>
      </w:r>
    </w:p>
    <w:p w14:paraId="79CEC65F" w14:textId="77777777" w:rsidR="00187EF5" w:rsidRDefault="00187EF5">
      <w:pPr>
        <w:pBdr>
          <w:top w:val="nil"/>
          <w:left w:val="nil"/>
          <w:bottom w:val="nil"/>
          <w:right w:val="nil"/>
          <w:between w:val="nil"/>
        </w:pBdr>
        <w:rPr>
          <w:color w:val="000000"/>
        </w:rPr>
      </w:pPr>
    </w:p>
    <w:p w14:paraId="0C9D1F8E" w14:textId="77777777" w:rsidR="00187EF5" w:rsidRDefault="00745C3F">
      <w:pPr>
        <w:spacing w:line="360" w:lineRule="auto"/>
        <w:jc w:val="both"/>
        <w:rPr>
          <w:rFonts w:ascii="Arial" w:eastAsia="Arial" w:hAnsi="Arial" w:cs="Arial"/>
          <w:sz w:val="24"/>
          <w:szCs w:val="24"/>
        </w:rPr>
      </w:pPr>
      <w:r>
        <w:rPr>
          <w:rFonts w:ascii="Arial" w:eastAsia="Arial" w:hAnsi="Arial" w:cs="Arial"/>
          <w:b/>
          <w:sz w:val="24"/>
          <w:szCs w:val="24"/>
        </w:rPr>
        <w:t>Segundo.</w:t>
      </w:r>
      <w:r>
        <w:rPr>
          <w:rFonts w:ascii="Arial" w:eastAsia="Arial" w:hAnsi="Arial" w:cs="Arial"/>
          <w:sz w:val="24"/>
          <w:szCs w:val="24"/>
        </w:rPr>
        <w:t xml:space="preserve"> Se impone a Nora Ruvalcaba Gámez, la sanción consistente en una </w:t>
      </w:r>
      <w:r>
        <w:rPr>
          <w:rFonts w:ascii="Arial" w:eastAsia="Arial" w:hAnsi="Arial" w:cs="Arial"/>
          <w:b/>
          <w:sz w:val="24"/>
          <w:szCs w:val="24"/>
        </w:rPr>
        <w:t xml:space="preserve">multa </w:t>
      </w:r>
      <w:r>
        <w:rPr>
          <w:rFonts w:ascii="Arial" w:eastAsia="Arial" w:hAnsi="Arial" w:cs="Arial"/>
          <w:sz w:val="24"/>
          <w:szCs w:val="24"/>
        </w:rPr>
        <w:t>de 40 UMAS (Cuarenta Unidades de Medida y Actualización) equivalente a $3,848.80 (Tres mil ochocientos cuarenta y ocho pesos 80/100 M.N.)</w:t>
      </w:r>
    </w:p>
    <w:p w14:paraId="02D03393" w14:textId="77777777" w:rsidR="00187EF5" w:rsidRPr="00BA0B27" w:rsidRDefault="00187EF5">
      <w:pPr>
        <w:spacing w:line="360" w:lineRule="auto"/>
        <w:jc w:val="both"/>
        <w:rPr>
          <w:sz w:val="16"/>
          <w:szCs w:val="16"/>
        </w:rPr>
      </w:pPr>
    </w:p>
    <w:p w14:paraId="08574F98" w14:textId="77777777" w:rsidR="00187EF5" w:rsidRDefault="00745C3F">
      <w:pPr>
        <w:spacing w:line="360" w:lineRule="auto"/>
        <w:jc w:val="both"/>
        <w:rPr>
          <w:rFonts w:ascii="Arial" w:eastAsia="Arial" w:hAnsi="Arial" w:cs="Arial"/>
          <w:sz w:val="24"/>
          <w:szCs w:val="24"/>
        </w:rPr>
      </w:pPr>
      <w:r>
        <w:rPr>
          <w:rFonts w:ascii="Arial" w:eastAsia="Arial" w:hAnsi="Arial" w:cs="Arial"/>
          <w:b/>
          <w:sz w:val="24"/>
          <w:szCs w:val="24"/>
        </w:rPr>
        <w:t xml:space="preserve">Tercero. </w:t>
      </w:r>
      <w:r>
        <w:rPr>
          <w:rFonts w:ascii="Arial" w:eastAsia="Arial" w:hAnsi="Arial" w:cs="Arial"/>
          <w:sz w:val="24"/>
          <w:szCs w:val="24"/>
        </w:rPr>
        <w:t xml:space="preserve">Se declara la </w:t>
      </w:r>
      <w:r>
        <w:rPr>
          <w:rFonts w:ascii="Arial" w:eastAsia="Arial" w:hAnsi="Arial" w:cs="Arial"/>
          <w:b/>
          <w:sz w:val="24"/>
          <w:szCs w:val="24"/>
        </w:rPr>
        <w:t xml:space="preserve">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Morena.</w:t>
      </w:r>
    </w:p>
    <w:p w14:paraId="18952EC0" w14:textId="77777777" w:rsidR="00187EF5" w:rsidRDefault="00745C3F">
      <w:pPr>
        <w:spacing w:before="240" w:line="360" w:lineRule="auto"/>
        <w:jc w:val="both"/>
        <w:rPr>
          <w:rFonts w:ascii="Arial" w:eastAsia="Arial" w:hAnsi="Arial" w:cs="Arial"/>
          <w:sz w:val="24"/>
          <w:szCs w:val="24"/>
        </w:rPr>
      </w:pPr>
      <w:r>
        <w:rPr>
          <w:rFonts w:ascii="Arial" w:eastAsia="Arial" w:hAnsi="Arial" w:cs="Arial"/>
          <w:b/>
          <w:sz w:val="24"/>
          <w:szCs w:val="24"/>
        </w:rPr>
        <w:t xml:space="preserve">Cuarto. </w:t>
      </w:r>
      <w:r>
        <w:rPr>
          <w:rFonts w:ascii="Arial" w:eastAsia="Arial" w:hAnsi="Arial" w:cs="Arial"/>
          <w:sz w:val="24"/>
          <w:szCs w:val="24"/>
        </w:rPr>
        <w:t xml:space="preserve">Se </w:t>
      </w:r>
      <w:r>
        <w:rPr>
          <w:rFonts w:ascii="Arial" w:eastAsia="Arial" w:hAnsi="Arial" w:cs="Arial"/>
          <w:b/>
          <w:sz w:val="24"/>
          <w:szCs w:val="24"/>
        </w:rPr>
        <w:t>impone una amonestación pública</w:t>
      </w:r>
      <w:r>
        <w:rPr>
          <w:rFonts w:ascii="Arial" w:eastAsia="Arial" w:hAnsi="Arial" w:cs="Arial"/>
          <w:sz w:val="24"/>
          <w:szCs w:val="24"/>
        </w:rPr>
        <w:t xml:space="preserve"> al partido político Morena. </w:t>
      </w:r>
    </w:p>
    <w:p w14:paraId="2E2F2C85" w14:textId="77777777" w:rsidR="00187EF5" w:rsidRDefault="00187EF5">
      <w:pPr>
        <w:pBdr>
          <w:top w:val="nil"/>
          <w:left w:val="nil"/>
          <w:bottom w:val="nil"/>
          <w:right w:val="nil"/>
          <w:between w:val="nil"/>
        </w:pBdr>
        <w:rPr>
          <w:color w:val="000000"/>
        </w:rPr>
      </w:pPr>
    </w:p>
    <w:p w14:paraId="62CBBE6C" w14:textId="77777777" w:rsidR="00187EF5" w:rsidRDefault="00745C3F">
      <w:pPr>
        <w:spacing w:line="360" w:lineRule="auto"/>
        <w:jc w:val="both"/>
        <w:rPr>
          <w:rFonts w:ascii="Arial" w:eastAsia="Arial" w:hAnsi="Arial" w:cs="Arial"/>
          <w:sz w:val="24"/>
          <w:szCs w:val="24"/>
        </w:rPr>
      </w:pPr>
      <w:r>
        <w:rPr>
          <w:rFonts w:ascii="Arial" w:eastAsia="Arial" w:hAnsi="Arial" w:cs="Arial"/>
          <w:b/>
          <w:sz w:val="24"/>
          <w:szCs w:val="24"/>
        </w:rPr>
        <w:t xml:space="preserve">Quinto. </w:t>
      </w:r>
      <w:r>
        <w:rPr>
          <w:rFonts w:ascii="Arial" w:eastAsia="Arial" w:hAnsi="Arial" w:cs="Arial"/>
          <w:sz w:val="24"/>
          <w:szCs w:val="24"/>
        </w:rPr>
        <w:t>Publíquese en la página de internet de este Tribunal, en el catálogo de sujetos sancionados de los Procedimientos Especiales Sancionadores.</w:t>
      </w:r>
    </w:p>
    <w:p w14:paraId="3D551E19" w14:textId="77777777" w:rsidR="00187EF5" w:rsidRDefault="00187EF5">
      <w:pPr>
        <w:pBdr>
          <w:top w:val="nil"/>
          <w:left w:val="nil"/>
          <w:bottom w:val="nil"/>
          <w:right w:val="nil"/>
          <w:between w:val="nil"/>
        </w:pBdr>
        <w:rPr>
          <w:color w:val="000000"/>
        </w:rPr>
      </w:pPr>
    </w:p>
    <w:p w14:paraId="03FCA1E3" w14:textId="77777777" w:rsidR="009B1C02" w:rsidRDefault="009B1C02">
      <w:pPr>
        <w:rPr>
          <w:rFonts w:ascii="Arial" w:eastAsia="Arial" w:hAnsi="Arial" w:cs="Arial"/>
          <w:b/>
          <w:color w:val="000000"/>
          <w:sz w:val="24"/>
          <w:szCs w:val="24"/>
        </w:rPr>
      </w:pPr>
      <w:r>
        <w:rPr>
          <w:rFonts w:ascii="Arial" w:eastAsia="Arial" w:hAnsi="Arial" w:cs="Arial"/>
          <w:b/>
          <w:color w:val="000000"/>
          <w:sz w:val="24"/>
          <w:szCs w:val="24"/>
        </w:rPr>
        <w:br w:type="page"/>
      </w:r>
    </w:p>
    <w:p w14:paraId="0570739C" w14:textId="2DC1EF0D" w:rsidR="00187EF5" w:rsidRDefault="00745C3F">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Notifíquese. </w:t>
      </w:r>
    </w:p>
    <w:p w14:paraId="460FE8EF" w14:textId="77777777" w:rsidR="00187EF5" w:rsidRDefault="00187EF5">
      <w:pPr>
        <w:pBdr>
          <w:top w:val="nil"/>
          <w:left w:val="nil"/>
          <w:bottom w:val="nil"/>
          <w:right w:val="nil"/>
          <w:between w:val="nil"/>
        </w:pBdr>
        <w:rPr>
          <w:color w:val="000000"/>
        </w:rPr>
      </w:pPr>
    </w:p>
    <w:p w14:paraId="6B67FAAE" w14:textId="77777777" w:rsidR="00187EF5" w:rsidRDefault="00745C3F">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Magistrado en funciones que lo integran, ante el Secretario General de Acuerdos, quien autoriza y da fe.</w:t>
      </w:r>
    </w:p>
    <w:p w14:paraId="5EDDD8BA" w14:textId="77777777" w:rsidR="00187EF5" w:rsidRDefault="00187EF5">
      <w:pPr>
        <w:pBdr>
          <w:top w:val="nil"/>
          <w:left w:val="nil"/>
          <w:bottom w:val="nil"/>
          <w:right w:val="nil"/>
          <w:between w:val="nil"/>
        </w:pBdr>
        <w:rPr>
          <w:color w:val="000000"/>
        </w:rPr>
      </w:pPr>
    </w:p>
    <w:tbl>
      <w:tblPr>
        <w:tblStyle w:val="a4"/>
        <w:tblW w:w="9120" w:type="dxa"/>
        <w:jc w:val="center"/>
        <w:tblInd w:w="0" w:type="dxa"/>
        <w:tblLayout w:type="fixed"/>
        <w:tblLook w:val="0400" w:firstRow="0" w:lastRow="0" w:firstColumn="0" w:lastColumn="0" w:noHBand="0" w:noVBand="1"/>
      </w:tblPr>
      <w:tblGrid>
        <w:gridCol w:w="4559"/>
        <w:gridCol w:w="4561"/>
      </w:tblGrid>
      <w:tr w:rsidR="00187EF5" w14:paraId="62965ECB" w14:textId="77777777">
        <w:trPr>
          <w:trHeight w:val="1211"/>
          <w:jc w:val="center"/>
        </w:trPr>
        <w:tc>
          <w:tcPr>
            <w:tcW w:w="9120" w:type="dxa"/>
            <w:gridSpan w:val="2"/>
          </w:tcPr>
          <w:p w14:paraId="7FD02E7C" w14:textId="77777777" w:rsidR="00187EF5" w:rsidRDefault="00745C3F">
            <w:pPr>
              <w:spacing w:line="360" w:lineRule="auto"/>
              <w:jc w:val="center"/>
              <w:rPr>
                <w:rFonts w:ascii="Arial" w:eastAsia="Arial" w:hAnsi="Arial" w:cs="Arial"/>
                <w:b/>
                <w:color w:val="000000"/>
                <w:sz w:val="24"/>
                <w:szCs w:val="24"/>
              </w:rPr>
            </w:pPr>
            <w:bookmarkStart w:id="4" w:name="_heading=h.3znysh7" w:colFirst="0" w:colLast="0"/>
            <w:bookmarkEnd w:id="4"/>
            <w:r>
              <w:rPr>
                <w:rFonts w:ascii="Arial" w:eastAsia="Arial" w:hAnsi="Arial" w:cs="Arial"/>
                <w:b/>
                <w:color w:val="000000"/>
                <w:sz w:val="24"/>
                <w:szCs w:val="24"/>
              </w:rPr>
              <w:t>MAGISTRADA PRESIDENTA</w:t>
            </w:r>
          </w:p>
          <w:p w14:paraId="70943FDC" w14:textId="77777777" w:rsidR="00187EF5" w:rsidRDefault="00187EF5">
            <w:pPr>
              <w:pBdr>
                <w:top w:val="nil"/>
                <w:left w:val="nil"/>
                <w:bottom w:val="nil"/>
                <w:right w:val="nil"/>
                <w:between w:val="nil"/>
              </w:pBdr>
              <w:rPr>
                <w:color w:val="000000"/>
                <w:sz w:val="24"/>
                <w:szCs w:val="24"/>
              </w:rPr>
            </w:pPr>
          </w:p>
          <w:p w14:paraId="0262BBA9" w14:textId="77777777" w:rsidR="00187EF5" w:rsidRDefault="00745C3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p w14:paraId="20C5E2B1" w14:textId="77777777" w:rsidR="00187EF5" w:rsidRDefault="00187EF5">
            <w:pPr>
              <w:spacing w:line="360" w:lineRule="auto"/>
              <w:jc w:val="center"/>
              <w:rPr>
                <w:rFonts w:ascii="Arial" w:eastAsia="Arial" w:hAnsi="Arial" w:cs="Arial"/>
                <w:b/>
                <w:color w:val="000000"/>
                <w:sz w:val="24"/>
                <w:szCs w:val="24"/>
              </w:rPr>
            </w:pPr>
          </w:p>
        </w:tc>
      </w:tr>
      <w:tr w:rsidR="00187EF5" w14:paraId="787BCC7B" w14:textId="77777777">
        <w:trPr>
          <w:trHeight w:val="1549"/>
          <w:jc w:val="center"/>
        </w:trPr>
        <w:tc>
          <w:tcPr>
            <w:tcW w:w="4559" w:type="dxa"/>
          </w:tcPr>
          <w:p w14:paraId="3DBF6EF5" w14:textId="77777777" w:rsidR="00187EF5" w:rsidRDefault="00745C3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74108557" w14:textId="77777777" w:rsidR="00187EF5" w:rsidRDefault="00187EF5">
            <w:pPr>
              <w:pBdr>
                <w:top w:val="nil"/>
                <w:left w:val="nil"/>
                <w:bottom w:val="nil"/>
                <w:right w:val="nil"/>
                <w:between w:val="nil"/>
              </w:pBdr>
              <w:rPr>
                <w:color w:val="000000"/>
                <w:sz w:val="24"/>
                <w:szCs w:val="24"/>
              </w:rPr>
            </w:pPr>
          </w:p>
          <w:p w14:paraId="38D860BA" w14:textId="77777777" w:rsidR="00187EF5" w:rsidRDefault="00745C3F">
            <w:pPr>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60039ECD" w14:textId="77777777" w:rsidR="00187EF5" w:rsidRDefault="00745C3F">
            <w:pPr>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05F01982" w14:textId="77777777" w:rsidR="00187EF5" w:rsidRDefault="00745C3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MAGISTRADO </w:t>
            </w:r>
          </w:p>
          <w:p w14:paraId="670F4D71" w14:textId="77777777" w:rsidR="00187EF5" w:rsidRDefault="00187EF5">
            <w:pPr>
              <w:rPr>
                <w:sz w:val="28"/>
                <w:szCs w:val="28"/>
              </w:rPr>
            </w:pPr>
          </w:p>
          <w:p w14:paraId="511AD140" w14:textId="77777777" w:rsidR="00187EF5" w:rsidRDefault="00745C3F">
            <w:pPr>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p>
          <w:p w14:paraId="0CDA5EFE" w14:textId="77777777" w:rsidR="00187EF5" w:rsidRDefault="00745C3F">
            <w:pPr>
              <w:jc w:val="center"/>
              <w:rPr>
                <w:rFonts w:ascii="Arial" w:eastAsia="Arial" w:hAnsi="Arial" w:cs="Arial"/>
                <w:b/>
                <w:color w:val="000000"/>
                <w:sz w:val="24"/>
                <w:szCs w:val="24"/>
              </w:rPr>
            </w:pPr>
            <w:r>
              <w:rPr>
                <w:rFonts w:ascii="Arial" w:eastAsia="Arial" w:hAnsi="Arial" w:cs="Arial"/>
                <w:b/>
                <w:color w:val="000000"/>
                <w:sz w:val="24"/>
                <w:szCs w:val="24"/>
              </w:rPr>
              <w:t>HERNÁNDEZ GALLEGOS</w:t>
            </w:r>
          </w:p>
          <w:p w14:paraId="307AE87A" w14:textId="77777777" w:rsidR="00187EF5" w:rsidRDefault="00187EF5">
            <w:pPr>
              <w:jc w:val="center"/>
              <w:rPr>
                <w:rFonts w:ascii="Arial" w:eastAsia="Arial" w:hAnsi="Arial" w:cs="Arial"/>
                <w:b/>
                <w:color w:val="000000"/>
                <w:sz w:val="24"/>
                <w:szCs w:val="24"/>
              </w:rPr>
            </w:pPr>
          </w:p>
          <w:p w14:paraId="76355E9E" w14:textId="77777777" w:rsidR="00187EF5" w:rsidRDefault="00187EF5">
            <w:pPr>
              <w:rPr>
                <w:sz w:val="24"/>
                <w:szCs w:val="24"/>
              </w:rPr>
            </w:pPr>
          </w:p>
        </w:tc>
      </w:tr>
      <w:tr w:rsidR="00187EF5" w14:paraId="78658342" w14:textId="77777777">
        <w:trPr>
          <w:jc w:val="center"/>
        </w:trPr>
        <w:tc>
          <w:tcPr>
            <w:tcW w:w="9120" w:type="dxa"/>
            <w:gridSpan w:val="2"/>
          </w:tcPr>
          <w:p w14:paraId="406078E7" w14:textId="77777777" w:rsidR="00187EF5" w:rsidRDefault="00745C3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p>
          <w:p w14:paraId="500B1740" w14:textId="77777777" w:rsidR="00187EF5" w:rsidRDefault="00187EF5">
            <w:pPr>
              <w:pBdr>
                <w:top w:val="nil"/>
                <w:left w:val="nil"/>
                <w:bottom w:val="nil"/>
                <w:right w:val="nil"/>
                <w:between w:val="nil"/>
              </w:pBdr>
              <w:rPr>
                <w:color w:val="000000"/>
                <w:sz w:val="24"/>
                <w:szCs w:val="24"/>
              </w:rPr>
            </w:pPr>
          </w:p>
          <w:p w14:paraId="5487CA37" w14:textId="77777777" w:rsidR="00187EF5" w:rsidRDefault="00745C3F">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JESUS OCIEL BAENA SAUCEDO </w:t>
            </w:r>
          </w:p>
        </w:tc>
      </w:tr>
    </w:tbl>
    <w:p w14:paraId="69696EAA" w14:textId="77777777" w:rsidR="00187EF5" w:rsidRDefault="00187EF5">
      <w:pPr>
        <w:spacing w:line="360" w:lineRule="auto"/>
        <w:rPr>
          <w:rFonts w:ascii="Arial" w:eastAsia="Arial" w:hAnsi="Arial" w:cs="Arial"/>
          <w:sz w:val="24"/>
          <w:szCs w:val="24"/>
        </w:rPr>
      </w:pPr>
    </w:p>
    <w:p w14:paraId="0CC75AFC" w14:textId="77777777" w:rsidR="00187EF5" w:rsidRDefault="00187EF5">
      <w:pPr>
        <w:spacing w:before="240" w:after="240" w:line="360" w:lineRule="auto"/>
        <w:jc w:val="both"/>
        <w:rPr>
          <w:highlight w:val="yellow"/>
        </w:rPr>
      </w:pPr>
    </w:p>
    <w:sectPr w:rsidR="00187EF5">
      <w:headerReference w:type="even" r:id="rId21"/>
      <w:headerReference w:type="default" r:id="rId22"/>
      <w:footerReference w:type="even" r:id="rId23"/>
      <w:footerReference w:type="default" r:id="rId24"/>
      <w:headerReference w:type="first" r:id="rId25"/>
      <w:footerReference w:type="first" r:id="rId26"/>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58FBB" w14:textId="77777777" w:rsidR="00E75861" w:rsidRDefault="00E75861">
      <w:r>
        <w:separator/>
      </w:r>
    </w:p>
  </w:endnote>
  <w:endnote w:type="continuationSeparator" w:id="0">
    <w:p w14:paraId="6AF74957" w14:textId="77777777" w:rsidR="00E75861" w:rsidRDefault="00E75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586BE" w14:textId="77777777" w:rsidR="00187EF5" w:rsidRDefault="00187EF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0DB26" w14:textId="77777777" w:rsidR="00187EF5" w:rsidRDefault="00187EF5">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8298" w14:textId="77777777" w:rsidR="00187EF5" w:rsidRDefault="00187EF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ACCCD" w14:textId="77777777" w:rsidR="00E75861" w:rsidRDefault="00E75861">
      <w:r>
        <w:separator/>
      </w:r>
    </w:p>
  </w:footnote>
  <w:footnote w:type="continuationSeparator" w:id="0">
    <w:p w14:paraId="0A413CB8" w14:textId="77777777" w:rsidR="00E75861" w:rsidRDefault="00E75861">
      <w:r>
        <w:continuationSeparator/>
      </w:r>
    </w:p>
  </w:footnote>
  <w:footnote w:id="1">
    <w:p w14:paraId="5BEF7A35" w14:textId="77777777" w:rsidR="00187EF5" w:rsidRDefault="00745C3F">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0D301A53"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096E982E"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Intercampaña: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72D0CEC3"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5">
    <w:p w14:paraId="4F98F591"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Véase la resolución SUP-AG-142/2021. </w:t>
      </w:r>
    </w:p>
  </w:footnote>
  <w:footnote w:id="6">
    <w:p w14:paraId="3A1196B7"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4FCFB88E" w14:textId="77777777" w:rsidR="00187EF5" w:rsidRDefault="00745C3F">
      <w:pPr>
        <w:jc w:val="both"/>
        <w:rPr>
          <w:rFonts w:ascii="Arial" w:eastAsia="Arial" w:hAnsi="Arial" w:cs="Arial"/>
        </w:rPr>
      </w:pPr>
      <w:r>
        <w:rPr>
          <w:rFonts w:ascii="Arial" w:eastAsia="Arial" w:hAnsi="Arial" w:cs="Arial"/>
        </w:rPr>
        <w:t>II. Los hechos denunciados no constituyan una violación en materia de propaganda político-electivo;</w:t>
      </w:r>
    </w:p>
    <w:p w14:paraId="6EE803C3" w14:textId="77777777" w:rsidR="00187EF5" w:rsidRDefault="00745C3F">
      <w:pPr>
        <w:jc w:val="both"/>
        <w:rPr>
          <w:rFonts w:ascii="Arial" w:eastAsia="Arial" w:hAnsi="Arial" w:cs="Arial"/>
        </w:rPr>
      </w:pPr>
      <w:r>
        <w:rPr>
          <w:rFonts w:ascii="Arial" w:eastAsia="Arial" w:hAnsi="Arial" w:cs="Arial"/>
        </w:rPr>
        <w:t>III. El denunciante no aporte ni ofrezca prueba alguna de sus dichos; […]</w:t>
      </w:r>
    </w:p>
    <w:p w14:paraId="55E54A6C" w14:textId="77777777" w:rsidR="00187EF5" w:rsidRDefault="00745C3F">
      <w:pPr>
        <w:jc w:val="both"/>
        <w:rPr>
          <w:rFonts w:ascii="Arial" w:eastAsia="Arial" w:hAnsi="Arial" w:cs="Arial"/>
        </w:rPr>
      </w:pPr>
      <w:r>
        <w:rPr>
          <w:rFonts w:ascii="Arial" w:eastAsia="Arial" w:hAnsi="Arial" w:cs="Arial"/>
        </w:rPr>
        <w:t>V. La denuncia sea evidentemente frívola. […]</w:t>
      </w:r>
    </w:p>
    <w:p w14:paraId="5864F15E" w14:textId="77777777" w:rsidR="00187EF5" w:rsidRDefault="00187EF5">
      <w:pPr>
        <w:rPr>
          <w:rFonts w:ascii="Arial" w:eastAsia="Arial" w:hAnsi="Arial" w:cs="Arial"/>
        </w:rPr>
      </w:pPr>
    </w:p>
  </w:footnote>
  <w:footnote w:id="7">
    <w:p w14:paraId="338C7EB6" w14:textId="77777777" w:rsidR="00187EF5" w:rsidRDefault="00745C3F">
      <w:pPr>
        <w:pBdr>
          <w:top w:val="nil"/>
          <w:left w:val="nil"/>
          <w:bottom w:val="nil"/>
          <w:right w:val="nil"/>
          <w:between w:val="nil"/>
        </w:pBdr>
        <w:jc w:val="both"/>
        <w:rPr>
          <w:rFonts w:ascii="Arial" w:eastAsia="Arial" w:hAnsi="Arial" w:cs="Arial"/>
          <w:i/>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 xml:space="preserve">Prueba técnica: </w:t>
      </w:r>
      <w:r>
        <w:rPr>
          <w:rFonts w:ascii="Arial" w:eastAsia="Arial" w:hAnsi="Arial" w:cs="Arial"/>
          <w:color w:val="000000"/>
        </w:rPr>
        <w:t>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2FE5E49C" w14:textId="77777777" w:rsidR="00187EF5" w:rsidRDefault="00745C3F">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 </w:t>
      </w:r>
    </w:p>
    <w:p w14:paraId="217FFC01" w14:textId="77777777" w:rsidR="00187EF5" w:rsidRDefault="00745C3F">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p w14:paraId="45F38935" w14:textId="77777777" w:rsidR="00187EF5" w:rsidRDefault="00187EF5">
      <w:pPr>
        <w:pBdr>
          <w:top w:val="nil"/>
          <w:left w:val="nil"/>
          <w:bottom w:val="nil"/>
          <w:right w:val="nil"/>
          <w:between w:val="nil"/>
        </w:pBdr>
        <w:rPr>
          <w:rFonts w:ascii="Arial" w:eastAsia="Arial" w:hAnsi="Arial" w:cs="Arial"/>
          <w:color w:val="000000"/>
        </w:rPr>
      </w:pPr>
    </w:p>
  </w:footnote>
  <w:footnote w:id="8">
    <w:p w14:paraId="2AE37DBD"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footnote>
  <w:footnote w:id="9">
    <w:p w14:paraId="745B7A13"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Apartado C. En la propaganda política o electoral que difundan los partidos y candidatos deberán abstenerse de expresiones que calumnien a las personas</w:t>
      </w:r>
    </w:p>
  </w:footnote>
  <w:footnote w:id="10">
    <w:p w14:paraId="74671081"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11">
    <w:p w14:paraId="30F10A64" w14:textId="77777777" w:rsidR="00187EF5" w:rsidRDefault="00745C3F">
      <w:pPr>
        <w:jc w:val="both"/>
      </w:pPr>
      <w:r>
        <w:rPr>
          <w:vertAlign w:val="superscript"/>
        </w:rPr>
        <w:footnoteRef/>
      </w:r>
      <w:r>
        <w:rPr>
          <w:rFonts w:ascii="Arial" w:eastAsia="Arial" w:hAnsi="Arial" w:cs="Arial"/>
        </w:rPr>
        <w:t xml:space="preserve"> Véase la resolución de la Acción de Inconstitucionalidad 64/2015 y sus acumuladas 65/2015, 66/2015, 68/2015 y 70/2015 (Ley de Instituciones y Procedimientos Electorales del Estado de Sinaloa), y la resolución de la Acción de Inconstitucionalidad 129/2015 y sus acumuladas 130/2015, 131/2015, 132/2015, 133/2015 y 137/2015 (Ley Electoral del estado de Quintana Roo.)</w:t>
      </w:r>
    </w:p>
  </w:footnote>
  <w:footnote w:id="12">
    <w:p w14:paraId="2A287CF7" w14:textId="77777777" w:rsidR="00187EF5" w:rsidRDefault="00745C3F">
      <w:r>
        <w:rPr>
          <w:vertAlign w:val="superscript"/>
        </w:rPr>
        <w:footnoteRef/>
      </w:r>
      <w:r>
        <w:t xml:space="preserve"> </w:t>
      </w:r>
      <w:r>
        <w:rPr>
          <w:rFonts w:ascii="Arial" w:eastAsia="Arial" w:hAnsi="Arial" w:cs="Arial"/>
        </w:rPr>
        <w:t>Véase el asunto SUP-REP-042/2018.</w:t>
      </w:r>
    </w:p>
  </w:footnote>
  <w:footnote w:id="13">
    <w:p w14:paraId="6E4ED303"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Artículo 140.- Robo. El Robo consiste en: </w:t>
      </w:r>
    </w:p>
    <w:p w14:paraId="61021EA3" w14:textId="77777777" w:rsidR="00187EF5" w:rsidRDefault="00745C3F">
      <w:pPr>
        <w:jc w:val="both"/>
        <w:rPr>
          <w:rFonts w:ascii="Arial" w:eastAsia="Arial" w:hAnsi="Arial" w:cs="Arial"/>
        </w:rPr>
      </w:pPr>
      <w:r>
        <w:rPr>
          <w:rFonts w:ascii="Arial" w:eastAsia="Arial" w:hAnsi="Arial" w:cs="Arial"/>
        </w:rPr>
        <w:t xml:space="preserve">I. El apoderamiento de una cosa ajena mueble, dinero o valores, sin derecho y sin consentimiento de la persona que puede disponer de ella con arreglo a la ley; </w:t>
      </w:r>
    </w:p>
    <w:p w14:paraId="295E397E" w14:textId="77777777" w:rsidR="00187EF5" w:rsidRDefault="00745C3F">
      <w:pPr>
        <w:jc w:val="both"/>
        <w:rPr>
          <w:rFonts w:ascii="Arial" w:eastAsia="Arial" w:hAnsi="Arial" w:cs="Arial"/>
        </w:rPr>
      </w:pPr>
      <w:r>
        <w:rPr>
          <w:rFonts w:ascii="Arial" w:eastAsia="Arial" w:hAnsi="Arial" w:cs="Arial"/>
        </w:rPr>
        <w:t>II. El apoderamiento de cosa propia, dinero o valores, cuando éstos se hallen en poder de otra persona por cualquier título legítimo, en la medida que ello afecte el patrimonio de quien los detente; o</w:t>
      </w:r>
    </w:p>
    <w:p w14:paraId="1ED06E4B" w14:textId="77777777" w:rsidR="00187EF5" w:rsidRDefault="00745C3F">
      <w:pPr>
        <w:jc w:val="both"/>
        <w:rPr>
          <w:rFonts w:ascii="Arial" w:eastAsia="Arial" w:hAnsi="Arial" w:cs="Arial"/>
        </w:rPr>
      </w:pPr>
      <w:r>
        <w:rPr>
          <w:rFonts w:ascii="Arial" w:eastAsia="Arial" w:hAnsi="Arial" w:cs="Arial"/>
        </w:rPr>
        <w:t>III. El aprovechamiento de energía eléctrica, agua, gas, servicio telefónico, servicio de Internet o de imagen televisiva, sin consentimiento de la persona que legalmente pueda disponer de ellos. [...]</w:t>
      </w:r>
    </w:p>
  </w:footnote>
  <w:footnote w:id="14">
    <w:p w14:paraId="08DE5154" w14:textId="78969F5E" w:rsidR="00094E3C" w:rsidRDefault="00094E3C" w:rsidP="00094E3C">
      <w:pPr>
        <w:pStyle w:val="Textonotapie"/>
        <w:jc w:val="both"/>
      </w:pPr>
      <w:r>
        <w:rPr>
          <w:rStyle w:val="Refdenotaalpie"/>
        </w:rPr>
        <w:footnoteRef/>
      </w:r>
      <w:r>
        <w:t xml:space="preserve"> </w:t>
      </w:r>
      <w:r w:rsidRPr="00094E3C">
        <w:rPr>
          <w:rFonts w:ascii="Arial" w:hAnsi="Arial" w:cs="Arial"/>
        </w:rPr>
        <w:t>Véase asunto SUP-JE-72/2022 y SUP-JE-73/2022, acumulados.</w:t>
      </w:r>
      <w:r>
        <w:t xml:space="preserve"> </w:t>
      </w:r>
    </w:p>
  </w:footnote>
  <w:footnote w:id="15">
    <w:p w14:paraId="3D23ECB7" w14:textId="77777777" w:rsidR="00187EF5" w:rsidRDefault="00745C3F">
      <w:pPr>
        <w:pBdr>
          <w:top w:val="nil"/>
          <w:left w:val="nil"/>
          <w:bottom w:val="nil"/>
          <w:right w:val="nil"/>
          <w:between w:val="nil"/>
        </w:pBdr>
        <w:rPr>
          <w:color w:val="000000"/>
        </w:rPr>
      </w:pPr>
      <w:r>
        <w:rPr>
          <w:vertAlign w:val="superscript"/>
        </w:rPr>
        <w:footnoteRef/>
      </w:r>
      <w:r>
        <w:rPr>
          <w:color w:val="000000"/>
        </w:rPr>
        <w:t xml:space="preserve"> </w:t>
      </w:r>
      <w:r>
        <w:rPr>
          <w:rFonts w:ascii="Arial" w:eastAsia="Arial" w:hAnsi="Arial" w:cs="Arial"/>
          <w:color w:val="000000"/>
        </w:rPr>
        <w:t xml:space="preserve"> </w:t>
      </w:r>
      <w:r>
        <w:rPr>
          <w:rFonts w:ascii="Arial" w:eastAsia="Arial" w:hAnsi="Arial" w:cs="Arial"/>
        </w:rPr>
        <w:t>Consúltese</w:t>
      </w:r>
      <w:r>
        <w:rPr>
          <w:rFonts w:ascii="Arial" w:eastAsia="Arial" w:hAnsi="Arial" w:cs="Arial"/>
          <w:color w:val="000000"/>
        </w:rPr>
        <w:t xml:space="preserve"> asunto SUP-REP-159/2016.</w:t>
      </w:r>
    </w:p>
  </w:footnote>
  <w:footnote w:id="16">
    <w:p w14:paraId="263D0E89" w14:textId="77777777" w:rsidR="00187EF5" w:rsidRDefault="00745C3F">
      <w:pPr>
        <w:jc w:val="both"/>
        <w:rPr>
          <w:rFonts w:ascii="Arial" w:eastAsia="Arial" w:hAnsi="Arial" w:cs="Arial"/>
        </w:rPr>
      </w:pPr>
      <w:r>
        <w:rPr>
          <w:vertAlign w:val="superscript"/>
        </w:rPr>
        <w:footnoteRef/>
      </w:r>
      <w:r>
        <w:rPr>
          <w:rFonts w:ascii="Arial" w:eastAsia="Arial" w:hAnsi="Arial" w:cs="Arial"/>
        </w:rPr>
        <w:t xml:space="preserve"> 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I. La gravedad de la responsabilidad en que se incurra y la conveniencia de suprimir prácticas que infrinjan, en cualquier forma, las disposiciones de este Código, en atención al bien jurídico tutelado, o las que se dicten con base en él; II. Las circunstancias de modo, tiempo y lugar de la infracción; III. Las condiciones socioeconómicas del infractor; IV. Las condiciones externas y los medios de ejecución; V. La reincidencia en el incumplimiento de obligaciones, y VI. En su caso, el monto del beneficio, lucro, daño o perjuicio derivado del incumplimiento de obligaciones.</w:t>
      </w:r>
    </w:p>
  </w:footnote>
  <w:footnote w:id="17">
    <w:p w14:paraId="0F636062" w14:textId="77777777" w:rsidR="00187EF5" w:rsidRDefault="00745C3F">
      <w:r>
        <w:rPr>
          <w:vertAlign w:val="superscript"/>
        </w:rPr>
        <w:footnoteRef/>
      </w:r>
      <w:r>
        <w:t xml:space="preserve"> </w:t>
      </w:r>
      <w:r>
        <w:rPr>
          <w:rFonts w:ascii="Arial" w:eastAsia="Arial" w:hAnsi="Arial" w:cs="Arial"/>
        </w:rPr>
        <w:t>Véase los asuntos SUP-REP-700/2018 y SUP-REP-719/2018.</w:t>
      </w:r>
    </w:p>
  </w:footnote>
  <w:footnote w:id="18">
    <w:p w14:paraId="7275556F" w14:textId="77777777" w:rsidR="00187EF5" w:rsidRDefault="00745C3F">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 [...]</w:t>
      </w:r>
    </w:p>
    <w:p w14:paraId="1A5B6841" w14:textId="77777777" w:rsidR="00187EF5" w:rsidRDefault="00745C3F">
      <w:pPr>
        <w:jc w:val="both"/>
        <w:rPr>
          <w:rFonts w:ascii="Arial" w:eastAsia="Arial" w:hAnsi="Arial" w:cs="Arial"/>
        </w:rPr>
      </w:pPr>
      <w:r>
        <w:rPr>
          <w:rFonts w:ascii="Arial" w:eastAsia="Arial" w:hAnsi="Arial" w:cs="Arial"/>
        </w:rPr>
        <w:t xml:space="preserve">IV.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 </w:t>
      </w:r>
    </w:p>
  </w:footnote>
  <w:footnote w:id="19">
    <w:p w14:paraId="3FBB52DD" w14:textId="77777777" w:rsidR="00187EF5" w:rsidRDefault="00745C3F">
      <w:pPr>
        <w:jc w:val="both"/>
        <w:rPr>
          <w:rFonts w:ascii="Arial" w:eastAsia="Arial" w:hAnsi="Arial" w:cs="Arial"/>
        </w:rPr>
      </w:pPr>
      <w:r>
        <w:rPr>
          <w:vertAlign w:val="superscript"/>
        </w:rPr>
        <w:footnoteRef/>
      </w:r>
      <w:r>
        <w:t xml:space="preserve"> </w:t>
      </w:r>
      <w:r>
        <w:rPr>
          <w:rFonts w:ascii="Arial" w:eastAsia="Arial" w:hAnsi="Arial" w:cs="Arial"/>
        </w:rPr>
        <w:t>Artículo 244.- Constituyen infracciones de los aspirantes, precandidatos, candidatos o candidatos independientes a cargos de elección popular, al presente Código: [...]</w:t>
      </w:r>
    </w:p>
    <w:p w14:paraId="1066CC8B" w14:textId="77777777" w:rsidR="00187EF5" w:rsidRDefault="00745C3F">
      <w:pPr>
        <w:jc w:val="both"/>
        <w:rPr>
          <w:rFonts w:ascii="Arial" w:eastAsia="Arial" w:hAnsi="Arial" w:cs="Arial"/>
        </w:rPr>
      </w:pPr>
      <w:r>
        <w:rPr>
          <w:rFonts w:ascii="Arial" w:eastAsia="Arial" w:hAnsi="Arial" w:cs="Arial"/>
        </w:rPr>
        <w:t>Las infracciones referidas en el párrafo anterior se sancionarán, según la gravedad, de la siguiente manera:  [...]</w:t>
      </w:r>
    </w:p>
    <w:p w14:paraId="52C1A552" w14:textId="77777777" w:rsidR="00187EF5" w:rsidRDefault="00745C3F">
      <w:pPr>
        <w:jc w:val="both"/>
        <w:rPr>
          <w:rFonts w:ascii="Arial" w:eastAsia="Arial" w:hAnsi="Arial" w:cs="Arial"/>
        </w:rPr>
      </w:pPr>
      <w:r>
        <w:rPr>
          <w:rFonts w:ascii="Arial" w:eastAsia="Arial" w:hAnsi="Arial" w:cs="Arial"/>
        </w:rPr>
        <w:t>III. Las señaladas en las fracciones IV, V y X del párrafo anterior, con multa de veinte hasta cinco mil veces el valor diario de la Unidad de Medida y Actualización;  [...]</w:t>
      </w:r>
    </w:p>
  </w:footnote>
  <w:footnote w:id="20">
    <w:p w14:paraId="69F016CC" w14:textId="77777777" w:rsidR="00187EF5" w:rsidRDefault="00745C3F">
      <w:pPr>
        <w:pBdr>
          <w:top w:val="nil"/>
          <w:left w:val="nil"/>
          <w:bottom w:val="nil"/>
          <w:right w:val="nil"/>
          <w:between w:val="nil"/>
        </w:pBdr>
        <w:jc w:val="both"/>
        <w:rPr>
          <w:color w:val="000000"/>
        </w:rPr>
      </w:pPr>
      <w:r>
        <w:rPr>
          <w:vertAlign w:val="superscript"/>
        </w:rPr>
        <w:footnoteRef/>
      </w:r>
      <w:r>
        <w:rPr>
          <w:color w:val="000000"/>
        </w:rPr>
        <w:t xml:space="preserve"> </w:t>
      </w:r>
      <w:r>
        <w:rPr>
          <w:rFonts w:ascii="Arial" w:eastAsia="Arial" w:hAnsi="Arial" w:cs="Arial"/>
          <w:color w:val="000000"/>
        </w:rPr>
        <w:t>E</w:t>
      </w:r>
      <w:r>
        <w:rPr>
          <w:rFonts w:ascii="Arial" w:eastAsia="Arial" w:hAnsi="Arial" w:cs="Arial"/>
          <w:color w:val="000000"/>
          <w:highlight w:val="white"/>
        </w:rPr>
        <w:t>l valor diario de la Unidad de Medida y Actualización UMA es de 96.22 pesos mexicanos conforme a la consulta realizada.</w:t>
      </w:r>
    </w:p>
  </w:footnote>
  <w:footnote w:id="21">
    <w:p w14:paraId="3AA79269" w14:textId="77777777" w:rsidR="00187EF5" w:rsidRDefault="00745C3F">
      <w:pPr>
        <w:jc w:val="both"/>
        <w:rPr>
          <w:rFonts w:ascii="Arial" w:eastAsia="Arial" w:hAnsi="Arial" w:cs="Arial"/>
        </w:rPr>
      </w:pPr>
      <w:r>
        <w:rPr>
          <w:vertAlign w:val="superscript"/>
        </w:rPr>
        <w:footnoteRef/>
      </w:r>
      <w:r>
        <w:t xml:space="preserve"> </w:t>
      </w:r>
      <w:r>
        <w:rPr>
          <w:rFonts w:ascii="Arial" w:eastAsia="Arial" w:hAnsi="Arial" w:cs="Arial"/>
        </w:rPr>
        <w:t>Artículo 251.- Para la individualización de las sanciones a que se refiere este Libro, una vez acreditada plenamente la existencia de una infracción y su imputación, la autoridad electoral deberá tomar en cuenta las circunstancias que rodean la contravención de la norma administrativa, entre otras, las siguientes:  [...]</w:t>
      </w:r>
    </w:p>
    <w:p w14:paraId="49A89B1D" w14:textId="775FE226" w:rsidR="00187EF5" w:rsidRDefault="00745C3F">
      <w:pPr>
        <w:jc w:val="both"/>
        <w:rPr>
          <w:rFonts w:ascii="Arial" w:eastAsia="Arial" w:hAnsi="Arial" w:cs="Arial"/>
        </w:rPr>
      </w:pPr>
      <w:r>
        <w:rPr>
          <w:rFonts w:ascii="Arial" w:eastAsia="Arial" w:hAnsi="Arial" w:cs="Arial"/>
        </w:rPr>
        <w:t>Las multas impuestas por el Tribunal</w:t>
      </w:r>
      <w:r w:rsidR="00BA0B27">
        <w:rPr>
          <w:rFonts w:ascii="Arial" w:eastAsia="Arial" w:hAnsi="Arial" w:cs="Arial"/>
        </w:rPr>
        <w:t xml:space="preserve"> </w:t>
      </w:r>
      <w:r>
        <w:rPr>
          <w:rFonts w:ascii="Arial" w:eastAsia="Arial" w:hAnsi="Arial" w:cs="Arial"/>
        </w:rPr>
        <w:t>que hayan quedado firmes deberán ser pagadas en la Dirección Administrativa del Instituto; si el infractor no cumple con su obligación, el Instituto dará vista a las autoridades hacendarias a efecto de que procedan a su cobro conforme a la legislación aplicable. [...]</w:t>
      </w:r>
    </w:p>
  </w:footnote>
  <w:footnote w:id="22">
    <w:p w14:paraId="6453809F" w14:textId="77777777" w:rsidR="00187EF5" w:rsidRDefault="00745C3F">
      <w:pPr>
        <w:jc w:val="both"/>
      </w:pPr>
      <w:r>
        <w:rPr>
          <w:vertAlign w:val="superscript"/>
        </w:rPr>
        <w:footnoteRef/>
      </w:r>
      <w:r>
        <w:t xml:space="preserve"> </w:t>
      </w:r>
      <w:r>
        <w:rPr>
          <w:rFonts w:ascii="Arial" w:eastAsia="Arial" w:hAnsi="Arial" w:cs="Arial"/>
        </w:rPr>
        <w:t>Tesis XXXIV/2004 de rubro:</w:t>
      </w:r>
      <w:r>
        <w:rPr>
          <w:rFonts w:ascii="Arial" w:eastAsia="Arial" w:hAnsi="Arial" w:cs="Arial"/>
          <w:i/>
        </w:rPr>
        <w:t xml:space="preserve"> “PARTIDOS POLÍTICOS. SON IMPUTABLES POR LA CONDUCTA DE SUS MIEMBROS Y PERSONAS RELACIONADAS CON SUS ACTIVIDADES”</w:t>
      </w:r>
      <w:r>
        <w:rPr>
          <w:rFonts w:ascii="Arial" w:eastAsia="Arial" w:hAnsi="Arial" w:cs="Arial"/>
        </w:rPr>
        <w:t>, visible en la Compilación Oficial de Jurisprudencia y Tesis Relevantes 1997-2005 del Tribunal Electoral del Poder Judicial de la Federación, páginas 754 a 756.</w:t>
      </w:r>
    </w:p>
  </w:footnote>
  <w:footnote w:id="23">
    <w:p w14:paraId="727A52D6" w14:textId="77777777" w:rsidR="00187EF5" w:rsidRDefault="00745C3F">
      <w:pPr>
        <w:jc w:val="both"/>
        <w:rPr>
          <w:rFonts w:ascii="Arial" w:eastAsia="Arial" w:hAnsi="Arial" w:cs="Arial"/>
        </w:rPr>
      </w:pPr>
      <w:r>
        <w:rPr>
          <w:vertAlign w:val="superscript"/>
        </w:rPr>
        <w:footnoteRef/>
      </w:r>
      <w:r>
        <w:t xml:space="preserve"> </w:t>
      </w:r>
      <w:r>
        <w:rPr>
          <w:rFonts w:ascii="Arial" w:eastAsia="Arial" w:hAnsi="Arial" w:cs="Arial"/>
        </w:rPr>
        <w:t>Artículo 242.- Constituyen infracciones de los partidos políticos al presente Código: [...]</w:t>
      </w:r>
      <w:r>
        <w:rPr>
          <w:rFonts w:ascii="Arial" w:eastAsia="Arial" w:hAnsi="Arial" w:cs="Arial"/>
        </w:rPr>
        <w:br/>
        <w:t xml:space="preserve">Las infracciones cometidas por los partidos políticos se sancionarán, según la gravedad, de la siguiente manera: </w:t>
      </w:r>
      <w:r>
        <w:rPr>
          <w:rFonts w:ascii="Arial" w:eastAsia="Arial" w:hAnsi="Arial" w:cs="Arial"/>
        </w:rPr>
        <w:br/>
        <w:t>I. Con amonestación pública;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E8484" w14:textId="302A431E" w:rsidR="00187EF5" w:rsidRDefault="00E75861">
    <w:pPr>
      <w:pBdr>
        <w:top w:val="nil"/>
        <w:left w:val="nil"/>
        <w:bottom w:val="nil"/>
        <w:right w:val="nil"/>
        <w:between w:val="nil"/>
      </w:pBdr>
      <w:tabs>
        <w:tab w:val="center" w:pos="4419"/>
        <w:tab w:val="right" w:pos="8838"/>
      </w:tabs>
      <w:rPr>
        <w:color w:val="000000"/>
      </w:rPr>
    </w:pPr>
    <w:r>
      <w:rPr>
        <w:noProof/>
      </w:rPr>
      <w:pict w14:anchorId="03B775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741172"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745C3F">
      <w:rPr>
        <w:noProof/>
        <w:color w:val="000000"/>
      </w:rPr>
      <mc:AlternateContent>
        <mc:Choice Requires="wps">
          <w:drawing>
            <wp:anchor distT="0" distB="0" distL="0" distR="0" simplePos="0" relativeHeight="251658240" behindDoc="1" locked="0" layoutInCell="1" hidden="0" allowOverlap="1" wp14:anchorId="02F7A5AE" wp14:editId="719BB79C">
              <wp:simplePos x="0" y="0"/>
              <wp:positionH relativeFrom="margin">
                <wp:align>center</wp:align>
              </wp:positionH>
              <wp:positionV relativeFrom="margin">
                <wp:align>center</wp:align>
              </wp:positionV>
              <wp:extent cx="31876034" cy="31876034"/>
              <wp:effectExtent l="0" t="0" r="0" b="0"/>
              <wp:wrapNone/>
              <wp:docPr id="70" name="Rectángulo 70"/>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3734205A" w14:textId="77777777" w:rsidR="00187EF5" w:rsidRDefault="00745C3F">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02F7A5AE" id="Rectángulo 70" o:spid="_x0000_s1028" style="position:absolute;margin-left:0;margin-top:0;width:2509.9pt;height:2509.9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" filled="f" stroked="f">
              <v:textbox inset="2.53958mm,2.53958mm,2.53958mm,2.53958mm">
                <w:txbxContent>
                  <w:p w14:paraId="3734205A" w14:textId="77777777" w:rsidR="00187EF5" w:rsidRDefault="00745C3F">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50D8D" w14:textId="532B9872" w:rsidR="00187EF5" w:rsidRDefault="00E75861">
    <w:pPr>
      <w:pBdr>
        <w:top w:val="nil"/>
        <w:left w:val="nil"/>
        <w:bottom w:val="nil"/>
        <w:right w:val="nil"/>
        <w:between w:val="nil"/>
      </w:pBdr>
      <w:tabs>
        <w:tab w:val="center" w:pos="4419"/>
        <w:tab w:val="right" w:pos="8838"/>
      </w:tabs>
    </w:pPr>
    <w:r>
      <w:rPr>
        <w:noProof/>
      </w:rPr>
      <w:pict w14:anchorId="7ECB2A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741173"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sdt>
    <w:sdtPr>
      <w:id w:val="105771782"/>
      <w:docPartObj>
        <w:docPartGallery w:val="Page Numbers (Margins)"/>
        <w:docPartUnique/>
      </w:docPartObj>
    </w:sdtPr>
    <w:sdtEndPr/>
    <w:sdtContent>
      <w:p w14:paraId="31F5F88D" w14:textId="77777777" w:rsidR="00187EF5" w:rsidRDefault="004A6C88">
        <w:pPr>
          <w:pBdr>
            <w:top w:val="nil"/>
            <w:left w:val="nil"/>
            <w:bottom w:val="nil"/>
            <w:right w:val="nil"/>
            <w:between w:val="nil"/>
          </w:pBdr>
          <w:tabs>
            <w:tab w:val="center" w:pos="4419"/>
            <w:tab w:val="right" w:pos="8838"/>
          </w:tabs>
        </w:pPr>
        <w:r>
          <w:rPr>
            <w:noProof/>
          </w:rPr>
          <mc:AlternateContent>
            <mc:Choice Requires="wps">
              <w:drawing>
                <wp:anchor distT="0" distB="0" distL="114300" distR="114300" simplePos="0" relativeHeight="251660288" behindDoc="0" locked="0" layoutInCell="0" allowOverlap="1" wp14:anchorId="66F7C12F" wp14:editId="3F339CAD">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BB232E" w14:textId="77777777" w:rsidR="004A6C88" w:rsidRDefault="004A6C8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7C12F" id="Rectángulo 1" o:spid="_x0000_s1029"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BB232E" w14:textId="77777777" w:rsidR="004A6C88" w:rsidRDefault="004A6C8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4695A30E" w14:textId="77777777" w:rsidR="00187EF5" w:rsidRDefault="00187EF5">
    <w:pPr>
      <w:pBdr>
        <w:top w:val="nil"/>
        <w:left w:val="nil"/>
        <w:bottom w:val="nil"/>
        <w:right w:val="nil"/>
        <w:between w:val="nil"/>
      </w:pBdr>
      <w:tabs>
        <w:tab w:val="center" w:pos="4419"/>
        <w:tab w:val="right" w:pos="8838"/>
      </w:tabs>
    </w:pPr>
  </w:p>
  <w:p w14:paraId="759D18D7" w14:textId="77777777" w:rsidR="00187EF5" w:rsidRDefault="00187EF5">
    <w:pPr>
      <w:pBdr>
        <w:top w:val="nil"/>
        <w:left w:val="nil"/>
        <w:bottom w:val="nil"/>
        <w:right w:val="nil"/>
        <w:between w:val="nil"/>
      </w:pBdr>
      <w:tabs>
        <w:tab w:val="center" w:pos="4419"/>
        <w:tab w:val="right" w:pos="8838"/>
      </w:tabs>
    </w:pPr>
  </w:p>
  <w:p w14:paraId="26CED842" w14:textId="77777777" w:rsidR="00187EF5" w:rsidRDefault="00745C3F">
    <w:pPr>
      <w:pBdr>
        <w:top w:val="nil"/>
        <w:left w:val="nil"/>
        <w:bottom w:val="nil"/>
        <w:right w:val="nil"/>
        <w:between w:val="nil"/>
      </w:pBdr>
      <w:tabs>
        <w:tab w:val="center" w:pos="4419"/>
        <w:tab w:val="right" w:pos="8838"/>
      </w:tabs>
      <w:rPr>
        <w:color w:val="000000"/>
      </w:rPr>
    </w:pPr>
    <w:r>
      <w:rPr>
        <w:noProof/>
        <w:color w:val="000000"/>
      </w:rPr>
      <w:drawing>
        <wp:inline distT="0" distB="0" distL="0" distR="0" wp14:anchorId="7DDFCCBD" wp14:editId="0DBE632D">
          <wp:extent cx="995527" cy="1154534"/>
          <wp:effectExtent l="0" t="0" r="0" b="0"/>
          <wp:docPr id="8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4432" w14:textId="5E339F2F" w:rsidR="00187EF5" w:rsidRDefault="00E75861">
    <w:pPr>
      <w:pBdr>
        <w:top w:val="nil"/>
        <w:left w:val="nil"/>
        <w:bottom w:val="nil"/>
        <w:right w:val="nil"/>
        <w:between w:val="nil"/>
      </w:pBdr>
      <w:tabs>
        <w:tab w:val="center" w:pos="4419"/>
        <w:tab w:val="right" w:pos="8838"/>
      </w:tabs>
      <w:rPr>
        <w:color w:val="000000"/>
      </w:rPr>
    </w:pPr>
    <w:r>
      <w:rPr>
        <w:noProof/>
      </w:rPr>
      <w:pict w14:anchorId="3BF5C2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0741171"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E57FB"/>
    <w:multiLevelType w:val="multilevel"/>
    <w:tmpl w:val="FDB0F4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EF04546"/>
    <w:multiLevelType w:val="multilevel"/>
    <w:tmpl w:val="A3F69A4C"/>
    <w:lvl w:ilvl="0">
      <w:start w:val="1"/>
      <w:numFmt w:val="bullet"/>
      <w:lvlText w:val="-"/>
      <w:lvlJc w:val="left"/>
      <w:pPr>
        <w:ind w:left="539" w:hanging="360"/>
      </w:pPr>
      <w:rPr>
        <w:rFonts w:ascii="Arial" w:eastAsia="Arial" w:hAnsi="Arial" w:cs="Arial"/>
      </w:rPr>
    </w:lvl>
    <w:lvl w:ilvl="1">
      <w:start w:val="1"/>
      <w:numFmt w:val="bullet"/>
      <w:lvlText w:val="o"/>
      <w:lvlJc w:val="left"/>
      <w:pPr>
        <w:ind w:left="1259" w:hanging="360"/>
      </w:pPr>
      <w:rPr>
        <w:rFonts w:ascii="Courier New" w:eastAsia="Courier New" w:hAnsi="Courier New" w:cs="Courier New"/>
      </w:rPr>
    </w:lvl>
    <w:lvl w:ilvl="2">
      <w:start w:val="1"/>
      <w:numFmt w:val="bullet"/>
      <w:lvlText w:val="▪"/>
      <w:lvlJc w:val="left"/>
      <w:pPr>
        <w:ind w:left="1979" w:hanging="360"/>
      </w:pPr>
      <w:rPr>
        <w:rFonts w:ascii="Noto Sans Symbols" w:eastAsia="Noto Sans Symbols" w:hAnsi="Noto Sans Symbols" w:cs="Noto Sans Symbols"/>
      </w:rPr>
    </w:lvl>
    <w:lvl w:ilvl="3">
      <w:start w:val="1"/>
      <w:numFmt w:val="bullet"/>
      <w:lvlText w:val="●"/>
      <w:lvlJc w:val="left"/>
      <w:pPr>
        <w:ind w:left="2699" w:hanging="360"/>
      </w:pPr>
      <w:rPr>
        <w:rFonts w:ascii="Noto Sans Symbols" w:eastAsia="Noto Sans Symbols" w:hAnsi="Noto Sans Symbols" w:cs="Noto Sans Symbols"/>
      </w:rPr>
    </w:lvl>
    <w:lvl w:ilvl="4">
      <w:start w:val="1"/>
      <w:numFmt w:val="bullet"/>
      <w:lvlText w:val="o"/>
      <w:lvlJc w:val="left"/>
      <w:pPr>
        <w:ind w:left="3419" w:hanging="360"/>
      </w:pPr>
      <w:rPr>
        <w:rFonts w:ascii="Courier New" w:eastAsia="Courier New" w:hAnsi="Courier New" w:cs="Courier New"/>
      </w:rPr>
    </w:lvl>
    <w:lvl w:ilvl="5">
      <w:start w:val="1"/>
      <w:numFmt w:val="bullet"/>
      <w:lvlText w:val="▪"/>
      <w:lvlJc w:val="left"/>
      <w:pPr>
        <w:ind w:left="4139" w:hanging="360"/>
      </w:pPr>
      <w:rPr>
        <w:rFonts w:ascii="Noto Sans Symbols" w:eastAsia="Noto Sans Symbols" w:hAnsi="Noto Sans Symbols" w:cs="Noto Sans Symbols"/>
      </w:rPr>
    </w:lvl>
    <w:lvl w:ilvl="6">
      <w:start w:val="1"/>
      <w:numFmt w:val="bullet"/>
      <w:lvlText w:val="●"/>
      <w:lvlJc w:val="left"/>
      <w:pPr>
        <w:ind w:left="4859" w:hanging="360"/>
      </w:pPr>
      <w:rPr>
        <w:rFonts w:ascii="Noto Sans Symbols" w:eastAsia="Noto Sans Symbols" w:hAnsi="Noto Sans Symbols" w:cs="Noto Sans Symbols"/>
      </w:rPr>
    </w:lvl>
    <w:lvl w:ilvl="7">
      <w:start w:val="1"/>
      <w:numFmt w:val="bullet"/>
      <w:lvlText w:val="o"/>
      <w:lvlJc w:val="left"/>
      <w:pPr>
        <w:ind w:left="5579" w:hanging="360"/>
      </w:pPr>
      <w:rPr>
        <w:rFonts w:ascii="Courier New" w:eastAsia="Courier New" w:hAnsi="Courier New" w:cs="Courier New"/>
      </w:rPr>
    </w:lvl>
    <w:lvl w:ilvl="8">
      <w:start w:val="1"/>
      <w:numFmt w:val="bullet"/>
      <w:lvlText w:val="▪"/>
      <w:lvlJc w:val="left"/>
      <w:pPr>
        <w:ind w:left="6299" w:hanging="360"/>
      </w:pPr>
      <w:rPr>
        <w:rFonts w:ascii="Noto Sans Symbols" w:eastAsia="Noto Sans Symbols" w:hAnsi="Noto Sans Symbols" w:cs="Noto Sans Symbols"/>
      </w:rPr>
    </w:lvl>
  </w:abstractNum>
  <w:abstractNum w:abstractNumId="2" w15:restartNumberingAfterBreak="0">
    <w:nsid w:val="44121F1D"/>
    <w:multiLevelType w:val="multilevel"/>
    <w:tmpl w:val="A2EE1712"/>
    <w:lvl w:ilvl="0">
      <w:start w:val="1"/>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46323EEE"/>
    <w:multiLevelType w:val="multilevel"/>
    <w:tmpl w:val="DEDAE7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7B47E31"/>
    <w:multiLevelType w:val="multilevel"/>
    <w:tmpl w:val="E506C8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C093119"/>
    <w:multiLevelType w:val="multilevel"/>
    <w:tmpl w:val="71A89F4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3C73910"/>
    <w:multiLevelType w:val="multilevel"/>
    <w:tmpl w:val="BAE22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DE26089"/>
    <w:multiLevelType w:val="multilevel"/>
    <w:tmpl w:val="7C80C8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2E32E79"/>
    <w:multiLevelType w:val="multilevel"/>
    <w:tmpl w:val="15804A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91F6AAE"/>
    <w:multiLevelType w:val="multilevel"/>
    <w:tmpl w:val="B344A3CA"/>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num w:numId="1" w16cid:durableId="439184728">
    <w:abstractNumId w:val="5"/>
  </w:num>
  <w:num w:numId="2" w16cid:durableId="1584299774">
    <w:abstractNumId w:val="2"/>
  </w:num>
  <w:num w:numId="3" w16cid:durableId="696739626">
    <w:abstractNumId w:val="7"/>
  </w:num>
  <w:num w:numId="4" w16cid:durableId="1842892044">
    <w:abstractNumId w:val="1"/>
  </w:num>
  <w:num w:numId="5" w16cid:durableId="1786344638">
    <w:abstractNumId w:val="3"/>
  </w:num>
  <w:num w:numId="6" w16cid:durableId="1473674365">
    <w:abstractNumId w:val="4"/>
  </w:num>
  <w:num w:numId="7" w16cid:durableId="1731230337">
    <w:abstractNumId w:val="0"/>
  </w:num>
  <w:num w:numId="8" w16cid:durableId="1831868243">
    <w:abstractNumId w:val="6"/>
  </w:num>
  <w:num w:numId="9" w16cid:durableId="1442721347">
    <w:abstractNumId w:val="9"/>
  </w:num>
  <w:num w:numId="10" w16cid:durableId="1539608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EF5"/>
    <w:rsid w:val="00094E3C"/>
    <w:rsid w:val="000B01C3"/>
    <w:rsid w:val="000D3BED"/>
    <w:rsid w:val="0014785B"/>
    <w:rsid w:val="00187EF5"/>
    <w:rsid w:val="001E4ACA"/>
    <w:rsid w:val="00385C63"/>
    <w:rsid w:val="003F6FC6"/>
    <w:rsid w:val="00416D6B"/>
    <w:rsid w:val="004A6C88"/>
    <w:rsid w:val="005C09BA"/>
    <w:rsid w:val="0066275B"/>
    <w:rsid w:val="00686274"/>
    <w:rsid w:val="00721D00"/>
    <w:rsid w:val="00745C3F"/>
    <w:rsid w:val="00753F35"/>
    <w:rsid w:val="00853250"/>
    <w:rsid w:val="00857F5E"/>
    <w:rsid w:val="009B1C02"/>
    <w:rsid w:val="009C3B20"/>
    <w:rsid w:val="00B34E79"/>
    <w:rsid w:val="00BA0B27"/>
    <w:rsid w:val="00D82D54"/>
    <w:rsid w:val="00DD67CE"/>
    <w:rsid w:val="00E32C3E"/>
    <w:rsid w:val="00E75861"/>
    <w:rsid w:val="00F265F0"/>
    <w:rsid w:val="00F90427"/>
    <w:rsid w:val="00FC067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CD9369"/>
  <w15:docId w15:val="{CAB69F01-ED54-4535-B120-54855D1EC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DEE"/>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uiPriority w:val="1"/>
    <w:qFormat/>
    <w:rsid w:val="00A56DE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56DEE"/>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A56DEE"/>
    <w:rPr>
      <w:rFonts w:ascii="Times New Roman" w:eastAsia="Times New Roman" w:hAnsi="Times New Roman" w:cs="Times New Roman"/>
      <w:sz w:val="20"/>
      <w:szCs w:val="20"/>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A56DEE"/>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A56DEE"/>
    <w:rPr>
      <w:rFonts w:ascii="Times New Roman" w:eastAsia="Times New Roman" w:hAnsi="Times New Roman" w:cs="Times New Roman"/>
      <w:sz w:val="20"/>
      <w:szCs w:val="20"/>
      <w:lang w:eastAsia="es-MX"/>
    </w:rPr>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A56DEE"/>
    <w:rPr>
      <w:vertAlign w:val="superscript"/>
    </w:rPr>
  </w:style>
  <w:style w:type="table" w:customStyle="1" w:styleId="Tabladecuadrcula4-nfasis31">
    <w:name w:val="Tabla de cuadrícula 4 - Énfasis 31"/>
    <w:basedOn w:val="Tablanormal"/>
    <w:next w:val="Tablaconcuadrcula4-nfasis3"/>
    <w:uiPriority w:val="49"/>
    <w:rsid w:val="00A56DEE"/>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56DEE"/>
    <w:pPr>
      <w:jc w:val="both"/>
    </w:pPr>
    <w:rPr>
      <w:rFonts w:asciiTheme="minorHAnsi" w:eastAsiaTheme="minorHAnsi" w:hAnsiTheme="minorHAnsi" w:cstheme="minorBidi"/>
      <w:sz w:val="22"/>
      <w:szCs w:val="22"/>
      <w:vertAlign w:val="superscript"/>
      <w:lang w:eastAsia="en-US"/>
    </w:rPr>
  </w:style>
  <w:style w:type="table" w:styleId="Tablaconcuadrcula4-nfasis3">
    <w:name w:val="Grid Table 4 Accent 3"/>
    <w:basedOn w:val="Tablanormal"/>
    <w:uiPriority w:val="49"/>
    <w:rsid w:val="00A56DEE"/>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
    <w:name w:val="Hyperlink"/>
    <w:basedOn w:val="Fuentedeprrafopredeter"/>
    <w:uiPriority w:val="99"/>
    <w:unhideWhenUsed/>
    <w:rsid w:val="00A57704"/>
    <w:rPr>
      <w:color w:val="0563C1" w:themeColor="hyperlink"/>
      <w:u w:val="single"/>
    </w:rPr>
  </w:style>
  <w:style w:type="character" w:styleId="Mencinsinresolver">
    <w:name w:val="Unresolved Mention"/>
    <w:basedOn w:val="Fuentedeprrafopredeter"/>
    <w:uiPriority w:val="99"/>
    <w:semiHidden/>
    <w:unhideWhenUsed/>
    <w:rsid w:val="00A57704"/>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facebook.com/noraruvalcabamx/videos/21719468996367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DBvoIhL0PIPNBPNMJfXCJplndA==">AMUW2mVdCnSOaAtOylHAlSS0bEn0udrDaZso9FVBD3sUmYqccKHDD3lTSX0eazzXtPTuUrt51yTA85eU7heVYuQCoJfiHD2gohxZdrUZWmC/CZ7ac78xJUS7ldGgxJo2/qEmHcQ4/FOoA8P+kmnqCSBZ6KXOMkrUrCgXAnDNqp0nxxWf0jPjEK+D6Qna4ZDVCPrq2hsMo7UI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6121</Words>
  <Characters>33668</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TEEA-LAP-ONE</dc:creator>
  <cp:lastModifiedBy>Secretario Gral</cp:lastModifiedBy>
  <cp:revision>2</cp:revision>
  <cp:lastPrinted>2022-05-20T16:33:00Z</cp:lastPrinted>
  <dcterms:created xsi:type="dcterms:W3CDTF">2022-05-21T01:35:00Z</dcterms:created>
  <dcterms:modified xsi:type="dcterms:W3CDTF">2022-05-21T01:35:00Z</dcterms:modified>
</cp:coreProperties>
</file>