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A80B6" w14:textId="77777777" w:rsidR="007E61D9" w:rsidRDefault="00D65480">
      <w:pPr>
        <w:ind w:left="3826" w:right="36"/>
        <w:jc w:val="both"/>
        <w:rPr>
          <w:rFonts w:ascii="Arial" w:eastAsia="Arial" w:hAnsi="Arial" w:cs="Arial"/>
          <w:b/>
          <w:sz w:val="24"/>
          <w:szCs w:val="24"/>
        </w:rPr>
      </w:pPr>
      <w:bookmarkStart w:id="0" w:name="_heading=h.gjdgxs" w:colFirst="0" w:colLast="0"/>
      <w:bookmarkEnd w:id="0"/>
      <w:r>
        <w:rPr>
          <w:rFonts w:ascii="Arial" w:eastAsia="Arial" w:hAnsi="Arial" w:cs="Arial"/>
          <w:b/>
          <w:sz w:val="24"/>
          <w:szCs w:val="24"/>
        </w:rPr>
        <w:t>PROCEDIMIENTO ESPECIAL SANCIONADOR.</w:t>
      </w:r>
    </w:p>
    <w:p w14:paraId="5FB8A1D4" w14:textId="77777777" w:rsidR="007E61D9" w:rsidRDefault="007E61D9">
      <w:pPr>
        <w:pBdr>
          <w:top w:val="nil"/>
          <w:left w:val="nil"/>
          <w:bottom w:val="nil"/>
          <w:right w:val="nil"/>
          <w:between w:val="nil"/>
        </w:pBdr>
        <w:ind w:left="3826"/>
        <w:rPr>
          <w:rFonts w:ascii="Arial" w:eastAsia="Arial" w:hAnsi="Arial" w:cs="Arial"/>
          <w:color w:val="000000"/>
          <w:sz w:val="14"/>
          <w:szCs w:val="14"/>
        </w:rPr>
      </w:pPr>
    </w:p>
    <w:p w14:paraId="49252871" w14:textId="77777777" w:rsidR="007E61D9" w:rsidRDefault="00D65480">
      <w:pPr>
        <w:ind w:left="3826" w:right="36"/>
        <w:jc w:val="both"/>
        <w:rPr>
          <w:rFonts w:ascii="Arial" w:eastAsia="Arial" w:hAnsi="Arial" w:cs="Arial"/>
          <w:b/>
          <w:sz w:val="24"/>
          <w:szCs w:val="24"/>
        </w:rPr>
      </w:pPr>
      <w:r>
        <w:rPr>
          <w:rFonts w:ascii="Arial" w:eastAsia="Arial" w:hAnsi="Arial" w:cs="Arial"/>
          <w:b/>
          <w:sz w:val="24"/>
          <w:szCs w:val="24"/>
        </w:rPr>
        <w:t xml:space="preserve">EXPEDIENTE: </w:t>
      </w:r>
      <w:r>
        <w:rPr>
          <w:rFonts w:ascii="Arial" w:eastAsia="Arial" w:hAnsi="Arial" w:cs="Arial"/>
          <w:sz w:val="24"/>
          <w:szCs w:val="24"/>
        </w:rPr>
        <w:t>TEEA-PES-026/2022.</w:t>
      </w:r>
      <w:r>
        <w:rPr>
          <w:rFonts w:ascii="Arial" w:eastAsia="Arial" w:hAnsi="Arial" w:cs="Arial"/>
          <w:b/>
          <w:sz w:val="24"/>
          <w:szCs w:val="24"/>
        </w:rPr>
        <w:t xml:space="preserve"> </w:t>
      </w:r>
    </w:p>
    <w:p w14:paraId="318D5C81" w14:textId="77777777" w:rsidR="007E61D9" w:rsidRDefault="007E61D9">
      <w:pPr>
        <w:ind w:left="3826" w:right="36"/>
        <w:jc w:val="both"/>
        <w:rPr>
          <w:rFonts w:ascii="Arial" w:eastAsia="Arial" w:hAnsi="Arial" w:cs="Arial"/>
          <w:b/>
          <w:sz w:val="14"/>
          <w:szCs w:val="14"/>
        </w:rPr>
      </w:pPr>
    </w:p>
    <w:p w14:paraId="17229875" w14:textId="77777777" w:rsidR="007E61D9" w:rsidRDefault="00D65480">
      <w:pPr>
        <w:ind w:left="3826" w:right="36"/>
        <w:jc w:val="both"/>
        <w:rPr>
          <w:rFonts w:ascii="Arial" w:eastAsia="Arial" w:hAnsi="Arial" w:cs="Arial"/>
          <w:sz w:val="24"/>
          <w:szCs w:val="24"/>
        </w:rPr>
      </w:pPr>
      <w:r>
        <w:rPr>
          <w:rFonts w:ascii="Arial" w:eastAsia="Arial" w:hAnsi="Arial" w:cs="Arial"/>
          <w:b/>
          <w:sz w:val="24"/>
          <w:szCs w:val="24"/>
        </w:rPr>
        <w:t>DENUNCIANTE:</w:t>
      </w:r>
      <w:r>
        <w:rPr>
          <w:rFonts w:ascii="Arial" w:eastAsia="Arial" w:hAnsi="Arial" w:cs="Arial"/>
          <w:sz w:val="24"/>
          <w:szCs w:val="24"/>
        </w:rPr>
        <w:t xml:space="preserve">  ISRAEL ÁNGEL RAMÍREZ, REPRESENTANTE SUPLENTE DEL PAN Y DE LA COALICIÓN “VA POR AGUASCALIENTES”.</w:t>
      </w:r>
    </w:p>
    <w:p w14:paraId="253F80F2" w14:textId="77777777" w:rsidR="007E61D9" w:rsidRDefault="007E61D9">
      <w:pPr>
        <w:pBdr>
          <w:top w:val="nil"/>
          <w:left w:val="nil"/>
          <w:bottom w:val="nil"/>
          <w:right w:val="nil"/>
          <w:between w:val="nil"/>
        </w:pBdr>
        <w:ind w:left="3826"/>
        <w:rPr>
          <w:rFonts w:ascii="Arial" w:eastAsia="Arial" w:hAnsi="Arial" w:cs="Arial"/>
          <w:color w:val="000000"/>
          <w:sz w:val="14"/>
          <w:szCs w:val="14"/>
        </w:rPr>
      </w:pPr>
    </w:p>
    <w:p w14:paraId="10427F7C" w14:textId="77777777" w:rsidR="007E61D9" w:rsidRDefault="00D65480">
      <w:pPr>
        <w:ind w:left="3826" w:right="36"/>
        <w:jc w:val="both"/>
        <w:rPr>
          <w:rFonts w:ascii="Arial" w:eastAsia="Arial" w:hAnsi="Arial" w:cs="Arial"/>
          <w:sz w:val="24"/>
          <w:szCs w:val="24"/>
        </w:rPr>
      </w:pPr>
      <w:r>
        <w:rPr>
          <w:rFonts w:ascii="Arial" w:eastAsia="Arial" w:hAnsi="Arial" w:cs="Arial"/>
          <w:b/>
          <w:sz w:val="24"/>
          <w:szCs w:val="24"/>
        </w:rPr>
        <w:t>DENUNCIADA:</w:t>
      </w:r>
      <w:r>
        <w:rPr>
          <w:rFonts w:ascii="Arial" w:eastAsia="Arial" w:hAnsi="Arial" w:cs="Arial"/>
          <w:sz w:val="24"/>
          <w:szCs w:val="24"/>
        </w:rPr>
        <w:t xml:space="preserve"> NORA RUVALCABA GÁMEZ, CANDIDATA DE MORENA A LA GUBERNATURA DEL ESTADO Y OTRO. </w:t>
      </w:r>
    </w:p>
    <w:p w14:paraId="62217B08" w14:textId="77777777" w:rsidR="007E61D9" w:rsidRDefault="007E61D9">
      <w:pPr>
        <w:pBdr>
          <w:top w:val="nil"/>
          <w:left w:val="nil"/>
          <w:bottom w:val="nil"/>
          <w:right w:val="nil"/>
          <w:between w:val="nil"/>
        </w:pBdr>
        <w:ind w:left="3826"/>
        <w:rPr>
          <w:rFonts w:ascii="Arial" w:eastAsia="Arial" w:hAnsi="Arial" w:cs="Arial"/>
          <w:color w:val="000000"/>
          <w:sz w:val="14"/>
          <w:szCs w:val="14"/>
        </w:rPr>
      </w:pPr>
    </w:p>
    <w:p w14:paraId="3979CA95" w14:textId="77777777" w:rsidR="007E61D9" w:rsidRDefault="00D65480">
      <w:pPr>
        <w:ind w:left="3826" w:right="36"/>
        <w:jc w:val="both"/>
        <w:rPr>
          <w:rFonts w:ascii="Arial" w:eastAsia="Arial" w:hAnsi="Arial" w:cs="Arial"/>
          <w:sz w:val="24"/>
          <w:szCs w:val="24"/>
        </w:rPr>
      </w:pPr>
      <w:r>
        <w:rPr>
          <w:rFonts w:ascii="Arial" w:eastAsia="Arial" w:hAnsi="Arial" w:cs="Arial"/>
          <w:b/>
          <w:sz w:val="24"/>
          <w:szCs w:val="24"/>
        </w:rPr>
        <w:t>MAGISTRADA PONENTE:</w:t>
      </w:r>
      <w:r>
        <w:rPr>
          <w:rFonts w:ascii="Arial" w:eastAsia="Arial" w:hAnsi="Arial" w:cs="Arial"/>
          <w:sz w:val="24"/>
          <w:szCs w:val="24"/>
        </w:rPr>
        <w:t xml:space="preserve"> LAURA HORTENSIA LLAMAS HERNÁNDEZ.</w:t>
      </w:r>
    </w:p>
    <w:p w14:paraId="105D8675" w14:textId="77777777" w:rsidR="007E61D9" w:rsidRDefault="007E61D9">
      <w:pPr>
        <w:pBdr>
          <w:top w:val="nil"/>
          <w:left w:val="nil"/>
          <w:bottom w:val="nil"/>
          <w:right w:val="nil"/>
          <w:between w:val="nil"/>
        </w:pBdr>
        <w:ind w:left="3826"/>
        <w:rPr>
          <w:rFonts w:ascii="Arial" w:eastAsia="Arial" w:hAnsi="Arial" w:cs="Arial"/>
          <w:color w:val="000000"/>
          <w:sz w:val="14"/>
          <w:szCs w:val="14"/>
        </w:rPr>
      </w:pPr>
    </w:p>
    <w:p w14:paraId="6EFBDF30" w14:textId="77777777" w:rsidR="007E61D9" w:rsidRDefault="00D65480">
      <w:pPr>
        <w:ind w:left="3826" w:right="36"/>
        <w:jc w:val="both"/>
        <w:rPr>
          <w:rFonts w:ascii="Arial" w:eastAsia="Arial" w:hAnsi="Arial" w:cs="Arial"/>
          <w:sz w:val="24"/>
          <w:szCs w:val="24"/>
        </w:rPr>
      </w:pPr>
      <w:r>
        <w:rPr>
          <w:rFonts w:ascii="Arial" w:eastAsia="Arial" w:hAnsi="Arial" w:cs="Arial"/>
          <w:b/>
          <w:sz w:val="24"/>
          <w:szCs w:val="24"/>
        </w:rPr>
        <w:t>SECRETARIO DE ESTUDIO</w:t>
      </w:r>
      <w:r>
        <w:rPr>
          <w:rFonts w:ascii="Arial" w:eastAsia="Arial" w:hAnsi="Arial" w:cs="Arial"/>
          <w:b/>
          <w:sz w:val="24"/>
          <w:szCs w:val="24"/>
          <w:vertAlign w:val="superscript"/>
        </w:rPr>
        <w:footnoteReference w:id="1"/>
      </w:r>
      <w:r>
        <w:rPr>
          <w:rFonts w:ascii="Arial" w:eastAsia="Arial" w:hAnsi="Arial" w:cs="Arial"/>
          <w:b/>
          <w:sz w:val="24"/>
          <w:szCs w:val="24"/>
        </w:rPr>
        <w:t xml:space="preserve">: </w:t>
      </w:r>
      <w:r>
        <w:rPr>
          <w:rFonts w:ascii="Arial" w:eastAsia="Arial" w:hAnsi="Arial" w:cs="Arial"/>
          <w:sz w:val="24"/>
          <w:szCs w:val="24"/>
        </w:rPr>
        <w:t>EDGAR ALEJANDRO LÓPEZ DÁVILA.</w:t>
      </w:r>
    </w:p>
    <w:p w14:paraId="4FAE267A" w14:textId="77777777" w:rsidR="007E61D9" w:rsidRDefault="007E61D9">
      <w:pPr>
        <w:ind w:left="3826" w:right="36"/>
        <w:jc w:val="both"/>
        <w:rPr>
          <w:rFonts w:ascii="Arial" w:eastAsia="Arial" w:hAnsi="Arial" w:cs="Arial"/>
          <w:sz w:val="14"/>
          <w:szCs w:val="14"/>
        </w:rPr>
      </w:pPr>
    </w:p>
    <w:p w14:paraId="670701D7" w14:textId="77777777" w:rsidR="007E61D9" w:rsidRDefault="00D65480">
      <w:pPr>
        <w:ind w:left="3826"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GUADALUPE JOCELYN MARTÍNEZ TAVAREZ E IVONNE AZUCENA ZAVALA SOTO.</w:t>
      </w:r>
    </w:p>
    <w:p w14:paraId="12DE880C" w14:textId="77777777" w:rsidR="007E61D9" w:rsidRDefault="007E61D9">
      <w:pPr>
        <w:ind w:left="3826" w:right="36"/>
        <w:jc w:val="both"/>
        <w:rPr>
          <w:rFonts w:ascii="Arial" w:eastAsia="Arial" w:hAnsi="Arial" w:cs="Arial"/>
          <w:sz w:val="24"/>
          <w:szCs w:val="24"/>
        </w:rPr>
      </w:pPr>
    </w:p>
    <w:p w14:paraId="7E160042" w14:textId="77777777" w:rsidR="007E61D9" w:rsidRDefault="007E61D9">
      <w:pPr>
        <w:pBdr>
          <w:top w:val="nil"/>
          <w:left w:val="nil"/>
          <w:bottom w:val="nil"/>
          <w:right w:val="nil"/>
          <w:between w:val="nil"/>
        </w:pBdr>
        <w:rPr>
          <w:color w:val="000000"/>
        </w:rPr>
      </w:pPr>
    </w:p>
    <w:p w14:paraId="2D14E441" w14:textId="13E1FD29" w:rsidR="007E61D9" w:rsidRDefault="00D65480">
      <w:pPr>
        <w:pBdr>
          <w:top w:val="nil"/>
          <w:left w:val="nil"/>
          <w:bottom w:val="nil"/>
          <w:right w:val="nil"/>
          <w:between w:val="nil"/>
        </w:pBdr>
        <w:spacing w:line="360" w:lineRule="auto"/>
        <w:ind w:right="36"/>
        <w:jc w:val="right"/>
        <w:rPr>
          <w:rFonts w:ascii="Arial" w:eastAsia="Arial" w:hAnsi="Arial" w:cs="Arial"/>
          <w:sz w:val="24"/>
          <w:szCs w:val="24"/>
        </w:rPr>
      </w:pPr>
      <w:r>
        <w:rPr>
          <w:rFonts w:ascii="Arial" w:eastAsia="Arial" w:hAnsi="Arial" w:cs="Arial"/>
          <w:sz w:val="24"/>
          <w:szCs w:val="24"/>
        </w:rPr>
        <w:t>Aguascalientes, Aguascalientes</w:t>
      </w:r>
      <w:r w:rsidRPr="007B3AEB">
        <w:rPr>
          <w:rFonts w:ascii="Arial" w:eastAsia="Arial" w:hAnsi="Arial" w:cs="Arial"/>
          <w:sz w:val="24"/>
          <w:szCs w:val="24"/>
        </w:rPr>
        <w:t xml:space="preserve">, </w:t>
      </w:r>
      <w:r w:rsidRPr="007B3AEB">
        <w:rPr>
          <w:rFonts w:ascii="Arial" w:eastAsia="Arial" w:hAnsi="Arial" w:cs="Arial"/>
          <w:color w:val="000000"/>
          <w:sz w:val="24"/>
          <w:szCs w:val="24"/>
        </w:rPr>
        <w:t xml:space="preserve">a </w:t>
      </w:r>
      <w:r w:rsidR="00180A32">
        <w:rPr>
          <w:rFonts w:ascii="Arial" w:eastAsia="Arial" w:hAnsi="Arial" w:cs="Arial"/>
          <w:sz w:val="24"/>
          <w:szCs w:val="24"/>
        </w:rPr>
        <w:t>20</w:t>
      </w:r>
      <w:r w:rsidRPr="007B3AEB">
        <w:rPr>
          <w:rFonts w:ascii="Arial" w:eastAsia="Arial" w:hAnsi="Arial" w:cs="Arial"/>
          <w:color w:val="000000"/>
          <w:sz w:val="24"/>
          <w:szCs w:val="24"/>
        </w:rPr>
        <w:t xml:space="preserve"> de</w:t>
      </w:r>
      <w:r>
        <w:rPr>
          <w:rFonts w:ascii="Arial" w:eastAsia="Arial" w:hAnsi="Arial" w:cs="Arial"/>
          <w:color w:val="000000"/>
          <w:sz w:val="24"/>
          <w:szCs w:val="24"/>
        </w:rPr>
        <w:t xml:space="preserve"> mayo de 2022</w:t>
      </w:r>
      <w:r>
        <w:rPr>
          <w:rFonts w:ascii="Arial" w:eastAsia="Arial" w:hAnsi="Arial" w:cs="Arial"/>
          <w:sz w:val="24"/>
          <w:szCs w:val="24"/>
        </w:rPr>
        <w:t>.</w:t>
      </w:r>
    </w:p>
    <w:p w14:paraId="15856A42" w14:textId="77777777" w:rsidR="007E61D9" w:rsidRDefault="007E61D9">
      <w:pPr>
        <w:pBdr>
          <w:top w:val="nil"/>
          <w:left w:val="nil"/>
          <w:bottom w:val="nil"/>
          <w:right w:val="nil"/>
          <w:between w:val="nil"/>
        </w:pBdr>
        <w:rPr>
          <w:b/>
          <w:color w:val="000000"/>
          <w:sz w:val="18"/>
          <w:szCs w:val="18"/>
        </w:rPr>
      </w:pPr>
    </w:p>
    <w:p w14:paraId="3A4A14E2" w14:textId="77777777" w:rsidR="007E61D9" w:rsidRDefault="00D65480">
      <w:pPr>
        <w:spacing w:after="240" w:line="360" w:lineRule="auto"/>
        <w:jc w:val="both"/>
        <w:rPr>
          <w:rFonts w:ascii="Arial" w:eastAsia="Arial" w:hAnsi="Arial" w:cs="Arial"/>
          <w:sz w:val="24"/>
          <w:szCs w:val="24"/>
        </w:rPr>
      </w:pPr>
      <w:bookmarkStart w:id="1" w:name="_heading=h.30j0zll" w:colFirst="0" w:colLast="0"/>
      <w:bookmarkEnd w:id="1"/>
      <w:r>
        <w:rPr>
          <w:rFonts w:ascii="Arial" w:eastAsia="Arial" w:hAnsi="Arial" w:cs="Arial"/>
          <w:b/>
          <w:sz w:val="24"/>
          <w:szCs w:val="24"/>
        </w:rPr>
        <w:t xml:space="preserve">Sentencia </w:t>
      </w:r>
      <w:r>
        <w:rPr>
          <w:rFonts w:ascii="Arial" w:eastAsia="Arial" w:hAnsi="Arial" w:cs="Arial"/>
          <w:sz w:val="24"/>
          <w:szCs w:val="24"/>
        </w:rPr>
        <w:t>del Tribunal Electoral</w:t>
      </w:r>
      <w:r>
        <w:rPr>
          <w:rFonts w:ascii="Arial" w:eastAsia="Arial" w:hAnsi="Arial" w:cs="Arial"/>
          <w:b/>
          <w:sz w:val="24"/>
          <w:szCs w:val="24"/>
        </w:rPr>
        <w:t xml:space="preserve"> </w:t>
      </w:r>
      <w:r>
        <w:rPr>
          <w:rFonts w:ascii="Arial" w:eastAsia="Arial" w:hAnsi="Arial" w:cs="Arial"/>
          <w:sz w:val="24"/>
          <w:szCs w:val="24"/>
        </w:rPr>
        <w:t xml:space="preserve">que declara: </w:t>
      </w:r>
      <w:r>
        <w:rPr>
          <w:rFonts w:ascii="Arial" w:eastAsia="Arial" w:hAnsi="Arial" w:cs="Arial"/>
          <w:b/>
          <w:i/>
          <w:sz w:val="24"/>
          <w:szCs w:val="24"/>
        </w:rPr>
        <w:t>a)</w:t>
      </w:r>
      <w:r>
        <w:rPr>
          <w:rFonts w:ascii="Arial" w:eastAsia="Arial" w:hAnsi="Arial" w:cs="Arial"/>
          <w:b/>
          <w:sz w:val="24"/>
          <w:szCs w:val="24"/>
        </w:rPr>
        <w:t xml:space="preserve"> </w:t>
      </w:r>
      <w:r>
        <w:rPr>
          <w:rFonts w:ascii="Arial" w:eastAsia="Arial" w:hAnsi="Arial" w:cs="Arial"/>
          <w:sz w:val="24"/>
          <w:szCs w:val="24"/>
        </w:rPr>
        <w:t xml:space="preserve">la </w:t>
      </w:r>
      <w:r>
        <w:rPr>
          <w:rFonts w:ascii="Arial" w:eastAsia="Arial" w:hAnsi="Arial" w:cs="Arial"/>
          <w:b/>
          <w:sz w:val="24"/>
          <w:szCs w:val="24"/>
        </w:rPr>
        <w:t xml:space="preserve">existencia </w:t>
      </w:r>
      <w:r>
        <w:rPr>
          <w:rFonts w:ascii="Arial" w:eastAsia="Arial" w:hAnsi="Arial" w:cs="Arial"/>
          <w:sz w:val="24"/>
          <w:szCs w:val="24"/>
        </w:rPr>
        <w:t xml:space="preserve">de la infracción de calumnia en perjuicio del Partido Acción Nacional y de María Teresa Jiménez Esquivel, candidata a la gubernatura de esta entidad, atribuida a la ciudadana Nora Ruvalcaba Gámez, candidata a la gubernatura del estado por el partido Morena, derivado de la difusión de un video a través de sus redes sociales, el cual, contiene expresiones que constituyen calumnia y, </w:t>
      </w:r>
      <w:r>
        <w:rPr>
          <w:rFonts w:ascii="Arial" w:eastAsia="Arial" w:hAnsi="Arial" w:cs="Arial"/>
          <w:b/>
          <w:i/>
          <w:sz w:val="24"/>
          <w:szCs w:val="24"/>
        </w:rPr>
        <w:t xml:space="preserve">b) </w:t>
      </w:r>
      <w:r>
        <w:rPr>
          <w:rFonts w:ascii="Arial" w:eastAsia="Arial" w:hAnsi="Arial" w:cs="Arial"/>
          <w:sz w:val="24"/>
          <w:szCs w:val="24"/>
        </w:rPr>
        <w:t xml:space="preserve">la existencia de la infracción de </w:t>
      </w:r>
      <w:r>
        <w:rPr>
          <w:rFonts w:ascii="Arial" w:eastAsia="Arial" w:hAnsi="Arial" w:cs="Arial"/>
          <w:i/>
          <w:sz w:val="24"/>
          <w:szCs w:val="24"/>
        </w:rPr>
        <w:t>culpa in vigilando</w:t>
      </w:r>
      <w:r>
        <w:rPr>
          <w:rFonts w:ascii="Arial" w:eastAsia="Arial" w:hAnsi="Arial" w:cs="Arial"/>
          <w:sz w:val="24"/>
          <w:szCs w:val="24"/>
        </w:rPr>
        <w:t xml:space="preserve"> atribuida al partido político Morena.</w:t>
      </w:r>
    </w:p>
    <w:p w14:paraId="470FF0B4" w14:textId="77777777" w:rsidR="007E61D9" w:rsidRDefault="00D65480">
      <w:pPr>
        <w:spacing w:before="240" w:after="240" w:line="360" w:lineRule="auto"/>
        <w:jc w:val="both"/>
      </w:pPr>
      <w:r>
        <w:rPr>
          <w:rFonts w:ascii="Arial" w:eastAsia="Arial" w:hAnsi="Arial" w:cs="Arial"/>
          <w:sz w:val="24"/>
          <w:szCs w:val="24"/>
        </w:rPr>
        <w:t xml:space="preserve">Ello, porque </w:t>
      </w:r>
      <w:r>
        <w:rPr>
          <w:rFonts w:ascii="Arial" w:eastAsia="Arial" w:hAnsi="Arial" w:cs="Arial"/>
          <w:b/>
          <w:sz w:val="24"/>
          <w:szCs w:val="24"/>
        </w:rPr>
        <w:t>este órgano jurisdiccional considera</w:t>
      </w:r>
      <w:r>
        <w:rPr>
          <w:rFonts w:ascii="Arial" w:eastAsia="Arial" w:hAnsi="Arial" w:cs="Arial"/>
          <w:sz w:val="24"/>
          <w:szCs w:val="24"/>
        </w:rPr>
        <w:t xml:space="preserve"> que del análisis del video denunciado, fue posible advertir que la candidata cuestionada le atribuyó de manera directa tanto al partido denunciante como a su candidata postulada al cargo de gubernatura, la comisión de hechos falsos, sin que de las constancias que existen en el expediente se lograra demostrar con prueba alguna que sustente tal imputación, situación que implica que la parte denunciada tuvo el propósito de provocar un daño a la reputación de dicho partido, en relación con su imagen frente al electorado, de forma maliciosa. </w:t>
      </w:r>
    </w:p>
    <w:p w14:paraId="4991F19F" w14:textId="77777777" w:rsidR="007E61D9" w:rsidRDefault="00D65480">
      <w:pPr>
        <w:spacing w:before="240" w:line="360" w:lineRule="auto"/>
        <w:jc w:val="both"/>
        <w:rPr>
          <w:rFonts w:ascii="Arial" w:eastAsia="Arial" w:hAnsi="Arial" w:cs="Arial"/>
          <w:b/>
          <w:color w:val="000000"/>
          <w:sz w:val="16"/>
          <w:szCs w:val="16"/>
        </w:rPr>
      </w:pPr>
      <w:bookmarkStart w:id="2" w:name="_heading=h.g687188sr8bc" w:colFirst="0" w:colLast="0"/>
      <w:bookmarkEnd w:id="2"/>
      <w:r>
        <w:rPr>
          <w:rFonts w:ascii="Arial" w:eastAsia="Arial" w:hAnsi="Arial" w:cs="Arial"/>
          <w:b/>
          <w:color w:val="000000"/>
          <w:sz w:val="16"/>
          <w:szCs w:val="16"/>
        </w:rPr>
        <w:t xml:space="preserve">                                                                                       </w:t>
      </w:r>
      <w:r w:rsidRPr="00264CBB">
        <w:rPr>
          <w:rFonts w:ascii="Arial" w:eastAsia="Arial" w:hAnsi="Arial" w:cs="Arial"/>
          <w:b/>
          <w:color w:val="000000"/>
          <w:sz w:val="16"/>
          <w:szCs w:val="16"/>
        </w:rPr>
        <w:t>Índice</w:t>
      </w:r>
    </w:p>
    <w:p w14:paraId="7EEF3E7E" w14:textId="77777777" w:rsidR="007E61D9" w:rsidRDefault="00D65480">
      <w:pPr>
        <w:ind w:left="993" w:right="616"/>
        <w:rPr>
          <w:rFonts w:ascii="Arial" w:eastAsia="Arial" w:hAnsi="Arial" w:cs="Arial"/>
          <w:b/>
          <w:sz w:val="16"/>
          <w:szCs w:val="16"/>
        </w:rPr>
      </w:pPr>
      <w:r>
        <w:rPr>
          <w:rFonts w:ascii="Arial" w:eastAsia="Arial" w:hAnsi="Arial" w:cs="Arial"/>
          <w:b/>
          <w:sz w:val="16"/>
          <w:szCs w:val="16"/>
        </w:rPr>
        <w:t>Contexto del caso ……………………………………………………………………………………………...2</w:t>
      </w:r>
    </w:p>
    <w:p w14:paraId="3B3D70E5" w14:textId="77777777" w:rsidR="007E61D9" w:rsidRDefault="00D65480">
      <w:pPr>
        <w:ind w:left="993" w:right="616"/>
        <w:rPr>
          <w:rFonts w:ascii="Arial" w:eastAsia="Arial" w:hAnsi="Arial" w:cs="Arial"/>
          <w:b/>
          <w:sz w:val="16"/>
          <w:szCs w:val="16"/>
        </w:rPr>
      </w:pPr>
      <w:r>
        <w:rPr>
          <w:rFonts w:ascii="Arial" w:eastAsia="Arial" w:hAnsi="Arial" w:cs="Arial"/>
          <w:b/>
          <w:sz w:val="16"/>
          <w:szCs w:val="16"/>
        </w:rPr>
        <w:t>Competencia ……………………………………………………………………………………………</w:t>
      </w:r>
      <w:proofErr w:type="gramStart"/>
      <w:r>
        <w:rPr>
          <w:rFonts w:ascii="Arial" w:eastAsia="Arial" w:hAnsi="Arial" w:cs="Arial"/>
          <w:b/>
          <w:sz w:val="16"/>
          <w:szCs w:val="16"/>
        </w:rPr>
        <w:t>…....</w:t>
      </w:r>
      <w:proofErr w:type="gramEnd"/>
      <w:r>
        <w:rPr>
          <w:rFonts w:ascii="Arial" w:eastAsia="Arial" w:hAnsi="Arial" w:cs="Arial"/>
          <w:b/>
          <w:sz w:val="16"/>
          <w:szCs w:val="16"/>
        </w:rPr>
        <w:t>…3</w:t>
      </w:r>
    </w:p>
    <w:p w14:paraId="3F20C441" w14:textId="77777777" w:rsidR="007E61D9" w:rsidRDefault="00D65480">
      <w:pPr>
        <w:ind w:left="993" w:right="616"/>
        <w:rPr>
          <w:rFonts w:ascii="Arial" w:eastAsia="Arial" w:hAnsi="Arial" w:cs="Arial"/>
          <w:b/>
          <w:sz w:val="16"/>
          <w:szCs w:val="16"/>
        </w:rPr>
      </w:pPr>
      <w:r>
        <w:rPr>
          <w:rFonts w:ascii="Arial" w:eastAsia="Arial" w:hAnsi="Arial" w:cs="Arial"/>
          <w:b/>
          <w:sz w:val="16"/>
          <w:szCs w:val="16"/>
        </w:rPr>
        <w:t>Personería ………………………………………………………………………………………………</w:t>
      </w:r>
      <w:proofErr w:type="gramStart"/>
      <w:r>
        <w:rPr>
          <w:rFonts w:ascii="Arial" w:eastAsia="Arial" w:hAnsi="Arial" w:cs="Arial"/>
          <w:b/>
          <w:sz w:val="16"/>
          <w:szCs w:val="16"/>
        </w:rPr>
        <w:t>…....</w:t>
      </w:r>
      <w:proofErr w:type="gramEnd"/>
      <w:r>
        <w:rPr>
          <w:rFonts w:ascii="Arial" w:eastAsia="Arial" w:hAnsi="Arial" w:cs="Arial"/>
          <w:b/>
          <w:sz w:val="16"/>
          <w:szCs w:val="16"/>
        </w:rPr>
        <w:t>…</w:t>
      </w:r>
      <w:r>
        <w:rPr>
          <w:rFonts w:ascii="Arial" w:eastAsia="Arial" w:hAnsi="Arial" w:cs="Arial"/>
          <w:b/>
          <w:sz w:val="8"/>
          <w:szCs w:val="8"/>
        </w:rPr>
        <w:t>.</w:t>
      </w:r>
      <w:r>
        <w:rPr>
          <w:rFonts w:ascii="Arial" w:eastAsia="Arial" w:hAnsi="Arial" w:cs="Arial"/>
          <w:b/>
          <w:sz w:val="16"/>
          <w:szCs w:val="16"/>
        </w:rPr>
        <w:t>3</w:t>
      </w:r>
    </w:p>
    <w:p w14:paraId="6715BAE4" w14:textId="77777777" w:rsidR="007E61D9" w:rsidRDefault="00D65480">
      <w:pPr>
        <w:ind w:left="993" w:right="616"/>
        <w:rPr>
          <w:rFonts w:ascii="Arial" w:eastAsia="Arial" w:hAnsi="Arial" w:cs="Arial"/>
          <w:b/>
          <w:sz w:val="16"/>
          <w:szCs w:val="16"/>
        </w:rPr>
      </w:pPr>
      <w:r>
        <w:rPr>
          <w:rFonts w:ascii="Arial" w:eastAsia="Arial" w:hAnsi="Arial" w:cs="Arial"/>
          <w:b/>
          <w:sz w:val="16"/>
          <w:szCs w:val="16"/>
        </w:rPr>
        <w:t>Causales de improcedencia ……………………………………………………………………………</w:t>
      </w:r>
      <w:proofErr w:type="gramStart"/>
      <w:r>
        <w:rPr>
          <w:rFonts w:ascii="Arial" w:eastAsia="Arial" w:hAnsi="Arial" w:cs="Arial"/>
          <w:b/>
          <w:sz w:val="16"/>
          <w:szCs w:val="16"/>
        </w:rPr>
        <w:t>……</w:t>
      </w:r>
      <w:r>
        <w:rPr>
          <w:rFonts w:ascii="Arial" w:eastAsia="Arial" w:hAnsi="Arial" w:cs="Arial"/>
          <w:b/>
          <w:sz w:val="14"/>
          <w:szCs w:val="14"/>
        </w:rPr>
        <w:t>.</w:t>
      </w:r>
      <w:proofErr w:type="gramEnd"/>
      <w:r>
        <w:rPr>
          <w:rFonts w:ascii="Arial" w:eastAsia="Arial" w:hAnsi="Arial" w:cs="Arial"/>
          <w:b/>
          <w:sz w:val="16"/>
          <w:szCs w:val="16"/>
        </w:rPr>
        <w:t>3</w:t>
      </w:r>
    </w:p>
    <w:p w14:paraId="47AFAF65" w14:textId="77777777" w:rsidR="007E61D9" w:rsidRDefault="00D65480">
      <w:pPr>
        <w:ind w:left="993" w:right="616"/>
        <w:rPr>
          <w:rFonts w:ascii="Arial" w:eastAsia="Arial" w:hAnsi="Arial" w:cs="Arial"/>
          <w:b/>
          <w:sz w:val="16"/>
          <w:szCs w:val="16"/>
        </w:rPr>
      </w:pPr>
      <w:r>
        <w:rPr>
          <w:rFonts w:ascii="Arial" w:eastAsia="Arial" w:hAnsi="Arial" w:cs="Arial"/>
          <w:b/>
          <w:sz w:val="16"/>
          <w:szCs w:val="16"/>
        </w:rPr>
        <w:t>Estudio de fondo……………………………………………………………………………</w:t>
      </w:r>
      <w:proofErr w:type="gramStart"/>
      <w:r>
        <w:rPr>
          <w:rFonts w:ascii="Arial" w:eastAsia="Arial" w:hAnsi="Arial" w:cs="Arial"/>
          <w:b/>
          <w:sz w:val="16"/>
          <w:szCs w:val="16"/>
        </w:rPr>
        <w:t>…....</w:t>
      </w:r>
      <w:proofErr w:type="gramEnd"/>
      <w:r>
        <w:rPr>
          <w:rFonts w:ascii="Arial" w:eastAsia="Arial" w:hAnsi="Arial" w:cs="Arial"/>
          <w:b/>
          <w:sz w:val="16"/>
          <w:szCs w:val="16"/>
        </w:rPr>
        <w:t>.…………....4</w:t>
      </w:r>
    </w:p>
    <w:p w14:paraId="39E8851E" w14:textId="3A73B5B8" w:rsidR="007E61D9" w:rsidRPr="00B449FA" w:rsidRDefault="00D65480">
      <w:pPr>
        <w:ind w:left="993" w:right="616"/>
        <w:rPr>
          <w:rFonts w:ascii="Arial" w:eastAsia="Arial" w:hAnsi="Arial" w:cs="Arial"/>
          <w:b/>
          <w:sz w:val="16"/>
          <w:szCs w:val="16"/>
        </w:rPr>
      </w:pPr>
      <w:r>
        <w:rPr>
          <w:rFonts w:ascii="Arial" w:eastAsia="Arial" w:hAnsi="Arial" w:cs="Arial"/>
          <w:b/>
          <w:sz w:val="16"/>
          <w:szCs w:val="16"/>
        </w:rPr>
        <w:t xml:space="preserve">Análisis </w:t>
      </w:r>
      <w:r w:rsidRPr="00B449FA">
        <w:rPr>
          <w:rFonts w:ascii="Arial" w:eastAsia="Arial" w:hAnsi="Arial" w:cs="Arial"/>
          <w:b/>
          <w:sz w:val="16"/>
          <w:szCs w:val="16"/>
        </w:rPr>
        <w:t>de fondo …………………………………………………………………………………………</w:t>
      </w:r>
      <w:proofErr w:type="gramStart"/>
      <w:r w:rsidRPr="00B449FA">
        <w:rPr>
          <w:rFonts w:ascii="Arial" w:eastAsia="Arial" w:hAnsi="Arial" w:cs="Arial"/>
          <w:b/>
          <w:sz w:val="16"/>
          <w:szCs w:val="16"/>
        </w:rPr>
        <w:t>…....</w:t>
      </w:r>
      <w:proofErr w:type="gramEnd"/>
      <w:r w:rsidR="00B00135">
        <w:rPr>
          <w:rFonts w:ascii="Arial" w:eastAsia="Arial" w:hAnsi="Arial" w:cs="Arial"/>
          <w:b/>
          <w:sz w:val="16"/>
          <w:szCs w:val="16"/>
        </w:rPr>
        <w:t>7</w:t>
      </w:r>
    </w:p>
    <w:p w14:paraId="2847980E" w14:textId="54F0E8E7" w:rsidR="007E61D9" w:rsidRPr="00264CBB" w:rsidRDefault="00D65480">
      <w:pPr>
        <w:ind w:left="993" w:right="616"/>
        <w:rPr>
          <w:rFonts w:ascii="Arial" w:eastAsia="Arial" w:hAnsi="Arial" w:cs="Arial"/>
          <w:bCs/>
          <w:sz w:val="16"/>
          <w:szCs w:val="16"/>
        </w:rPr>
      </w:pPr>
      <w:r w:rsidRPr="00264CBB">
        <w:rPr>
          <w:rFonts w:ascii="Arial" w:eastAsia="Arial" w:hAnsi="Arial" w:cs="Arial"/>
          <w:bCs/>
          <w:sz w:val="16"/>
          <w:szCs w:val="16"/>
        </w:rPr>
        <w:t>Apartado I. Decisión…………………………………………………………………………………</w:t>
      </w:r>
      <w:r w:rsidR="00264CBB">
        <w:rPr>
          <w:rFonts w:ascii="Arial" w:eastAsia="Arial" w:hAnsi="Arial" w:cs="Arial"/>
          <w:bCs/>
          <w:sz w:val="16"/>
          <w:szCs w:val="16"/>
        </w:rPr>
        <w:t>…</w:t>
      </w:r>
      <w:r w:rsidRPr="00264CBB">
        <w:rPr>
          <w:rFonts w:ascii="Arial" w:eastAsia="Arial" w:hAnsi="Arial" w:cs="Arial"/>
          <w:bCs/>
          <w:sz w:val="16"/>
          <w:szCs w:val="16"/>
        </w:rPr>
        <w:t>…</w:t>
      </w:r>
      <w:proofErr w:type="gramStart"/>
      <w:r w:rsidRPr="00264CBB">
        <w:rPr>
          <w:rFonts w:ascii="Arial" w:eastAsia="Arial" w:hAnsi="Arial" w:cs="Arial"/>
          <w:bCs/>
          <w:sz w:val="16"/>
          <w:szCs w:val="16"/>
        </w:rPr>
        <w:t>…….</w:t>
      </w:r>
      <w:proofErr w:type="gramEnd"/>
      <w:r w:rsidRPr="00264CBB">
        <w:rPr>
          <w:rFonts w:ascii="Arial" w:eastAsia="Arial" w:hAnsi="Arial" w:cs="Arial"/>
          <w:bCs/>
          <w:sz w:val="16"/>
          <w:szCs w:val="16"/>
        </w:rPr>
        <w:t>.</w:t>
      </w:r>
      <w:r w:rsidRPr="00264CBB">
        <w:rPr>
          <w:rFonts w:ascii="Arial" w:eastAsia="Arial" w:hAnsi="Arial" w:cs="Arial"/>
          <w:bCs/>
          <w:sz w:val="8"/>
          <w:szCs w:val="8"/>
        </w:rPr>
        <w:t xml:space="preserve"> </w:t>
      </w:r>
      <w:r w:rsidR="00B00135" w:rsidRPr="00B00135">
        <w:rPr>
          <w:rFonts w:ascii="Arial" w:eastAsia="Arial" w:hAnsi="Arial" w:cs="Arial"/>
          <w:b/>
          <w:sz w:val="16"/>
          <w:szCs w:val="16"/>
        </w:rPr>
        <w:t>7</w:t>
      </w:r>
    </w:p>
    <w:p w14:paraId="5DA127DA" w14:textId="2AAB90B8" w:rsidR="007E61D9" w:rsidRPr="00264CBB" w:rsidRDefault="00D65480">
      <w:pPr>
        <w:ind w:left="993" w:right="616"/>
        <w:rPr>
          <w:rFonts w:ascii="Arial" w:eastAsia="Arial" w:hAnsi="Arial" w:cs="Arial"/>
          <w:bCs/>
          <w:sz w:val="16"/>
          <w:szCs w:val="16"/>
        </w:rPr>
      </w:pPr>
      <w:r w:rsidRPr="00264CBB">
        <w:rPr>
          <w:rFonts w:ascii="Arial" w:eastAsia="Arial" w:hAnsi="Arial" w:cs="Arial"/>
          <w:bCs/>
          <w:sz w:val="16"/>
          <w:szCs w:val="16"/>
        </w:rPr>
        <w:t>Apartado II. Desarrollo y justificación de la decisión………………………………………………</w:t>
      </w:r>
      <w:r w:rsidR="00264CBB">
        <w:rPr>
          <w:rFonts w:ascii="Arial" w:eastAsia="Arial" w:hAnsi="Arial" w:cs="Arial"/>
          <w:bCs/>
          <w:sz w:val="16"/>
          <w:szCs w:val="16"/>
        </w:rPr>
        <w:t>……</w:t>
      </w:r>
      <w:r w:rsidRPr="00264CBB">
        <w:rPr>
          <w:rFonts w:ascii="Arial" w:eastAsia="Arial" w:hAnsi="Arial" w:cs="Arial"/>
          <w:bCs/>
          <w:sz w:val="16"/>
          <w:szCs w:val="16"/>
        </w:rPr>
        <w:t>……</w:t>
      </w:r>
      <w:r w:rsidR="00B00135" w:rsidRPr="00B00135">
        <w:rPr>
          <w:rFonts w:ascii="Arial" w:eastAsia="Arial" w:hAnsi="Arial" w:cs="Arial"/>
          <w:b/>
          <w:sz w:val="16"/>
          <w:szCs w:val="16"/>
        </w:rPr>
        <w:t>8</w:t>
      </w:r>
    </w:p>
    <w:p w14:paraId="0A82BD13" w14:textId="12865B63" w:rsidR="007E61D9" w:rsidRPr="00B449FA" w:rsidRDefault="00D65480">
      <w:pPr>
        <w:tabs>
          <w:tab w:val="right" w:pos="8263"/>
          <w:tab w:val="left" w:pos="8789"/>
        </w:tabs>
        <w:ind w:left="993" w:right="616"/>
        <w:rPr>
          <w:rFonts w:ascii="Arial" w:eastAsia="Arial" w:hAnsi="Arial" w:cs="Arial"/>
          <w:b/>
          <w:sz w:val="16"/>
          <w:szCs w:val="16"/>
        </w:rPr>
      </w:pPr>
      <w:r w:rsidRPr="00264CBB">
        <w:rPr>
          <w:rFonts w:ascii="Arial" w:eastAsia="Arial" w:hAnsi="Arial" w:cs="Arial"/>
          <w:bCs/>
          <w:sz w:val="16"/>
          <w:szCs w:val="16"/>
        </w:rPr>
        <w:t>Culpa in vigilando...…</w:t>
      </w:r>
      <w:proofErr w:type="gramStart"/>
      <w:r w:rsidRPr="00264CBB">
        <w:rPr>
          <w:rFonts w:ascii="Arial" w:eastAsia="Arial" w:hAnsi="Arial" w:cs="Arial"/>
          <w:bCs/>
          <w:sz w:val="16"/>
          <w:szCs w:val="16"/>
        </w:rPr>
        <w:t>…….</w:t>
      </w:r>
      <w:proofErr w:type="gramEnd"/>
      <w:r w:rsidRPr="00264CBB">
        <w:rPr>
          <w:rFonts w:ascii="Arial" w:eastAsia="Arial" w:hAnsi="Arial" w:cs="Arial"/>
          <w:bCs/>
          <w:sz w:val="16"/>
          <w:szCs w:val="16"/>
        </w:rPr>
        <w:t>.…………………………………………………………………....…………......</w:t>
      </w:r>
      <w:r w:rsidRPr="00B00135">
        <w:rPr>
          <w:rFonts w:ascii="Arial" w:eastAsia="Arial" w:hAnsi="Arial" w:cs="Arial"/>
          <w:b/>
          <w:sz w:val="16"/>
          <w:szCs w:val="16"/>
        </w:rPr>
        <w:t>1</w:t>
      </w:r>
      <w:r w:rsidR="00B00135" w:rsidRPr="00B00135">
        <w:rPr>
          <w:rFonts w:ascii="Arial" w:eastAsia="Arial" w:hAnsi="Arial" w:cs="Arial"/>
          <w:b/>
          <w:sz w:val="16"/>
          <w:szCs w:val="16"/>
        </w:rPr>
        <w:t>9</w:t>
      </w:r>
    </w:p>
    <w:p w14:paraId="549C4470" w14:textId="5283CA02" w:rsidR="007E61D9" w:rsidRDefault="00D65480">
      <w:pPr>
        <w:tabs>
          <w:tab w:val="right" w:pos="8263"/>
        </w:tabs>
        <w:ind w:left="993" w:right="616"/>
        <w:rPr>
          <w:rFonts w:ascii="Arial" w:eastAsia="Arial" w:hAnsi="Arial" w:cs="Arial"/>
          <w:b/>
          <w:sz w:val="16"/>
          <w:szCs w:val="16"/>
        </w:rPr>
      </w:pPr>
      <w:proofErr w:type="gramStart"/>
      <w:r>
        <w:rPr>
          <w:rFonts w:ascii="Arial" w:eastAsia="Arial" w:hAnsi="Arial" w:cs="Arial"/>
          <w:b/>
          <w:sz w:val="16"/>
          <w:szCs w:val="16"/>
        </w:rPr>
        <w:t>Resolutivos.…</w:t>
      </w:r>
      <w:proofErr w:type="gramEnd"/>
      <w:r>
        <w:rPr>
          <w:rFonts w:ascii="Arial" w:eastAsia="Arial" w:hAnsi="Arial" w:cs="Arial"/>
          <w:b/>
          <w:sz w:val="16"/>
          <w:szCs w:val="16"/>
        </w:rPr>
        <w:t>………………………………………………………………………………….....…………...</w:t>
      </w:r>
      <w:r w:rsidR="00B00135">
        <w:rPr>
          <w:rFonts w:ascii="Arial" w:eastAsia="Arial" w:hAnsi="Arial" w:cs="Arial"/>
          <w:b/>
          <w:sz w:val="16"/>
          <w:szCs w:val="16"/>
        </w:rPr>
        <w:t>20</w:t>
      </w:r>
    </w:p>
    <w:p w14:paraId="09FA61EB" w14:textId="77777777" w:rsidR="007E61D9" w:rsidRDefault="007E61D9">
      <w:pPr>
        <w:pBdr>
          <w:top w:val="nil"/>
          <w:left w:val="nil"/>
          <w:bottom w:val="nil"/>
          <w:right w:val="nil"/>
          <w:between w:val="nil"/>
        </w:pBdr>
        <w:rPr>
          <w:color w:val="000000"/>
        </w:rPr>
      </w:pPr>
    </w:p>
    <w:p w14:paraId="658B370E" w14:textId="77777777" w:rsidR="007E61D9" w:rsidRDefault="00D65480">
      <w:pPr>
        <w:spacing w:line="360" w:lineRule="auto"/>
        <w:ind w:left="3881" w:right="2324" w:hanging="140"/>
        <w:rPr>
          <w:rFonts w:ascii="Arial" w:eastAsia="Arial" w:hAnsi="Arial" w:cs="Arial"/>
          <w:b/>
          <w:sz w:val="16"/>
          <w:szCs w:val="16"/>
        </w:rPr>
      </w:pPr>
      <w:r>
        <w:rPr>
          <w:rFonts w:ascii="Arial" w:eastAsia="Arial" w:hAnsi="Arial" w:cs="Arial"/>
          <w:b/>
          <w:sz w:val="16"/>
          <w:szCs w:val="16"/>
        </w:rPr>
        <w:t xml:space="preserve"> Glosario</w:t>
      </w:r>
    </w:p>
    <w:tbl>
      <w:tblPr>
        <w:tblStyle w:val="afc"/>
        <w:tblW w:w="7229" w:type="dxa"/>
        <w:tblInd w:w="851" w:type="dxa"/>
        <w:tblLayout w:type="fixed"/>
        <w:tblLook w:val="0400" w:firstRow="0" w:lastRow="0" w:firstColumn="0" w:lastColumn="0" w:noHBand="0" w:noVBand="1"/>
      </w:tblPr>
      <w:tblGrid>
        <w:gridCol w:w="1843"/>
        <w:gridCol w:w="5386"/>
      </w:tblGrid>
      <w:tr w:rsidR="007E61D9" w14:paraId="4208320D" w14:textId="77777777" w:rsidTr="0030651C">
        <w:trPr>
          <w:trHeight w:val="460"/>
        </w:trPr>
        <w:tc>
          <w:tcPr>
            <w:tcW w:w="1843" w:type="dxa"/>
            <w:shd w:val="clear" w:color="auto" w:fill="auto"/>
          </w:tcPr>
          <w:p w14:paraId="28CC0741" w14:textId="77777777" w:rsidR="007E61D9" w:rsidRDefault="00D65480">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Denunciante:</w:t>
            </w:r>
          </w:p>
          <w:p w14:paraId="363F030F" w14:textId="77777777" w:rsidR="007E61D9" w:rsidRDefault="00D65480">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 xml:space="preserve">Denunciados: </w:t>
            </w:r>
          </w:p>
          <w:p w14:paraId="2A652400" w14:textId="77777777" w:rsidR="007E61D9" w:rsidRDefault="007E61D9">
            <w:pPr>
              <w:spacing w:line="276" w:lineRule="auto"/>
              <w:jc w:val="both"/>
              <w:rPr>
                <w:rFonts w:ascii="Arial" w:eastAsia="Arial" w:hAnsi="Arial" w:cs="Arial"/>
                <w:b/>
                <w:color w:val="000000"/>
                <w:sz w:val="16"/>
                <w:szCs w:val="16"/>
              </w:rPr>
            </w:pPr>
          </w:p>
          <w:p w14:paraId="0522EDC5" w14:textId="77777777" w:rsidR="007E61D9" w:rsidRDefault="00D65480">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Código Electoral:</w:t>
            </w:r>
          </w:p>
          <w:p w14:paraId="280842E9" w14:textId="77777777" w:rsidR="007E61D9" w:rsidRDefault="00D65480">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Consejo General:</w:t>
            </w:r>
          </w:p>
          <w:p w14:paraId="5FFB9BCA" w14:textId="77777777" w:rsidR="007E61D9" w:rsidRDefault="00D65480">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Instituto Local:</w:t>
            </w:r>
          </w:p>
        </w:tc>
        <w:tc>
          <w:tcPr>
            <w:tcW w:w="5386" w:type="dxa"/>
            <w:shd w:val="clear" w:color="auto" w:fill="auto"/>
          </w:tcPr>
          <w:p w14:paraId="52948899" w14:textId="77777777" w:rsidR="007E61D9" w:rsidRDefault="00D65480">
            <w:pPr>
              <w:spacing w:line="276" w:lineRule="auto"/>
              <w:ind w:right="518"/>
              <w:jc w:val="both"/>
              <w:rPr>
                <w:rFonts w:ascii="Arial" w:eastAsia="Arial" w:hAnsi="Arial" w:cs="Arial"/>
                <w:color w:val="000000"/>
                <w:sz w:val="16"/>
                <w:szCs w:val="16"/>
              </w:rPr>
            </w:pPr>
            <w:r>
              <w:rPr>
                <w:rFonts w:ascii="Arial" w:eastAsia="Arial" w:hAnsi="Arial" w:cs="Arial"/>
                <w:color w:val="000000"/>
                <w:sz w:val="16"/>
                <w:szCs w:val="16"/>
              </w:rPr>
              <w:lastRenderedPageBreak/>
              <w:t>Partido Acción Nacional y Partido Revolucionario Institucional.</w:t>
            </w:r>
          </w:p>
          <w:p w14:paraId="274924DC" w14:textId="77777777" w:rsidR="007E61D9" w:rsidRDefault="00D65480">
            <w:pPr>
              <w:spacing w:line="276" w:lineRule="auto"/>
              <w:ind w:right="-259"/>
              <w:jc w:val="both"/>
              <w:rPr>
                <w:rFonts w:ascii="Arial" w:eastAsia="Arial" w:hAnsi="Arial" w:cs="Arial"/>
                <w:color w:val="000000"/>
                <w:sz w:val="16"/>
                <w:szCs w:val="16"/>
              </w:rPr>
            </w:pPr>
            <w:r>
              <w:rPr>
                <w:rFonts w:ascii="Arial" w:eastAsia="Arial" w:hAnsi="Arial" w:cs="Arial"/>
                <w:color w:val="000000"/>
                <w:sz w:val="16"/>
                <w:szCs w:val="16"/>
              </w:rPr>
              <w:t xml:space="preserve">Nora Ruvalcaba Gámez, candidata de MORENA a la gubernatura </w:t>
            </w:r>
          </w:p>
          <w:p w14:paraId="3C17C624" w14:textId="77777777" w:rsidR="007E61D9" w:rsidRDefault="00D65480">
            <w:pPr>
              <w:spacing w:line="276" w:lineRule="auto"/>
              <w:ind w:right="-259"/>
              <w:jc w:val="both"/>
              <w:rPr>
                <w:rFonts w:ascii="Arial" w:eastAsia="Arial" w:hAnsi="Arial" w:cs="Arial"/>
                <w:color w:val="000000"/>
                <w:sz w:val="16"/>
                <w:szCs w:val="16"/>
              </w:rPr>
            </w:pPr>
            <w:r>
              <w:rPr>
                <w:rFonts w:ascii="Arial" w:eastAsia="Arial" w:hAnsi="Arial" w:cs="Arial"/>
                <w:color w:val="000000"/>
                <w:sz w:val="16"/>
                <w:szCs w:val="16"/>
              </w:rPr>
              <w:lastRenderedPageBreak/>
              <w:t xml:space="preserve">del estado, y MORENA. </w:t>
            </w:r>
          </w:p>
          <w:p w14:paraId="77193216" w14:textId="77777777" w:rsidR="007E61D9" w:rsidRDefault="00D65480">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Código Electoral del Estado de Aguascalientes.</w:t>
            </w:r>
          </w:p>
          <w:p w14:paraId="1CA35C1F" w14:textId="77777777" w:rsidR="007E61D9" w:rsidRDefault="00D65480">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Consejo General del Instituto Estatal Electoral de Aguascalientes.</w:t>
            </w:r>
          </w:p>
          <w:p w14:paraId="4211DAEB" w14:textId="77777777" w:rsidR="007E61D9" w:rsidRDefault="00D65480">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Instituto Estatal Electoral de Aguascalientes.</w:t>
            </w:r>
          </w:p>
        </w:tc>
      </w:tr>
      <w:tr w:rsidR="007E61D9" w14:paraId="7A1012FD" w14:textId="77777777">
        <w:trPr>
          <w:trHeight w:val="578"/>
        </w:trPr>
        <w:tc>
          <w:tcPr>
            <w:tcW w:w="1843" w:type="dxa"/>
            <w:shd w:val="clear" w:color="auto" w:fill="auto"/>
          </w:tcPr>
          <w:p w14:paraId="4F74FDE7" w14:textId="77777777" w:rsidR="007E61D9" w:rsidRDefault="00D65480">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lastRenderedPageBreak/>
              <w:t xml:space="preserve">LEGIPE: </w:t>
            </w:r>
          </w:p>
          <w:p w14:paraId="563D774F" w14:textId="77777777" w:rsidR="007E61D9" w:rsidRDefault="00D65480">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MORENA:</w:t>
            </w:r>
          </w:p>
          <w:p w14:paraId="0F16FD3A" w14:textId="77777777" w:rsidR="007E61D9" w:rsidRDefault="00D65480">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Sala Superior:</w:t>
            </w:r>
          </w:p>
          <w:p w14:paraId="7FFD4048" w14:textId="77777777" w:rsidR="007E61D9" w:rsidRDefault="007E61D9">
            <w:pPr>
              <w:spacing w:line="276" w:lineRule="auto"/>
              <w:jc w:val="both"/>
              <w:rPr>
                <w:rFonts w:ascii="Arial" w:eastAsia="Arial" w:hAnsi="Arial" w:cs="Arial"/>
                <w:b/>
                <w:color w:val="000000"/>
                <w:sz w:val="16"/>
                <w:szCs w:val="16"/>
              </w:rPr>
            </w:pPr>
          </w:p>
          <w:p w14:paraId="3197FC6C" w14:textId="77777777" w:rsidR="007E61D9" w:rsidRDefault="00D65480">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Secretario Ejecutivo:</w:t>
            </w:r>
          </w:p>
          <w:p w14:paraId="2EBB953A" w14:textId="77777777" w:rsidR="007E61D9" w:rsidRDefault="00D65480">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PAN:</w:t>
            </w:r>
          </w:p>
          <w:p w14:paraId="6D588B50" w14:textId="77777777" w:rsidR="007E61D9" w:rsidRDefault="00D65480">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PEL:</w:t>
            </w:r>
          </w:p>
          <w:p w14:paraId="78E57392" w14:textId="77777777" w:rsidR="007E61D9" w:rsidRDefault="00D65480">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PES:</w:t>
            </w:r>
          </w:p>
          <w:p w14:paraId="158F9D74" w14:textId="77777777" w:rsidR="007E61D9" w:rsidRDefault="00D65480">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PRI:</w:t>
            </w:r>
          </w:p>
          <w:p w14:paraId="419836E5" w14:textId="77777777" w:rsidR="007E61D9" w:rsidRDefault="00D65480">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Tribunal Electoral:</w:t>
            </w:r>
          </w:p>
          <w:p w14:paraId="077EBB2C" w14:textId="77777777" w:rsidR="007E61D9" w:rsidRDefault="00D65480">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SCJN:</w:t>
            </w:r>
          </w:p>
          <w:p w14:paraId="23DF4181" w14:textId="77777777" w:rsidR="007E61D9" w:rsidRDefault="007E61D9">
            <w:pPr>
              <w:spacing w:line="276" w:lineRule="auto"/>
              <w:jc w:val="both"/>
              <w:rPr>
                <w:rFonts w:ascii="Arial" w:eastAsia="Arial" w:hAnsi="Arial" w:cs="Arial"/>
                <w:b/>
                <w:color w:val="000000"/>
                <w:sz w:val="16"/>
                <w:szCs w:val="16"/>
              </w:rPr>
            </w:pPr>
          </w:p>
        </w:tc>
        <w:tc>
          <w:tcPr>
            <w:tcW w:w="5386" w:type="dxa"/>
            <w:shd w:val="clear" w:color="auto" w:fill="auto"/>
          </w:tcPr>
          <w:p w14:paraId="46E0C662" w14:textId="77777777" w:rsidR="007E61D9" w:rsidRDefault="00D65480">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Ley General de Instituciones y Procedimientos Electorales.</w:t>
            </w:r>
          </w:p>
          <w:p w14:paraId="3827733F" w14:textId="77777777" w:rsidR="007E61D9" w:rsidRDefault="00D65480">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 xml:space="preserve">Movimiento de Regeneración Nacional. </w:t>
            </w:r>
          </w:p>
          <w:p w14:paraId="5C7D02F7" w14:textId="77777777" w:rsidR="007E61D9" w:rsidRDefault="00D65480">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 xml:space="preserve">Sala Superior del Tribunal Electoral del Poder Judicial de la Federación. </w:t>
            </w:r>
          </w:p>
          <w:p w14:paraId="42E797B8" w14:textId="77777777" w:rsidR="007E61D9" w:rsidRDefault="00D65480">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 xml:space="preserve">Secretario Ejecutivo del Instituto Estatal Electoral de Aguascalientes. </w:t>
            </w:r>
          </w:p>
          <w:p w14:paraId="49B44D74" w14:textId="77777777" w:rsidR="007E61D9" w:rsidRDefault="00D65480">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Partido Acción Nacional.</w:t>
            </w:r>
          </w:p>
          <w:p w14:paraId="250C2C4A" w14:textId="77777777" w:rsidR="007E61D9" w:rsidRDefault="00D65480">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 xml:space="preserve">Procedimiento Electoral Local. </w:t>
            </w:r>
          </w:p>
          <w:p w14:paraId="5F0BE1DB" w14:textId="77777777" w:rsidR="007E61D9" w:rsidRDefault="00D65480">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Procedimiento Especial Sancionador.</w:t>
            </w:r>
          </w:p>
          <w:p w14:paraId="65E479A1" w14:textId="77777777" w:rsidR="007E61D9" w:rsidRDefault="00D65480">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 xml:space="preserve">Partido Revolucionario Institucional. </w:t>
            </w:r>
          </w:p>
          <w:p w14:paraId="091B04FC" w14:textId="77777777" w:rsidR="007E61D9" w:rsidRDefault="00D65480">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Tribunal Electoral del Estado de Aguascalientes.</w:t>
            </w:r>
          </w:p>
          <w:p w14:paraId="6C9AF5CF" w14:textId="77777777" w:rsidR="007E61D9" w:rsidRDefault="00D65480">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Suprema Corte de Justicia de la Nación.</w:t>
            </w:r>
          </w:p>
          <w:p w14:paraId="0FD5043B" w14:textId="77777777" w:rsidR="007E61D9" w:rsidRDefault="007E61D9">
            <w:pPr>
              <w:spacing w:line="276" w:lineRule="auto"/>
              <w:ind w:right="178"/>
              <w:jc w:val="both"/>
              <w:rPr>
                <w:rFonts w:ascii="Arial" w:eastAsia="Arial" w:hAnsi="Arial" w:cs="Arial"/>
                <w:color w:val="000000"/>
                <w:sz w:val="16"/>
                <w:szCs w:val="16"/>
              </w:rPr>
            </w:pPr>
          </w:p>
        </w:tc>
      </w:tr>
    </w:tbl>
    <w:p w14:paraId="55B55FA8" w14:textId="77777777" w:rsidR="007E61D9" w:rsidRDefault="007E61D9">
      <w:pPr>
        <w:pBdr>
          <w:top w:val="nil"/>
          <w:left w:val="nil"/>
          <w:bottom w:val="nil"/>
          <w:right w:val="nil"/>
          <w:between w:val="nil"/>
        </w:pBdr>
        <w:rPr>
          <w:color w:val="000000"/>
          <w:sz w:val="10"/>
          <w:szCs w:val="10"/>
        </w:rPr>
      </w:pPr>
    </w:p>
    <w:p w14:paraId="2A2391AA" w14:textId="77777777" w:rsidR="007E61D9" w:rsidRDefault="00D65480">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rPr>
        <w:t>I. Contexto del caso.</w:t>
      </w:r>
      <w:r>
        <w:rPr>
          <w:rFonts w:ascii="Arial" w:eastAsia="Arial" w:hAnsi="Arial" w:cs="Arial"/>
          <w:b/>
          <w:sz w:val="24"/>
          <w:szCs w:val="24"/>
          <w:vertAlign w:val="superscript"/>
        </w:rPr>
        <w:footnoteReference w:id="2"/>
      </w:r>
    </w:p>
    <w:p w14:paraId="3197F43C" w14:textId="77777777" w:rsidR="007E61D9" w:rsidRDefault="007E61D9">
      <w:pPr>
        <w:pBdr>
          <w:top w:val="nil"/>
          <w:left w:val="nil"/>
          <w:bottom w:val="nil"/>
          <w:right w:val="nil"/>
          <w:between w:val="nil"/>
        </w:pBdr>
        <w:rPr>
          <w:color w:val="000000"/>
        </w:rPr>
      </w:pPr>
    </w:p>
    <w:p w14:paraId="2D817498" w14:textId="7DD7AC56" w:rsidR="007E61D9" w:rsidRDefault="00D65480">
      <w:pPr>
        <w:tabs>
          <w:tab w:val="left" w:pos="284"/>
        </w:tabs>
        <w:spacing w:line="360" w:lineRule="auto"/>
        <w:jc w:val="both"/>
        <w:rPr>
          <w:rFonts w:ascii="Arial" w:eastAsia="Arial" w:hAnsi="Arial" w:cs="Arial"/>
          <w:sz w:val="24"/>
          <w:szCs w:val="24"/>
        </w:rPr>
      </w:pPr>
      <w:r>
        <w:rPr>
          <w:rFonts w:ascii="Arial" w:eastAsia="Arial" w:hAnsi="Arial" w:cs="Arial"/>
          <w:b/>
          <w:sz w:val="24"/>
          <w:szCs w:val="24"/>
        </w:rPr>
        <w:t>1. PEL (2021-2022).</w:t>
      </w:r>
      <w:r>
        <w:rPr>
          <w:rFonts w:ascii="Arial" w:eastAsia="Arial" w:hAnsi="Arial" w:cs="Arial"/>
          <w:sz w:val="24"/>
          <w:szCs w:val="24"/>
        </w:rPr>
        <w:t xml:space="preserve"> El 7 de octubre de 2021, inició el proceso electoral local para renovar la gubernatura del estado de Aguascalientes.</w:t>
      </w:r>
      <w:r>
        <w:rPr>
          <w:rFonts w:ascii="Arial" w:eastAsia="Arial" w:hAnsi="Arial" w:cs="Arial"/>
          <w:sz w:val="24"/>
          <w:szCs w:val="24"/>
          <w:vertAlign w:val="superscript"/>
        </w:rPr>
        <w:footnoteReference w:id="3"/>
      </w:r>
    </w:p>
    <w:p w14:paraId="55FB624A" w14:textId="77777777" w:rsidR="0030651C" w:rsidRDefault="0030651C" w:rsidP="0030651C">
      <w:pPr>
        <w:pStyle w:val="Sinespaciado"/>
        <w:rPr>
          <w:rFonts w:eastAsia="Arial"/>
        </w:rPr>
      </w:pPr>
    </w:p>
    <w:p w14:paraId="5A62BA0B" w14:textId="7FA6611F" w:rsidR="007E61D9" w:rsidRDefault="00D65480" w:rsidP="0030651C">
      <w:pPr>
        <w:tabs>
          <w:tab w:val="left" w:pos="284"/>
        </w:tabs>
        <w:spacing w:line="360" w:lineRule="auto"/>
        <w:ind w:right="40"/>
        <w:jc w:val="both"/>
        <w:rPr>
          <w:rFonts w:ascii="Arial" w:eastAsia="Arial" w:hAnsi="Arial" w:cs="Arial"/>
          <w:sz w:val="24"/>
          <w:szCs w:val="24"/>
        </w:rPr>
      </w:pPr>
      <w:r>
        <w:rPr>
          <w:rFonts w:ascii="Arial" w:eastAsia="Arial" w:hAnsi="Arial" w:cs="Arial"/>
          <w:b/>
          <w:sz w:val="24"/>
          <w:szCs w:val="24"/>
        </w:rPr>
        <w:t>2. Denuncia.</w:t>
      </w:r>
      <w:r>
        <w:rPr>
          <w:rFonts w:ascii="Arial" w:eastAsia="Arial" w:hAnsi="Arial" w:cs="Arial"/>
          <w:sz w:val="24"/>
          <w:szCs w:val="24"/>
        </w:rPr>
        <w:t xml:space="preserve"> El 30 de abril, el ciudadano Israel Ángel Ramírez, representante suplente del PAN y de la coalición “Va por Aguascalientes” ante el Consejo General, presentó una queja en contra de Nora Ruvalcaba Gámez, candidata de Morena a la gubernatura del estado, así como del referido instituto político, derivado de la publicación de un video en sus redes sociales que, a su dicho, contiene expresiones que configuran la infracción de calumnia en perjuicio del PAN y de la candidata postulada al cargo de gubernatura. A su vez, exigió a la autoridad administrativa la adopción de medidas cautelares.</w:t>
      </w:r>
    </w:p>
    <w:p w14:paraId="2CE8DC52" w14:textId="77777777" w:rsidR="0030651C" w:rsidRPr="0030651C" w:rsidRDefault="0030651C" w:rsidP="0030651C">
      <w:pPr>
        <w:pStyle w:val="Sinespaciado"/>
        <w:rPr>
          <w:rFonts w:eastAsia="Arial"/>
        </w:rPr>
      </w:pPr>
    </w:p>
    <w:p w14:paraId="18881522" w14:textId="7C590B94" w:rsidR="007E61D9" w:rsidRDefault="00D65480" w:rsidP="0030651C">
      <w:pPr>
        <w:tabs>
          <w:tab w:val="left" w:pos="284"/>
        </w:tabs>
        <w:spacing w:line="360" w:lineRule="auto"/>
        <w:ind w:right="40"/>
        <w:jc w:val="both"/>
        <w:rPr>
          <w:rFonts w:ascii="Arial" w:eastAsia="Arial" w:hAnsi="Arial" w:cs="Arial"/>
          <w:sz w:val="24"/>
          <w:szCs w:val="24"/>
        </w:rPr>
      </w:pPr>
      <w:r>
        <w:rPr>
          <w:rFonts w:ascii="Arial" w:eastAsia="Arial" w:hAnsi="Arial" w:cs="Arial"/>
          <w:b/>
          <w:sz w:val="24"/>
          <w:szCs w:val="24"/>
        </w:rPr>
        <w:t xml:space="preserve">3. Radicación. </w:t>
      </w:r>
      <w:r>
        <w:rPr>
          <w:rFonts w:ascii="Arial" w:eastAsia="Arial" w:hAnsi="Arial" w:cs="Arial"/>
          <w:sz w:val="24"/>
          <w:szCs w:val="24"/>
        </w:rPr>
        <w:t xml:space="preserve">El 1° de mayo, el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radicó la denuncia y le asignó el número de expediente IEE/PES/036/2022. Asimismo, ordenó diligencias para mejor proveer, consistentes en la certificación de los hechos denunciados a través de la oficialía electoral. </w:t>
      </w:r>
    </w:p>
    <w:p w14:paraId="7F1E2C24" w14:textId="77777777" w:rsidR="0030651C" w:rsidRPr="0030651C" w:rsidRDefault="0030651C" w:rsidP="0030651C">
      <w:pPr>
        <w:pStyle w:val="Sinespaciado"/>
        <w:rPr>
          <w:rFonts w:eastAsia="Arial"/>
        </w:rPr>
      </w:pPr>
    </w:p>
    <w:p w14:paraId="379F8AB9" w14:textId="527444D5" w:rsidR="007E61D9" w:rsidRDefault="00D65480" w:rsidP="0030651C">
      <w:pPr>
        <w:tabs>
          <w:tab w:val="left" w:pos="284"/>
        </w:tabs>
        <w:spacing w:line="360" w:lineRule="auto"/>
        <w:ind w:right="40"/>
        <w:jc w:val="both"/>
        <w:rPr>
          <w:rFonts w:ascii="Arial" w:eastAsia="Arial" w:hAnsi="Arial" w:cs="Arial"/>
          <w:sz w:val="24"/>
          <w:szCs w:val="24"/>
        </w:rPr>
      </w:pPr>
      <w:r>
        <w:rPr>
          <w:rFonts w:ascii="Arial" w:eastAsia="Arial" w:hAnsi="Arial" w:cs="Arial"/>
          <w:b/>
          <w:sz w:val="24"/>
          <w:szCs w:val="24"/>
        </w:rPr>
        <w:t>4. Admisión y medidas cautelares.</w:t>
      </w:r>
      <w:r>
        <w:rPr>
          <w:rFonts w:ascii="Arial" w:eastAsia="Arial" w:hAnsi="Arial" w:cs="Arial"/>
          <w:sz w:val="24"/>
          <w:szCs w:val="24"/>
        </w:rPr>
        <w:t xml:space="preserve"> El 6 de mayo, el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admitió a trámite la denuncia. Posteriormente, el 7 siguiente, dicha autoridad </w:t>
      </w:r>
      <w:r>
        <w:rPr>
          <w:rFonts w:ascii="Arial" w:eastAsia="Arial" w:hAnsi="Arial" w:cs="Arial"/>
          <w:b/>
          <w:sz w:val="24"/>
          <w:szCs w:val="24"/>
        </w:rPr>
        <w:t xml:space="preserve">determinó la improcedencia </w:t>
      </w:r>
      <w:r>
        <w:rPr>
          <w:rFonts w:ascii="Arial" w:eastAsia="Arial" w:hAnsi="Arial" w:cs="Arial"/>
          <w:sz w:val="24"/>
          <w:szCs w:val="24"/>
        </w:rPr>
        <w:t>de</w:t>
      </w:r>
      <w:r>
        <w:rPr>
          <w:rFonts w:ascii="Arial" w:eastAsia="Arial" w:hAnsi="Arial" w:cs="Arial"/>
          <w:b/>
          <w:sz w:val="24"/>
          <w:szCs w:val="24"/>
        </w:rPr>
        <w:t xml:space="preserve"> </w:t>
      </w:r>
      <w:r>
        <w:rPr>
          <w:rFonts w:ascii="Arial" w:eastAsia="Arial" w:hAnsi="Arial" w:cs="Arial"/>
          <w:sz w:val="24"/>
          <w:szCs w:val="24"/>
        </w:rPr>
        <w:t>las medidas cautelares propuestas por la parte denunciante, al considerar que estas no pueden ser desplegadas sobre hechos futuros de realización incierta.</w:t>
      </w:r>
    </w:p>
    <w:p w14:paraId="51817A44" w14:textId="77777777" w:rsidR="0030651C" w:rsidRDefault="0030651C" w:rsidP="0030651C">
      <w:pPr>
        <w:pStyle w:val="Sinespaciado"/>
        <w:rPr>
          <w:rFonts w:eastAsia="Arial"/>
        </w:rPr>
      </w:pPr>
    </w:p>
    <w:p w14:paraId="7E99BF15" w14:textId="2B37F6BD" w:rsidR="007E61D9" w:rsidRDefault="00D65480" w:rsidP="0030651C">
      <w:pPr>
        <w:tabs>
          <w:tab w:val="left" w:pos="284"/>
        </w:tabs>
        <w:spacing w:line="360" w:lineRule="auto"/>
        <w:ind w:right="40"/>
        <w:jc w:val="both"/>
        <w:rPr>
          <w:rFonts w:ascii="Arial" w:eastAsia="Arial" w:hAnsi="Arial" w:cs="Arial"/>
          <w:sz w:val="24"/>
          <w:szCs w:val="24"/>
        </w:rPr>
      </w:pPr>
      <w:r>
        <w:rPr>
          <w:rFonts w:ascii="Arial" w:eastAsia="Arial" w:hAnsi="Arial" w:cs="Arial"/>
          <w:b/>
          <w:sz w:val="24"/>
          <w:szCs w:val="24"/>
        </w:rPr>
        <w:t>5. Audiencia de alegatos y remisión del expediente.</w:t>
      </w:r>
      <w:r>
        <w:rPr>
          <w:rFonts w:ascii="Arial" w:eastAsia="Arial" w:hAnsi="Arial" w:cs="Arial"/>
          <w:sz w:val="24"/>
          <w:szCs w:val="24"/>
        </w:rPr>
        <w:t xml:space="preserve"> El 10 de mayo, la Secretaría Ejecutiva celebró la audiencia de pruebas y alegatos. Al día siguiente, el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rindió el informe circunstanciado y remitió el expediente a este Tribunal. </w:t>
      </w:r>
    </w:p>
    <w:p w14:paraId="1D01761F" w14:textId="77777777" w:rsidR="0030651C" w:rsidRDefault="0030651C" w:rsidP="0030651C">
      <w:pPr>
        <w:pStyle w:val="Sinespaciado"/>
        <w:rPr>
          <w:rFonts w:eastAsia="Arial"/>
        </w:rPr>
      </w:pPr>
    </w:p>
    <w:p w14:paraId="6B448DB3" w14:textId="77777777" w:rsidR="007E61D9" w:rsidRDefault="00D65480">
      <w:pPr>
        <w:tabs>
          <w:tab w:val="left" w:pos="284"/>
        </w:tabs>
        <w:spacing w:before="240" w:after="240" w:line="360" w:lineRule="auto"/>
        <w:ind w:right="40"/>
        <w:jc w:val="both"/>
        <w:rPr>
          <w:rFonts w:ascii="Arial" w:eastAsia="Arial" w:hAnsi="Arial" w:cs="Arial"/>
          <w:b/>
          <w:sz w:val="24"/>
          <w:szCs w:val="24"/>
        </w:rPr>
      </w:pPr>
      <w:r>
        <w:rPr>
          <w:rFonts w:ascii="Arial" w:eastAsia="Arial" w:hAnsi="Arial" w:cs="Arial"/>
          <w:b/>
          <w:sz w:val="24"/>
          <w:szCs w:val="24"/>
        </w:rPr>
        <w:lastRenderedPageBreak/>
        <w:t xml:space="preserve">6. Turno, radicación y formulación del proyecto de resolución TEEA-PES-026/2022. </w:t>
      </w:r>
      <w:r>
        <w:rPr>
          <w:rFonts w:ascii="Arial" w:eastAsia="Arial" w:hAnsi="Arial" w:cs="Arial"/>
          <w:sz w:val="24"/>
          <w:szCs w:val="24"/>
        </w:rPr>
        <w:t xml:space="preserve">El 11 de mayo, la Magistrada </w:t>
      </w:r>
      <w:proofErr w:type="gramStart"/>
      <w:r>
        <w:rPr>
          <w:rFonts w:ascii="Arial" w:eastAsia="Arial" w:hAnsi="Arial" w:cs="Arial"/>
          <w:sz w:val="24"/>
          <w:szCs w:val="24"/>
        </w:rPr>
        <w:t>Presidenta</w:t>
      </w:r>
      <w:proofErr w:type="gramEnd"/>
      <w:r>
        <w:rPr>
          <w:rFonts w:ascii="Arial" w:eastAsia="Arial" w:hAnsi="Arial" w:cs="Arial"/>
          <w:sz w:val="24"/>
          <w:szCs w:val="24"/>
        </w:rPr>
        <w:t xml:space="preserve"> ordenó el registro del asunto con el número de expediente TEEA-PES-026/2022 y lo turnó a la Ponencia de la Magistrada Laura Hortensia Llamas Hernández, quien en su oportunidad lo radicó, y al no existir algún trámite pendiente, ordenó la formulación del proyecto.</w:t>
      </w:r>
      <w:r>
        <w:rPr>
          <w:rFonts w:ascii="Arial" w:eastAsia="Arial" w:hAnsi="Arial" w:cs="Arial"/>
          <w:sz w:val="24"/>
          <w:szCs w:val="24"/>
          <w:vertAlign w:val="superscript"/>
        </w:rPr>
        <w:footnoteReference w:id="4"/>
      </w:r>
    </w:p>
    <w:p w14:paraId="3FFCFCA5" w14:textId="77777777" w:rsidR="007E61D9" w:rsidRDefault="00D65480">
      <w:pPr>
        <w:pBdr>
          <w:top w:val="nil"/>
          <w:left w:val="nil"/>
          <w:bottom w:val="nil"/>
          <w:right w:val="nil"/>
          <w:between w:val="nil"/>
        </w:pBdr>
        <w:tabs>
          <w:tab w:val="left" w:pos="284"/>
        </w:tabs>
        <w:spacing w:line="360" w:lineRule="auto"/>
        <w:ind w:right="36"/>
        <w:jc w:val="both"/>
        <w:rPr>
          <w:color w:val="000000"/>
        </w:rPr>
      </w:pPr>
      <w:r>
        <w:rPr>
          <w:rFonts w:ascii="Arial" w:eastAsia="Arial" w:hAnsi="Arial" w:cs="Arial"/>
          <w:b/>
          <w:color w:val="000000"/>
          <w:sz w:val="24"/>
          <w:szCs w:val="24"/>
        </w:rPr>
        <w:t xml:space="preserve">II. Competencia. </w:t>
      </w:r>
      <w:r>
        <w:rPr>
          <w:rFonts w:ascii="Arial" w:eastAsia="Arial" w:hAnsi="Arial" w:cs="Arial"/>
          <w:color w:val="000000"/>
          <w:sz w:val="24"/>
          <w:szCs w:val="24"/>
        </w:rPr>
        <w:t xml:space="preserve">Este Tribunal es competente para resolver el presente procedimiento especial sancionador, porque se relaciona con la posible vulneración al artículo 244, fracción IV, del Código Electoral, derivado de un video difundido a través de las redes sociales Facebook y Twitter, el cual contiene expresiones que presuntamente constituyen la infracción de calumnia, atribuido a </w:t>
      </w:r>
      <w:r>
        <w:rPr>
          <w:rFonts w:ascii="Arial" w:eastAsia="Arial" w:hAnsi="Arial" w:cs="Arial"/>
          <w:sz w:val="24"/>
          <w:szCs w:val="24"/>
        </w:rPr>
        <w:t xml:space="preserve">la ciudadana </w:t>
      </w:r>
      <w:r>
        <w:rPr>
          <w:rFonts w:ascii="Arial" w:eastAsia="Arial" w:hAnsi="Arial" w:cs="Arial"/>
          <w:color w:val="000000"/>
          <w:sz w:val="24"/>
          <w:szCs w:val="24"/>
        </w:rPr>
        <w:t xml:space="preserve">Nora Ruvalcaba Gámez en su </w:t>
      </w:r>
      <w:r>
        <w:rPr>
          <w:rFonts w:ascii="Arial" w:eastAsia="Arial" w:hAnsi="Arial" w:cs="Arial"/>
          <w:sz w:val="24"/>
          <w:szCs w:val="24"/>
        </w:rPr>
        <w:t>carácter</w:t>
      </w:r>
      <w:r>
        <w:rPr>
          <w:rFonts w:ascii="Arial" w:eastAsia="Arial" w:hAnsi="Arial" w:cs="Arial"/>
          <w:color w:val="000000"/>
          <w:sz w:val="24"/>
          <w:szCs w:val="24"/>
        </w:rPr>
        <w:t xml:space="preserve"> de </w:t>
      </w:r>
      <w:r>
        <w:rPr>
          <w:rFonts w:ascii="Arial" w:eastAsia="Arial" w:hAnsi="Arial" w:cs="Arial"/>
          <w:sz w:val="24"/>
          <w:szCs w:val="24"/>
        </w:rPr>
        <w:t>candidata de Morena a la gubernatura de esta entidad. Esto, con independencia del medio por el cual se difundieron los mensajes cuestionados</w:t>
      </w:r>
      <w:r>
        <w:rPr>
          <w:rFonts w:ascii="Arial" w:eastAsia="Arial" w:hAnsi="Arial" w:cs="Arial"/>
          <w:sz w:val="24"/>
          <w:szCs w:val="24"/>
          <w:vertAlign w:val="superscript"/>
        </w:rPr>
        <w:footnoteReference w:id="5"/>
      </w:r>
      <w:r>
        <w:rPr>
          <w:rFonts w:ascii="Arial" w:eastAsia="Arial" w:hAnsi="Arial" w:cs="Arial"/>
          <w:sz w:val="24"/>
          <w:szCs w:val="24"/>
        </w:rPr>
        <w:t>.</w:t>
      </w:r>
      <w:r>
        <w:rPr>
          <w:rFonts w:ascii="Arial" w:eastAsia="Arial" w:hAnsi="Arial" w:cs="Arial"/>
          <w:color w:val="000000"/>
          <w:sz w:val="24"/>
          <w:szCs w:val="24"/>
        </w:rPr>
        <w:t xml:space="preserve"> Lo anterior, de conformidad con los artículos 252, fracción II, 268, 274 y 275 del Código Electoral.</w:t>
      </w:r>
    </w:p>
    <w:p w14:paraId="67752014" w14:textId="77777777" w:rsidR="007E61D9" w:rsidRDefault="007E61D9">
      <w:pPr>
        <w:pBdr>
          <w:top w:val="nil"/>
          <w:left w:val="nil"/>
          <w:bottom w:val="nil"/>
          <w:right w:val="nil"/>
          <w:between w:val="nil"/>
        </w:pBdr>
        <w:rPr>
          <w:color w:val="000000"/>
        </w:rPr>
      </w:pPr>
    </w:p>
    <w:p w14:paraId="135C8CD0" w14:textId="77777777" w:rsidR="007E61D9" w:rsidRDefault="00D65480">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III. Personería. </w:t>
      </w:r>
      <w:r>
        <w:rPr>
          <w:rFonts w:ascii="Arial" w:eastAsia="Arial" w:hAnsi="Arial" w:cs="Arial"/>
          <w:color w:val="000000"/>
          <w:sz w:val="24"/>
          <w:szCs w:val="24"/>
        </w:rPr>
        <w:t>La autoridad instructora tuvo por acreditada la personería del denunciante y l</w:t>
      </w:r>
      <w:r>
        <w:rPr>
          <w:rFonts w:ascii="Arial" w:eastAsia="Arial" w:hAnsi="Arial" w:cs="Arial"/>
          <w:sz w:val="24"/>
          <w:szCs w:val="24"/>
        </w:rPr>
        <w:t>as</w:t>
      </w:r>
      <w:r>
        <w:rPr>
          <w:rFonts w:ascii="Arial" w:eastAsia="Arial" w:hAnsi="Arial" w:cs="Arial"/>
          <w:color w:val="000000"/>
          <w:sz w:val="24"/>
          <w:szCs w:val="24"/>
        </w:rPr>
        <w:t xml:space="preserve"> </w:t>
      </w:r>
      <w:r>
        <w:rPr>
          <w:rFonts w:ascii="Arial" w:eastAsia="Arial" w:hAnsi="Arial" w:cs="Arial"/>
          <w:sz w:val="24"/>
          <w:szCs w:val="24"/>
        </w:rPr>
        <w:t>partes</w:t>
      </w:r>
      <w:r>
        <w:rPr>
          <w:rFonts w:ascii="Arial" w:eastAsia="Arial" w:hAnsi="Arial" w:cs="Arial"/>
          <w:color w:val="000000"/>
          <w:sz w:val="24"/>
          <w:szCs w:val="24"/>
        </w:rPr>
        <w:t xml:space="preserve"> denunciad</w:t>
      </w:r>
      <w:r>
        <w:rPr>
          <w:rFonts w:ascii="Arial" w:eastAsia="Arial" w:hAnsi="Arial" w:cs="Arial"/>
          <w:sz w:val="24"/>
          <w:szCs w:val="24"/>
        </w:rPr>
        <w:t>as, respectivamente</w:t>
      </w:r>
      <w:r>
        <w:rPr>
          <w:rFonts w:ascii="Arial" w:eastAsia="Arial" w:hAnsi="Arial" w:cs="Arial"/>
          <w:color w:val="000000"/>
          <w:sz w:val="24"/>
          <w:szCs w:val="24"/>
        </w:rPr>
        <w:t>.</w:t>
      </w:r>
    </w:p>
    <w:p w14:paraId="6092D077" w14:textId="77777777" w:rsidR="007E61D9" w:rsidRDefault="007E61D9">
      <w:pPr>
        <w:pBdr>
          <w:top w:val="nil"/>
          <w:left w:val="nil"/>
          <w:bottom w:val="nil"/>
          <w:right w:val="nil"/>
          <w:between w:val="nil"/>
        </w:pBdr>
        <w:rPr>
          <w:color w:val="000000"/>
        </w:rPr>
      </w:pPr>
    </w:p>
    <w:p w14:paraId="7B545B50" w14:textId="77777777" w:rsidR="007E61D9" w:rsidRDefault="00D65480">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color w:val="000000"/>
          <w:sz w:val="24"/>
          <w:szCs w:val="24"/>
        </w:rPr>
        <w:t xml:space="preserve">IV. Causales de improcedencia. </w:t>
      </w:r>
      <w:r>
        <w:rPr>
          <w:rFonts w:ascii="Arial" w:eastAsia="Arial" w:hAnsi="Arial" w:cs="Arial"/>
          <w:color w:val="000000"/>
          <w:sz w:val="24"/>
          <w:szCs w:val="24"/>
        </w:rPr>
        <w:t xml:space="preserve">La ciudadana </w:t>
      </w:r>
      <w:r>
        <w:rPr>
          <w:rFonts w:ascii="Arial" w:eastAsia="Arial" w:hAnsi="Arial" w:cs="Arial"/>
          <w:sz w:val="24"/>
          <w:szCs w:val="24"/>
        </w:rPr>
        <w:t xml:space="preserve">Nora Ruvalcaba Gámez y el partido Morena, en sus escritos de contestación, refieren que la denuncia presentada en su contra es </w:t>
      </w:r>
      <w:r>
        <w:rPr>
          <w:rFonts w:ascii="Arial" w:eastAsia="Arial" w:hAnsi="Arial" w:cs="Arial"/>
          <w:b/>
          <w:sz w:val="24"/>
          <w:szCs w:val="24"/>
        </w:rPr>
        <w:t>oscura</w:t>
      </w:r>
      <w:r>
        <w:rPr>
          <w:rFonts w:ascii="Arial" w:eastAsia="Arial" w:hAnsi="Arial" w:cs="Arial"/>
          <w:sz w:val="24"/>
          <w:szCs w:val="24"/>
        </w:rPr>
        <w:t>, ya que no se establecieron circunstancias de tiempo, modo y lugar, que permitan acreditar los hechos denunciados.</w:t>
      </w:r>
    </w:p>
    <w:p w14:paraId="6E401674" w14:textId="77777777" w:rsidR="007E61D9" w:rsidRDefault="007E61D9">
      <w:pPr>
        <w:pBdr>
          <w:top w:val="nil"/>
          <w:left w:val="nil"/>
          <w:bottom w:val="nil"/>
          <w:right w:val="nil"/>
          <w:between w:val="nil"/>
        </w:pBdr>
        <w:rPr>
          <w:color w:val="000000"/>
        </w:rPr>
      </w:pPr>
    </w:p>
    <w:p w14:paraId="2BAA4CDD" w14:textId="77777777" w:rsidR="007E61D9" w:rsidRDefault="00D65480">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El artículo 270, fracción I, del Código Electoral</w:t>
      </w:r>
      <w:r>
        <w:rPr>
          <w:rFonts w:ascii="Arial" w:eastAsia="Arial" w:hAnsi="Arial" w:cs="Arial"/>
          <w:sz w:val="24"/>
          <w:szCs w:val="24"/>
          <w:vertAlign w:val="superscript"/>
        </w:rPr>
        <w:footnoteReference w:id="6"/>
      </w:r>
      <w:r>
        <w:rPr>
          <w:rFonts w:ascii="Arial" w:eastAsia="Arial" w:hAnsi="Arial" w:cs="Arial"/>
          <w:sz w:val="24"/>
          <w:szCs w:val="24"/>
        </w:rPr>
        <w:t xml:space="preserve"> establece que la denuncia se desechará de plano, cuando en ella no exista una narración expresa y clara de los hechos en que base su denuncia. Esta causal se actualiza cuando del escrito de queja se advierta que la parte denunciante no cumplió con su obligación de aportar los elementos que considere acreditan la infracción.</w:t>
      </w:r>
    </w:p>
    <w:p w14:paraId="01E27E45" w14:textId="62597121" w:rsidR="007E61D9" w:rsidRDefault="00D65480">
      <w:pPr>
        <w:tabs>
          <w:tab w:val="left" w:pos="426"/>
        </w:tabs>
        <w:spacing w:before="240" w:line="360" w:lineRule="auto"/>
        <w:ind w:right="40"/>
        <w:jc w:val="both"/>
        <w:rPr>
          <w:rFonts w:ascii="Arial" w:eastAsia="Arial" w:hAnsi="Arial" w:cs="Arial"/>
          <w:sz w:val="24"/>
          <w:szCs w:val="24"/>
        </w:rPr>
      </w:pPr>
      <w:r>
        <w:rPr>
          <w:rFonts w:ascii="Arial" w:eastAsia="Arial" w:hAnsi="Arial" w:cs="Arial"/>
          <w:sz w:val="24"/>
          <w:szCs w:val="24"/>
        </w:rPr>
        <w:t xml:space="preserve">Al respecto, este Tribunal considera que del escrito de la denuncia y de las constancias del expediente, se advierte que el denunciante señaló los hechos, así como las circunstancias y las infracciones que, a su criterio se acreditan, además de que ofreció la pruebas que estimó pertinente, por tanto, no es posible actualizar tal causal de improcedencia, pues el quejoso narró de manera clara los hechos en que basó su impugnación. Por tanto, la posible </w:t>
      </w:r>
      <w:r>
        <w:rPr>
          <w:rFonts w:ascii="Arial" w:eastAsia="Arial" w:hAnsi="Arial" w:cs="Arial"/>
          <w:sz w:val="24"/>
          <w:szCs w:val="24"/>
        </w:rPr>
        <w:lastRenderedPageBreak/>
        <w:t>actualización de la infracción, en todo caso, es materia de análisis en el estudio de fondo de la presente resolución.</w:t>
      </w:r>
    </w:p>
    <w:p w14:paraId="6912D27D" w14:textId="77777777" w:rsidR="007E61D9" w:rsidRDefault="00D65480">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V. Estudio de fondo</w:t>
      </w:r>
    </w:p>
    <w:p w14:paraId="1221F2D0" w14:textId="77777777" w:rsidR="007E61D9" w:rsidRDefault="007E61D9">
      <w:pPr>
        <w:pBdr>
          <w:top w:val="nil"/>
          <w:left w:val="nil"/>
          <w:bottom w:val="nil"/>
          <w:right w:val="nil"/>
          <w:between w:val="nil"/>
        </w:pBdr>
        <w:rPr>
          <w:color w:val="000000"/>
          <w:sz w:val="16"/>
          <w:szCs w:val="16"/>
        </w:rPr>
      </w:pPr>
    </w:p>
    <w:p w14:paraId="3B6CC12C" w14:textId="77777777" w:rsidR="007E61D9" w:rsidRDefault="00D65480">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1. Hechos denunciados </w:t>
      </w:r>
    </w:p>
    <w:p w14:paraId="563B83E2" w14:textId="77777777" w:rsidR="007E61D9" w:rsidRDefault="007E61D9">
      <w:pPr>
        <w:pBdr>
          <w:top w:val="nil"/>
          <w:left w:val="nil"/>
          <w:bottom w:val="nil"/>
          <w:right w:val="nil"/>
          <w:between w:val="nil"/>
        </w:pBdr>
        <w:rPr>
          <w:color w:val="000000"/>
        </w:rPr>
      </w:pPr>
    </w:p>
    <w:p w14:paraId="443F5935" w14:textId="77777777" w:rsidR="007E61D9" w:rsidRDefault="00D65480">
      <w:pPr>
        <w:numPr>
          <w:ilvl w:val="1"/>
          <w:numId w:val="8"/>
        </w:numPr>
        <w:pBdr>
          <w:top w:val="nil"/>
          <w:left w:val="nil"/>
          <w:bottom w:val="nil"/>
          <w:right w:val="nil"/>
          <w:between w:val="nil"/>
        </w:pBdr>
        <w:tabs>
          <w:tab w:val="left" w:pos="426"/>
        </w:tabs>
        <w:spacing w:line="360" w:lineRule="auto"/>
        <w:ind w:left="0" w:right="36" w:firstLine="0"/>
        <w:jc w:val="both"/>
        <w:rPr>
          <w:rFonts w:ascii="Arial" w:eastAsia="Arial" w:hAnsi="Arial" w:cs="Arial"/>
          <w:color w:val="000000"/>
          <w:sz w:val="24"/>
          <w:szCs w:val="24"/>
        </w:rPr>
      </w:pPr>
      <w:bookmarkStart w:id="3" w:name="_heading=h.1fob9te" w:colFirst="0" w:colLast="0"/>
      <w:bookmarkEnd w:id="3"/>
      <w:r>
        <w:rPr>
          <w:rFonts w:ascii="Arial" w:eastAsia="Arial" w:hAnsi="Arial" w:cs="Arial"/>
          <w:b/>
          <w:color w:val="000000"/>
          <w:sz w:val="24"/>
          <w:szCs w:val="24"/>
        </w:rPr>
        <w:t xml:space="preserve">En contra de Nora Ruvalcaba Gámez. </w:t>
      </w:r>
      <w:r>
        <w:rPr>
          <w:rFonts w:ascii="Arial" w:eastAsia="Arial" w:hAnsi="Arial" w:cs="Arial"/>
          <w:color w:val="000000"/>
          <w:sz w:val="24"/>
          <w:szCs w:val="24"/>
        </w:rPr>
        <w:t xml:space="preserve">El PAN refiere que la denunciada </w:t>
      </w:r>
      <w:r>
        <w:rPr>
          <w:rFonts w:ascii="Arial" w:eastAsia="Arial" w:hAnsi="Arial" w:cs="Arial"/>
          <w:b/>
          <w:color w:val="000000"/>
          <w:sz w:val="24"/>
          <w:szCs w:val="24"/>
        </w:rPr>
        <w:t xml:space="preserve">realizó la difusión de propaganda calumniosa </w:t>
      </w:r>
      <w:r>
        <w:rPr>
          <w:rFonts w:ascii="Arial" w:eastAsia="Arial" w:hAnsi="Arial" w:cs="Arial"/>
          <w:color w:val="000000"/>
          <w:sz w:val="24"/>
          <w:szCs w:val="24"/>
        </w:rPr>
        <w:t xml:space="preserve">en perjuicio del propio instituto político y de la coalición “Va Por Aguascalientes”, en atención a que, del contenido de la misma, se genera una imputación de hechos y delitos falsos </w:t>
      </w:r>
      <w:r>
        <w:rPr>
          <w:rFonts w:ascii="Arial" w:eastAsia="Arial" w:hAnsi="Arial" w:cs="Arial"/>
          <w:sz w:val="24"/>
          <w:szCs w:val="24"/>
        </w:rPr>
        <w:t>sin sustento alguno en datos objetivos o verificables, situación que menoscaba</w:t>
      </w:r>
      <w:r>
        <w:rPr>
          <w:rFonts w:ascii="Arial" w:eastAsia="Arial" w:hAnsi="Arial" w:cs="Arial"/>
          <w:color w:val="000000"/>
          <w:sz w:val="24"/>
          <w:szCs w:val="24"/>
        </w:rPr>
        <w:t xml:space="preserve"> la imagen y proyección política de los quejosos y, a su vez, vulneran el principio de equidad en la contienda</w:t>
      </w:r>
      <w:r>
        <w:rPr>
          <w:rFonts w:ascii="Arial" w:eastAsia="Arial" w:hAnsi="Arial" w:cs="Arial"/>
          <w:sz w:val="24"/>
          <w:szCs w:val="24"/>
        </w:rPr>
        <w:t>. El contenido del video cuestionado, es el siguiente</w:t>
      </w:r>
      <w:r>
        <w:rPr>
          <w:rFonts w:ascii="Arial" w:eastAsia="Arial" w:hAnsi="Arial" w:cs="Arial"/>
          <w:color w:val="000000"/>
          <w:sz w:val="24"/>
          <w:szCs w:val="24"/>
        </w:rPr>
        <w:t xml:space="preserve">: </w:t>
      </w:r>
    </w:p>
    <w:tbl>
      <w:tblPr>
        <w:tblStyle w:val="afd"/>
        <w:tblW w:w="9634"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5098"/>
        <w:gridCol w:w="4536"/>
      </w:tblGrid>
      <w:tr w:rsidR="007E61D9" w14:paraId="337562F1" w14:textId="77777777" w:rsidTr="007E61D9">
        <w:trPr>
          <w:cnfStyle w:val="000000100000" w:firstRow="0" w:lastRow="0" w:firstColumn="0" w:lastColumn="0" w:oddVBand="0" w:evenVBand="0" w:oddHBand="1" w:evenHBand="0" w:firstRowFirstColumn="0" w:firstRowLastColumn="0" w:lastRowFirstColumn="0" w:lastRowLastColumn="0"/>
        </w:trPr>
        <w:tc>
          <w:tcPr>
            <w:tcW w:w="9634" w:type="dxa"/>
            <w:gridSpan w:val="2"/>
          </w:tcPr>
          <w:p w14:paraId="4D4E1381" w14:textId="77777777" w:rsidR="007E61D9" w:rsidRDefault="00D65480">
            <w:pPr>
              <w:tabs>
                <w:tab w:val="left" w:pos="426"/>
              </w:tabs>
              <w:spacing w:line="360" w:lineRule="auto"/>
              <w:ind w:right="36"/>
              <w:jc w:val="center"/>
              <w:rPr>
                <w:rFonts w:ascii="Arial" w:eastAsia="Arial" w:hAnsi="Arial" w:cs="Arial"/>
                <w:b/>
                <w:color w:val="000000"/>
                <w:sz w:val="18"/>
                <w:szCs w:val="18"/>
              </w:rPr>
            </w:pPr>
            <w:r>
              <w:rPr>
                <w:rFonts w:ascii="Arial" w:eastAsia="Arial" w:hAnsi="Arial" w:cs="Arial"/>
                <w:b/>
                <w:color w:val="000000"/>
                <w:sz w:val="18"/>
                <w:szCs w:val="18"/>
              </w:rPr>
              <w:t>Encabezado de la publicación:</w:t>
            </w:r>
          </w:p>
          <w:p w14:paraId="474F201E" w14:textId="77777777" w:rsidR="007E61D9" w:rsidRDefault="00D65480">
            <w:pPr>
              <w:tabs>
                <w:tab w:val="left" w:pos="426"/>
              </w:tabs>
              <w:ind w:right="36"/>
              <w:jc w:val="both"/>
              <w:rPr>
                <w:rFonts w:ascii="Arial" w:eastAsia="Arial" w:hAnsi="Arial" w:cs="Arial"/>
                <w:color w:val="000000"/>
                <w:sz w:val="18"/>
                <w:szCs w:val="18"/>
              </w:rPr>
            </w:pPr>
            <w:bookmarkStart w:id="4" w:name="_heading=h.2et92p0" w:colFirst="0" w:colLast="0"/>
            <w:bookmarkEnd w:id="4"/>
            <w:r>
              <w:rPr>
                <w:rFonts w:ascii="Arial" w:eastAsia="Arial" w:hAnsi="Arial" w:cs="Arial"/>
                <w:color w:val="000000"/>
                <w:sz w:val="18"/>
                <w:szCs w:val="18"/>
              </w:rPr>
              <w:t xml:space="preserve">Nuestra agua está envenenada, a la candidata del PRI, </w:t>
            </w:r>
            <w:r>
              <w:rPr>
                <w:rFonts w:ascii="Arial" w:eastAsia="Arial" w:hAnsi="Arial" w:cs="Arial"/>
                <w:b/>
                <w:color w:val="000000"/>
                <w:sz w:val="18"/>
                <w:szCs w:val="18"/>
              </w:rPr>
              <w:t>tu salud y tus problemas no le importan</w:t>
            </w:r>
            <w:r>
              <w:rPr>
                <w:rFonts w:ascii="Arial" w:eastAsia="Arial" w:hAnsi="Arial" w:cs="Arial"/>
                <w:color w:val="000000"/>
                <w:sz w:val="18"/>
                <w:szCs w:val="18"/>
              </w:rPr>
              <w:t xml:space="preserve">. </w:t>
            </w:r>
          </w:p>
          <w:p w14:paraId="418FFA16" w14:textId="77777777" w:rsidR="007E61D9" w:rsidRDefault="00D65480">
            <w:pPr>
              <w:tabs>
                <w:tab w:val="left" w:pos="426"/>
              </w:tabs>
              <w:ind w:right="36"/>
              <w:jc w:val="both"/>
              <w:rPr>
                <w:rFonts w:ascii="Arial" w:eastAsia="Arial" w:hAnsi="Arial" w:cs="Arial"/>
                <w:color w:val="000000"/>
                <w:sz w:val="18"/>
                <w:szCs w:val="18"/>
              </w:rPr>
            </w:pPr>
            <w:r>
              <w:rPr>
                <w:rFonts w:ascii="Arial" w:eastAsia="Arial" w:hAnsi="Arial" w:cs="Arial"/>
                <w:color w:val="000000"/>
                <w:sz w:val="18"/>
                <w:szCs w:val="18"/>
              </w:rPr>
              <w:t>Por eso nuestra agua está envenenada.</w:t>
            </w:r>
          </w:p>
          <w:p w14:paraId="4B79FA01" w14:textId="77777777" w:rsidR="007E61D9" w:rsidRDefault="00D65480">
            <w:pPr>
              <w:tabs>
                <w:tab w:val="left" w:pos="426"/>
              </w:tabs>
              <w:ind w:right="36"/>
              <w:jc w:val="both"/>
              <w:rPr>
                <w:rFonts w:ascii="Arial" w:eastAsia="Arial" w:hAnsi="Arial" w:cs="Arial"/>
                <w:color w:val="000000"/>
                <w:sz w:val="18"/>
                <w:szCs w:val="18"/>
              </w:rPr>
            </w:pPr>
            <w:r>
              <w:rPr>
                <w:rFonts w:ascii="Arial" w:eastAsia="Arial" w:hAnsi="Arial" w:cs="Arial"/>
                <w:color w:val="000000"/>
                <w:sz w:val="18"/>
                <w:szCs w:val="18"/>
              </w:rPr>
              <w:t>Invito a Teresa Jiménez a que venga a ensuciarse los tacones al Río San Pedro y a responsabilizarse de su negligencia. Ayúdame a compartir este mensaje, por ti y por nosotros.</w:t>
            </w:r>
          </w:p>
          <w:p w14:paraId="2178D44D" w14:textId="77777777" w:rsidR="007E61D9" w:rsidRDefault="00D65480">
            <w:pPr>
              <w:tabs>
                <w:tab w:val="left" w:pos="426"/>
              </w:tabs>
              <w:ind w:right="36"/>
              <w:jc w:val="both"/>
              <w:rPr>
                <w:rFonts w:ascii="Arial" w:eastAsia="Arial" w:hAnsi="Arial" w:cs="Arial"/>
                <w:color w:val="000000"/>
                <w:sz w:val="18"/>
                <w:szCs w:val="18"/>
              </w:rPr>
            </w:pPr>
            <w:r>
              <w:rPr>
                <w:rFonts w:ascii="Arial" w:eastAsia="Arial" w:hAnsi="Arial" w:cs="Arial"/>
                <w:color w:val="000000"/>
                <w:sz w:val="18"/>
                <w:szCs w:val="18"/>
              </w:rPr>
              <w:t>#NoraRuvalcaba.</w:t>
            </w:r>
          </w:p>
        </w:tc>
      </w:tr>
      <w:tr w:rsidR="007E61D9" w14:paraId="0AA2657D" w14:textId="77777777" w:rsidTr="007E61D9">
        <w:tc>
          <w:tcPr>
            <w:tcW w:w="5098" w:type="dxa"/>
          </w:tcPr>
          <w:p w14:paraId="396190A4" w14:textId="77777777" w:rsidR="007E61D9" w:rsidRDefault="00D65480">
            <w:pPr>
              <w:tabs>
                <w:tab w:val="left" w:pos="426"/>
              </w:tabs>
              <w:spacing w:line="360" w:lineRule="auto"/>
              <w:ind w:right="36"/>
              <w:jc w:val="center"/>
              <w:rPr>
                <w:rFonts w:ascii="Arial" w:eastAsia="Arial" w:hAnsi="Arial" w:cs="Arial"/>
                <w:b/>
                <w:color w:val="000000"/>
                <w:sz w:val="18"/>
                <w:szCs w:val="18"/>
              </w:rPr>
            </w:pPr>
            <w:r>
              <w:rPr>
                <w:rFonts w:ascii="Arial" w:eastAsia="Arial" w:hAnsi="Arial" w:cs="Arial"/>
                <w:b/>
                <w:color w:val="000000"/>
                <w:sz w:val="18"/>
                <w:szCs w:val="18"/>
              </w:rPr>
              <w:t xml:space="preserve">Imagen </w:t>
            </w:r>
          </w:p>
        </w:tc>
        <w:tc>
          <w:tcPr>
            <w:tcW w:w="4536" w:type="dxa"/>
          </w:tcPr>
          <w:p w14:paraId="6EF6BC4A" w14:textId="77777777" w:rsidR="007E61D9" w:rsidRDefault="00D65480">
            <w:pPr>
              <w:tabs>
                <w:tab w:val="left" w:pos="426"/>
              </w:tabs>
              <w:ind w:right="36"/>
              <w:jc w:val="both"/>
              <w:rPr>
                <w:rFonts w:ascii="Arial" w:eastAsia="Arial" w:hAnsi="Arial" w:cs="Arial"/>
                <w:color w:val="000000"/>
                <w:sz w:val="18"/>
                <w:szCs w:val="18"/>
              </w:rPr>
            </w:pPr>
            <w:r>
              <w:rPr>
                <w:rFonts w:ascii="Arial" w:eastAsia="Arial" w:hAnsi="Arial" w:cs="Arial"/>
                <w:b/>
                <w:color w:val="000000"/>
                <w:sz w:val="18"/>
                <w:szCs w:val="18"/>
              </w:rPr>
              <w:t>Contenido</w:t>
            </w:r>
          </w:p>
        </w:tc>
      </w:tr>
      <w:tr w:rsidR="007E61D9" w14:paraId="78D30CBE" w14:textId="77777777" w:rsidTr="007E61D9">
        <w:trPr>
          <w:cnfStyle w:val="000000100000" w:firstRow="0" w:lastRow="0" w:firstColumn="0" w:lastColumn="0" w:oddVBand="0" w:evenVBand="0" w:oddHBand="1" w:evenHBand="0" w:firstRowFirstColumn="0" w:firstRowLastColumn="0" w:lastRowFirstColumn="0" w:lastRowLastColumn="0"/>
          <w:trHeight w:val="692"/>
        </w:trPr>
        <w:tc>
          <w:tcPr>
            <w:tcW w:w="5098" w:type="dxa"/>
          </w:tcPr>
          <w:p w14:paraId="131C109B" w14:textId="77777777" w:rsidR="007E61D9" w:rsidRDefault="00D65480">
            <w:pPr>
              <w:tabs>
                <w:tab w:val="left" w:pos="426"/>
              </w:tabs>
              <w:spacing w:line="360" w:lineRule="auto"/>
              <w:ind w:right="36"/>
              <w:jc w:val="center"/>
              <w:rPr>
                <w:rFonts w:ascii="Arial" w:eastAsia="Arial" w:hAnsi="Arial" w:cs="Arial"/>
                <w:color w:val="000000"/>
                <w:sz w:val="18"/>
                <w:szCs w:val="18"/>
              </w:rPr>
            </w:pPr>
            <w:r>
              <w:rPr>
                <w:noProof/>
              </w:rPr>
              <w:drawing>
                <wp:inline distT="0" distB="0" distL="0" distR="0" wp14:anchorId="5415548A" wp14:editId="51591496">
                  <wp:extent cx="2256801" cy="1188599"/>
                  <wp:effectExtent l="0" t="0" r="0" b="0"/>
                  <wp:docPr id="7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
                          <a:srcRect l="50271"/>
                          <a:stretch>
                            <a:fillRect/>
                          </a:stretch>
                        </pic:blipFill>
                        <pic:spPr>
                          <a:xfrm>
                            <a:off x="0" y="0"/>
                            <a:ext cx="2256801" cy="1188599"/>
                          </a:xfrm>
                          <a:prstGeom prst="rect">
                            <a:avLst/>
                          </a:prstGeom>
                          <a:ln/>
                        </pic:spPr>
                      </pic:pic>
                    </a:graphicData>
                  </a:graphic>
                </wp:inline>
              </w:drawing>
            </w:r>
          </w:p>
        </w:tc>
        <w:tc>
          <w:tcPr>
            <w:tcW w:w="4536" w:type="dxa"/>
          </w:tcPr>
          <w:p w14:paraId="36B5B385" w14:textId="77777777" w:rsidR="007E61D9" w:rsidRDefault="00D65480">
            <w:pPr>
              <w:pBdr>
                <w:top w:val="nil"/>
                <w:left w:val="nil"/>
                <w:bottom w:val="nil"/>
                <w:right w:val="nil"/>
                <w:between w:val="nil"/>
              </w:pBdr>
              <w:ind w:left="179" w:right="174"/>
              <w:jc w:val="both"/>
              <w:rPr>
                <w:rFonts w:ascii="Arial" w:eastAsia="Arial" w:hAnsi="Arial" w:cs="Arial"/>
                <w:i/>
                <w:color w:val="000000"/>
                <w:sz w:val="18"/>
                <w:szCs w:val="18"/>
              </w:rPr>
            </w:pPr>
            <w:r>
              <w:rPr>
                <w:rFonts w:ascii="Arial" w:eastAsia="Arial" w:hAnsi="Arial" w:cs="Arial"/>
                <w:i/>
                <w:color w:val="000000"/>
                <w:sz w:val="18"/>
                <w:szCs w:val="18"/>
              </w:rPr>
              <w:t>Voz de la denunciada:</w:t>
            </w:r>
          </w:p>
          <w:p w14:paraId="73B4CB68" w14:textId="77777777" w:rsidR="007E61D9" w:rsidRDefault="007E61D9">
            <w:pPr>
              <w:pBdr>
                <w:top w:val="nil"/>
                <w:left w:val="nil"/>
                <w:bottom w:val="nil"/>
                <w:right w:val="nil"/>
                <w:between w:val="nil"/>
              </w:pBdr>
              <w:ind w:left="179" w:right="174"/>
              <w:jc w:val="both"/>
              <w:rPr>
                <w:rFonts w:ascii="Times New Roman" w:eastAsia="Times New Roman" w:hAnsi="Times New Roman" w:cs="Times New Roman"/>
                <w:color w:val="000000"/>
                <w:sz w:val="18"/>
                <w:szCs w:val="18"/>
              </w:rPr>
            </w:pPr>
          </w:p>
          <w:p w14:paraId="79EC49AB" w14:textId="77777777" w:rsidR="007E61D9" w:rsidRDefault="00D65480">
            <w:pPr>
              <w:pBdr>
                <w:top w:val="nil"/>
                <w:left w:val="nil"/>
                <w:bottom w:val="nil"/>
                <w:right w:val="nil"/>
                <w:between w:val="nil"/>
              </w:pBdr>
              <w:ind w:left="179" w:right="174"/>
              <w:jc w:val="both"/>
              <w:rPr>
                <w:rFonts w:ascii="Arial" w:eastAsia="Arial" w:hAnsi="Arial" w:cs="Arial"/>
                <w:color w:val="000000"/>
                <w:sz w:val="18"/>
                <w:szCs w:val="18"/>
              </w:rPr>
            </w:pPr>
            <w:r>
              <w:rPr>
                <w:rFonts w:ascii="Arial" w:eastAsia="Arial" w:hAnsi="Arial" w:cs="Arial"/>
                <w:color w:val="000000"/>
                <w:sz w:val="18"/>
                <w:szCs w:val="18"/>
              </w:rPr>
              <w:t>¿Te has preguntado por qué en Aguascalientes hay tanta gente con enfermedades renales y de la tiroides?</w:t>
            </w:r>
          </w:p>
        </w:tc>
      </w:tr>
      <w:tr w:rsidR="007E61D9" w14:paraId="0361557B" w14:textId="77777777" w:rsidTr="007E61D9">
        <w:trPr>
          <w:trHeight w:val="1957"/>
        </w:trPr>
        <w:tc>
          <w:tcPr>
            <w:tcW w:w="5098" w:type="dxa"/>
          </w:tcPr>
          <w:p w14:paraId="539CDD51" w14:textId="77777777" w:rsidR="007E61D9" w:rsidRDefault="00D65480">
            <w:pPr>
              <w:tabs>
                <w:tab w:val="left" w:pos="426"/>
              </w:tabs>
              <w:spacing w:line="360" w:lineRule="auto"/>
              <w:ind w:right="36"/>
              <w:jc w:val="center"/>
              <w:rPr>
                <w:rFonts w:ascii="Arial" w:eastAsia="Arial" w:hAnsi="Arial" w:cs="Arial"/>
                <w:color w:val="000000"/>
                <w:sz w:val="18"/>
                <w:szCs w:val="18"/>
              </w:rPr>
            </w:pPr>
            <w:r>
              <w:rPr>
                <w:noProof/>
              </w:rPr>
              <w:drawing>
                <wp:inline distT="0" distB="0" distL="0" distR="0" wp14:anchorId="6177B241" wp14:editId="47FE59CE">
                  <wp:extent cx="2206781" cy="1191138"/>
                  <wp:effectExtent l="0" t="0" r="0" b="0"/>
                  <wp:docPr id="7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9"/>
                          <a:srcRect l="50528"/>
                          <a:stretch>
                            <a:fillRect/>
                          </a:stretch>
                        </pic:blipFill>
                        <pic:spPr>
                          <a:xfrm>
                            <a:off x="0" y="0"/>
                            <a:ext cx="2206781" cy="1191138"/>
                          </a:xfrm>
                          <a:prstGeom prst="rect">
                            <a:avLst/>
                          </a:prstGeom>
                          <a:ln/>
                        </pic:spPr>
                      </pic:pic>
                    </a:graphicData>
                  </a:graphic>
                </wp:inline>
              </w:drawing>
            </w:r>
          </w:p>
        </w:tc>
        <w:tc>
          <w:tcPr>
            <w:tcW w:w="4536" w:type="dxa"/>
          </w:tcPr>
          <w:p w14:paraId="43E355DA" w14:textId="77777777" w:rsidR="007E61D9" w:rsidRDefault="00D65480">
            <w:pPr>
              <w:pBdr>
                <w:top w:val="nil"/>
                <w:left w:val="nil"/>
                <w:bottom w:val="nil"/>
                <w:right w:val="nil"/>
                <w:between w:val="nil"/>
              </w:pBdr>
              <w:ind w:left="179" w:right="174"/>
              <w:jc w:val="both"/>
              <w:rPr>
                <w:rFonts w:ascii="Arial" w:eastAsia="Arial" w:hAnsi="Arial" w:cs="Arial"/>
                <w:color w:val="000000"/>
                <w:sz w:val="18"/>
                <w:szCs w:val="18"/>
              </w:rPr>
            </w:pPr>
            <w:r>
              <w:rPr>
                <w:rFonts w:ascii="Arial" w:eastAsia="Arial" w:hAnsi="Arial" w:cs="Arial"/>
                <w:color w:val="000000"/>
                <w:sz w:val="18"/>
                <w:szCs w:val="18"/>
              </w:rPr>
              <w:t>¿Por qué huele tan feo la ciudad, en especial el río San Pedro?</w:t>
            </w:r>
          </w:p>
        </w:tc>
      </w:tr>
      <w:tr w:rsidR="007E61D9" w14:paraId="2B5504F7" w14:textId="77777777" w:rsidTr="007E61D9">
        <w:trPr>
          <w:cnfStyle w:val="000000100000" w:firstRow="0" w:lastRow="0" w:firstColumn="0" w:lastColumn="0" w:oddVBand="0" w:evenVBand="0" w:oddHBand="1" w:evenHBand="0" w:firstRowFirstColumn="0" w:firstRowLastColumn="0" w:lastRowFirstColumn="0" w:lastRowLastColumn="0"/>
          <w:trHeight w:val="2114"/>
        </w:trPr>
        <w:tc>
          <w:tcPr>
            <w:tcW w:w="5098" w:type="dxa"/>
          </w:tcPr>
          <w:p w14:paraId="4818F586" w14:textId="77777777" w:rsidR="007E61D9" w:rsidRDefault="00D65480">
            <w:pPr>
              <w:tabs>
                <w:tab w:val="right" w:pos="4846"/>
              </w:tabs>
              <w:spacing w:line="360" w:lineRule="auto"/>
              <w:ind w:right="36"/>
              <w:rPr>
                <w:rFonts w:ascii="Arial" w:eastAsia="Arial" w:hAnsi="Arial" w:cs="Arial"/>
                <w:color w:val="000000"/>
                <w:sz w:val="18"/>
                <w:szCs w:val="18"/>
              </w:rPr>
            </w:pPr>
            <w:r>
              <w:rPr>
                <w:noProof/>
              </w:rPr>
              <w:drawing>
                <wp:anchor distT="0" distB="0" distL="114300" distR="114300" simplePos="0" relativeHeight="251658240" behindDoc="0" locked="0" layoutInCell="1" hidden="0" allowOverlap="1" wp14:anchorId="03C806C9" wp14:editId="2BB9036B">
                  <wp:simplePos x="0" y="0"/>
                  <wp:positionH relativeFrom="column">
                    <wp:posOffset>442595</wp:posOffset>
                  </wp:positionH>
                  <wp:positionV relativeFrom="paragraph">
                    <wp:posOffset>0</wp:posOffset>
                  </wp:positionV>
                  <wp:extent cx="2194560" cy="1240790"/>
                  <wp:effectExtent l="0" t="0" r="0" b="0"/>
                  <wp:wrapSquare wrapText="bothSides" distT="0" distB="0" distL="114300" distR="114300"/>
                  <wp:docPr id="7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l="50271"/>
                          <a:stretch>
                            <a:fillRect/>
                          </a:stretch>
                        </pic:blipFill>
                        <pic:spPr>
                          <a:xfrm>
                            <a:off x="0" y="0"/>
                            <a:ext cx="2194560" cy="1240790"/>
                          </a:xfrm>
                          <a:prstGeom prst="rect">
                            <a:avLst/>
                          </a:prstGeom>
                          <a:ln/>
                        </pic:spPr>
                      </pic:pic>
                    </a:graphicData>
                  </a:graphic>
                </wp:anchor>
              </w:drawing>
            </w:r>
          </w:p>
        </w:tc>
        <w:tc>
          <w:tcPr>
            <w:tcW w:w="4536" w:type="dxa"/>
          </w:tcPr>
          <w:p w14:paraId="008FE51C" w14:textId="77777777" w:rsidR="007E61D9" w:rsidRDefault="00D65480">
            <w:pPr>
              <w:pBdr>
                <w:top w:val="nil"/>
                <w:left w:val="nil"/>
                <w:bottom w:val="nil"/>
                <w:right w:val="nil"/>
                <w:between w:val="nil"/>
              </w:pBdr>
              <w:ind w:left="179" w:right="174"/>
              <w:jc w:val="both"/>
              <w:rPr>
                <w:rFonts w:ascii="Arial" w:eastAsia="Arial" w:hAnsi="Arial" w:cs="Arial"/>
                <w:color w:val="000000"/>
                <w:sz w:val="18"/>
                <w:szCs w:val="18"/>
              </w:rPr>
            </w:pPr>
            <w:r>
              <w:rPr>
                <w:rFonts w:ascii="Arial" w:eastAsia="Arial" w:hAnsi="Arial" w:cs="Arial"/>
                <w:color w:val="000000"/>
                <w:sz w:val="18"/>
                <w:szCs w:val="18"/>
              </w:rPr>
              <w:t>¿Por qué tenemos tantos problemas con el agua potable?</w:t>
            </w:r>
          </w:p>
        </w:tc>
      </w:tr>
      <w:tr w:rsidR="007E61D9" w14:paraId="2F481C29" w14:textId="77777777" w:rsidTr="007E61D9">
        <w:trPr>
          <w:trHeight w:val="2398"/>
        </w:trPr>
        <w:tc>
          <w:tcPr>
            <w:tcW w:w="5098" w:type="dxa"/>
          </w:tcPr>
          <w:p w14:paraId="77AC4E7F" w14:textId="77777777" w:rsidR="007E61D9" w:rsidRDefault="00D65480">
            <w:pPr>
              <w:tabs>
                <w:tab w:val="left" w:pos="426"/>
              </w:tabs>
              <w:spacing w:line="360" w:lineRule="auto"/>
              <w:ind w:right="36"/>
              <w:rPr>
                <w:rFonts w:ascii="Arial" w:eastAsia="Arial" w:hAnsi="Arial" w:cs="Arial"/>
                <w:color w:val="000000"/>
                <w:sz w:val="18"/>
                <w:szCs w:val="18"/>
              </w:rPr>
            </w:pPr>
            <w:r>
              <w:rPr>
                <w:noProof/>
              </w:rPr>
              <w:drawing>
                <wp:anchor distT="0" distB="0" distL="114300" distR="114300" simplePos="0" relativeHeight="251659264" behindDoc="0" locked="0" layoutInCell="1" hidden="0" allowOverlap="1" wp14:anchorId="73C4F4C3" wp14:editId="65EED553">
                  <wp:simplePos x="0" y="0"/>
                  <wp:positionH relativeFrom="column">
                    <wp:posOffset>442871</wp:posOffset>
                  </wp:positionH>
                  <wp:positionV relativeFrom="paragraph">
                    <wp:posOffset>21976</wp:posOffset>
                  </wp:positionV>
                  <wp:extent cx="2209800" cy="1256030"/>
                  <wp:effectExtent l="0" t="0" r="0" b="0"/>
                  <wp:wrapSquare wrapText="bothSides" distT="0" distB="0" distL="114300" distR="114300"/>
                  <wp:docPr id="6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l="50528"/>
                          <a:stretch>
                            <a:fillRect/>
                          </a:stretch>
                        </pic:blipFill>
                        <pic:spPr>
                          <a:xfrm>
                            <a:off x="0" y="0"/>
                            <a:ext cx="2209800" cy="1256030"/>
                          </a:xfrm>
                          <a:prstGeom prst="rect">
                            <a:avLst/>
                          </a:prstGeom>
                          <a:ln/>
                        </pic:spPr>
                      </pic:pic>
                    </a:graphicData>
                  </a:graphic>
                </wp:anchor>
              </w:drawing>
            </w:r>
          </w:p>
          <w:p w14:paraId="284C5084" w14:textId="77777777" w:rsidR="007E61D9" w:rsidRDefault="007E61D9">
            <w:pPr>
              <w:tabs>
                <w:tab w:val="left" w:pos="426"/>
              </w:tabs>
              <w:spacing w:line="360" w:lineRule="auto"/>
              <w:ind w:right="36"/>
              <w:rPr>
                <w:rFonts w:ascii="Arial" w:eastAsia="Arial" w:hAnsi="Arial" w:cs="Arial"/>
                <w:color w:val="000000"/>
                <w:sz w:val="18"/>
                <w:szCs w:val="18"/>
              </w:rPr>
            </w:pPr>
          </w:p>
          <w:p w14:paraId="12B9A941" w14:textId="77777777" w:rsidR="007E61D9" w:rsidRDefault="007E61D9">
            <w:pPr>
              <w:tabs>
                <w:tab w:val="left" w:pos="426"/>
              </w:tabs>
              <w:spacing w:line="360" w:lineRule="auto"/>
              <w:ind w:right="36"/>
              <w:rPr>
                <w:rFonts w:ascii="Arial" w:eastAsia="Arial" w:hAnsi="Arial" w:cs="Arial"/>
                <w:color w:val="000000"/>
                <w:sz w:val="18"/>
                <w:szCs w:val="18"/>
              </w:rPr>
            </w:pPr>
          </w:p>
          <w:p w14:paraId="779ED928" w14:textId="77777777" w:rsidR="007E61D9" w:rsidRDefault="007E61D9">
            <w:pPr>
              <w:tabs>
                <w:tab w:val="left" w:pos="426"/>
              </w:tabs>
              <w:spacing w:line="360" w:lineRule="auto"/>
              <w:ind w:right="36"/>
              <w:rPr>
                <w:rFonts w:ascii="Arial" w:eastAsia="Arial" w:hAnsi="Arial" w:cs="Arial"/>
                <w:color w:val="000000"/>
                <w:sz w:val="18"/>
                <w:szCs w:val="18"/>
              </w:rPr>
            </w:pPr>
          </w:p>
          <w:p w14:paraId="23FDDCBA" w14:textId="77777777" w:rsidR="007E61D9" w:rsidRDefault="007E61D9">
            <w:pPr>
              <w:tabs>
                <w:tab w:val="left" w:pos="426"/>
              </w:tabs>
              <w:spacing w:line="360" w:lineRule="auto"/>
              <w:ind w:right="36"/>
              <w:rPr>
                <w:rFonts w:ascii="Arial" w:eastAsia="Arial" w:hAnsi="Arial" w:cs="Arial"/>
                <w:color w:val="000000"/>
                <w:sz w:val="18"/>
                <w:szCs w:val="18"/>
              </w:rPr>
            </w:pPr>
          </w:p>
          <w:p w14:paraId="5D099586" w14:textId="77777777" w:rsidR="007E61D9" w:rsidRDefault="007E61D9">
            <w:pPr>
              <w:tabs>
                <w:tab w:val="left" w:pos="426"/>
              </w:tabs>
              <w:spacing w:line="360" w:lineRule="auto"/>
              <w:ind w:right="36"/>
              <w:rPr>
                <w:rFonts w:ascii="Arial" w:eastAsia="Arial" w:hAnsi="Arial" w:cs="Arial"/>
                <w:color w:val="000000"/>
                <w:sz w:val="18"/>
                <w:szCs w:val="18"/>
              </w:rPr>
            </w:pPr>
          </w:p>
          <w:p w14:paraId="53BA1A3C" w14:textId="77777777" w:rsidR="007E61D9" w:rsidRDefault="00D65480">
            <w:pPr>
              <w:tabs>
                <w:tab w:val="left" w:pos="426"/>
              </w:tabs>
              <w:spacing w:line="360" w:lineRule="auto"/>
              <w:ind w:right="36"/>
              <w:rPr>
                <w:rFonts w:ascii="Arial" w:eastAsia="Arial" w:hAnsi="Arial" w:cs="Arial"/>
                <w:color w:val="000000"/>
                <w:sz w:val="18"/>
                <w:szCs w:val="18"/>
              </w:rPr>
            </w:pPr>
            <w:r>
              <w:rPr>
                <w:noProof/>
              </w:rPr>
              <w:lastRenderedPageBreak/>
              <w:drawing>
                <wp:anchor distT="0" distB="0" distL="114300" distR="114300" simplePos="0" relativeHeight="251660288" behindDoc="0" locked="0" layoutInCell="1" hidden="0" allowOverlap="1" wp14:anchorId="167AADFE" wp14:editId="7B719EC5">
                  <wp:simplePos x="0" y="0"/>
                  <wp:positionH relativeFrom="column">
                    <wp:posOffset>445770</wp:posOffset>
                  </wp:positionH>
                  <wp:positionV relativeFrom="paragraph">
                    <wp:posOffset>93345</wp:posOffset>
                  </wp:positionV>
                  <wp:extent cx="2210435" cy="1216025"/>
                  <wp:effectExtent l="0" t="0" r="0" b="0"/>
                  <wp:wrapSquare wrapText="bothSides" distT="0" distB="0" distL="114300" distR="114300"/>
                  <wp:docPr id="7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2"/>
                          <a:srcRect l="50271"/>
                          <a:stretch>
                            <a:fillRect/>
                          </a:stretch>
                        </pic:blipFill>
                        <pic:spPr>
                          <a:xfrm>
                            <a:off x="0" y="0"/>
                            <a:ext cx="2210435" cy="1216025"/>
                          </a:xfrm>
                          <a:prstGeom prst="rect">
                            <a:avLst/>
                          </a:prstGeom>
                          <a:ln/>
                        </pic:spPr>
                      </pic:pic>
                    </a:graphicData>
                  </a:graphic>
                </wp:anchor>
              </w:drawing>
            </w:r>
          </w:p>
        </w:tc>
        <w:tc>
          <w:tcPr>
            <w:tcW w:w="4536" w:type="dxa"/>
          </w:tcPr>
          <w:p w14:paraId="258D407F" w14:textId="77777777" w:rsidR="007E61D9" w:rsidRDefault="00D65480">
            <w:pPr>
              <w:pBdr>
                <w:top w:val="nil"/>
                <w:left w:val="nil"/>
                <w:bottom w:val="nil"/>
                <w:right w:val="nil"/>
                <w:between w:val="nil"/>
              </w:pBdr>
              <w:ind w:left="37" w:right="174"/>
              <w:jc w:val="both"/>
              <w:rPr>
                <w:rFonts w:ascii="Arial" w:eastAsia="Arial" w:hAnsi="Arial" w:cs="Arial"/>
                <w:color w:val="000000"/>
                <w:sz w:val="18"/>
                <w:szCs w:val="18"/>
              </w:rPr>
            </w:pPr>
            <w:r>
              <w:rPr>
                <w:rFonts w:ascii="Arial" w:eastAsia="Arial" w:hAnsi="Arial" w:cs="Arial"/>
                <w:color w:val="000000"/>
                <w:sz w:val="18"/>
                <w:szCs w:val="18"/>
              </w:rPr>
              <w:lastRenderedPageBreak/>
              <w:t xml:space="preserve">  Yo también me he hecho estas preguntas.</w:t>
            </w:r>
          </w:p>
          <w:p w14:paraId="36F013AA" w14:textId="77777777" w:rsidR="007E61D9" w:rsidRDefault="007E61D9">
            <w:pPr>
              <w:pBdr>
                <w:top w:val="nil"/>
                <w:left w:val="nil"/>
                <w:bottom w:val="nil"/>
                <w:right w:val="nil"/>
                <w:between w:val="nil"/>
              </w:pBdr>
              <w:ind w:right="174"/>
              <w:jc w:val="both"/>
              <w:rPr>
                <w:rFonts w:ascii="Arial" w:eastAsia="Arial" w:hAnsi="Arial" w:cs="Arial"/>
                <w:color w:val="000000"/>
                <w:sz w:val="18"/>
                <w:szCs w:val="18"/>
              </w:rPr>
            </w:pPr>
          </w:p>
          <w:p w14:paraId="332F3E32" w14:textId="77777777" w:rsidR="007E61D9" w:rsidRDefault="00D65480">
            <w:pPr>
              <w:pBdr>
                <w:top w:val="nil"/>
                <w:left w:val="nil"/>
                <w:bottom w:val="nil"/>
                <w:right w:val="nil"/>
                <w:between w:val="nil"/>
              </w:pBdr>
              <w:ind w:left="179" w:right="174"/>
              <w:jc w:val="both"/>
              <w:rPr>
                <w:rFonts w:ascii="Arial" w:eastAsia="Arial" w:hAnsi="Arial" w:cs="Arial"/>
                <w:color w:val="000000"/>
                <w:sz w:val="18"/>
                <w:szCs w:val="18"/>
              </w:rPr>
            </w:pPr>
            <w:r>
              <w:rPr>
                <w:rFonts w:ascii="Arial" w:eastAsia="Arial" w:hAnsi="Arial" w:cs="Arial"/>
                <w:color w:val="000000"/>
                <w:sz w:val="18"/>
                <w:szCs w:val="18"/>
              </w:rPr>
              <w:t>Por eso hoy me tomé el tiempo para venir aquí al origen del problema.</w:t>
            </w:r>
          </w:p>
          <w:p w14:paraId="3671CB0C" w14:textId="77777777" w:rsidR="007E61D9" w:rsidRDefault="007E61D9">
            <w:pPr>
              <w:pBdr>
                <w:top w:val="nil"/>
                <w:left w:val="nil"/>
                <w:bottom w:val="nil"/>
                <w:right w:val="nil"/>
                <w:between w:val="nil"/>
              </w:pBdr>
              <w:ind w:left="179" w:right="174"/>
              <w:jc w:val="both"/>
              <w:rPr>
                <w:rFonts w:ascii="Arial" w:eastAsia="Arial" w:hAnsi="Arial" w:cs="Arial"/>
                <w:color w:val="000000"/>
                <w:sz w:val="18"/>
                <w:szCs w:val="18"/>
              </w:rPr>
            </w:pPr>
          </w:p>
          <w:p w14:paraId="46875EC1" w14:textId="77777777" w:rsidR="007E61D9" w:rsidRDefault="00D65480">
            <w:pPr>
              <w:pBdr>
                <w:top w:val="nil"/>
                <w:left w:val="nil"/>
                <w:bottom w:val="nil"/>
                <w:right w:val="nil"/>
                <w:between w:val="nil"/>
              </w:pBdr>
              <w:ind w:left="179" w:right="174"/>
              <w:jc w:val="both"/>
              <w:rPr>
                <w:rFonts w:ascii="Arial" w:eastAsia="Arial" w:hAnsi="Arial" w:cs="Arial"/>
                <w:color w:val="000000"/>
                <w:sz w:val="18"/>
                <w:szCs w:val="18"/>
              </w:rPr>
            </w:pPr>
            <w:bookmarkStart w:id="5" w:name="_heading=h.tyjcwt" w:colFirst="0" w:colLast="0"/>
            <w:bookmarkEnd w:id="5"/>
            <w:r>
              <w:rPr>
                <w:rFonts w:ascii="Arial" w:eastAsia="Arial" w:hAnsi="Arial" w:cs="Arial"/>
                <w:color w:val="000000"/>
                <w:sz w:val="18"/>
                <w:szCs w:val="18"/>
              </w:rPr>
              <w:t xml:space="preserve">Estoy en el río San Pedro y vean las condiciones deplorables en las que Teresa Jiménez y los </w:t>
            </w:r>
            <w:proofErr w:type="spellStart"/>
            <w:r>
              <w:rPr>
                <w:rFonts w:ascii="Arial" w:eastAsia="Arial" w:hAnsi="Arial" w:cs="Arial"/>
                <w:color w:val="000000"/>
                <w:sz w:val="18"/>
                <w:szCs w:val="18"/>
              </w:rPr>
              <w:t>prianistas</w:t>
            </w:r>
            <w:proofErr w:type="spellEnd"/>
            <w:r>
              <w:rPr>
                <w:rFonts w:ascii="Arial" w:eastAsia="Arial" w:hAnsi="Arial" w:cs="Arial"/>
                <w:color w:val="000000"/>
                <w:sz w:val="18"/>
                <w:szCs w:val="18"/>
              </w:rPr>
              <w:t xml:space="preserve"> dejaron el afluente más importante del Estado.</w:t>
            </w:r>
          </w:p>
          <w:p w14:paraId="524AF252" w14:textId="77777777" w:rsidR="007E61D9" w:rsidRDefault="007E61D9">
            <w:pPr>
              <w:pBdr>
                <w:top w:val="nil"/>
                <w:left w:val="nil"/>
                <w:bottom w:val="nil"/>
                <w:right w:val="nil"/>
                <w:between w:val="nil"/>
              </w:pBdr>
              <w:ind w:left="179" w:right="174"/>
              <w:jc w:val="both"/>
              <w:rPr>
                <w:rFonts w:ascii="Arial" w:eastAsia="Arial" w:hAnsi="Arial" w:cs="Arial"/>
                <w:color w:val="000000"/>
                <w:sz w:val="18"/>
                <w:szCs w:val="18"/>
              </w:rPr>
            </w:pPr>
          </w:p>
          <w:p w14:paraId="203F1652" w14:textId="77777777" w:rsidR="007E61D9" w:rsidRDefault="007E61D9">
            <w:pPr>
              <w:pBdr>
                <w:top w:val="nil"/>
                <w:left w:val="nil"/>
                <w:bottom w:val="nil"/>
                <w:right w:val="nil"/>
                <w:between w:val="nil"/>
              </w:pBdr>
              <w:ind w:left="179" w:right="174"/>
              <w:jc w:val="both"/>
              <w:rPr>
                <w:rFonts w:ascii="Arial" w:eastAsia="Arial" w:hAnsi="Arial" w:cs="Arial"/>
                <w:color w:val="000000"/>
                <w:sz w:val="18"/>
                <w:szCs w:val="18"/>
              </w:rPr>
            </w:pPr>
          </w:p>
        </w:tc>
      </w:tr>
      <w:tr w:rsidR="007E61D9" w14:paraId="6E47DFFA" w14:textId="77777777" w:rsidTr="007E61D9">
        <w:trPr>
          <w:cnfStyle w:val="000000100000" w:firstRow="0" w:lastRow="0" w:firstColumn="0" w:lastColumn="0" w:oddVBand="0" w:evenVBand="0" w:oddHBand="1" w:evenHBand="0" w:firstRowFirstColumn="0" w:firstRowLastColumn="0" w:lastRowFirstColumn="0" w:lastRowLastColumn="0"/>
          <w:trHeight w:val="2398"/>
        </w:trPr>
        <w:tc>
          <w:tcPr>
            <w:tcW w:w="5098" w:type="dxa"/>
          </w:tcPr>
          <w:p w14:paraId="7C6D1899" w14:textId="77777777" w:rsidR="007E61D9" w:rsidRDefault="00D65480">
            <w:pPr>
              <w:tabs>
                <w:tab w:val="left" w:pos="426"/>
              </w:tabs>
              <w:spacing w:line="360" w:lineRule="auto"/>
              <w:ind w:right="36"/>
              <w:rPr>
                <w:sz w:val="18"/>
                <w:szCs w:val="18"/>
              </w:rPr>
            </w:pPr>
            <w:r>
              <w:rPr>
                <w:noProof/>
              </w:rPr>
              <w:drawing>
                <wp:anchor distT="0" distB="0" distL="114300" distR="114300" simplePos="0" relativeHeight="251661312" behindDoc="0" locked="0" layoutInCell="1" hidden="0" allowOverlap="1" wp14:anchorId="50E4DFEE" wp14:editId="776F8ABE">
                  <wp:simplePos x="0" y="0"/>
                  <wp:positionH relativeFrom="column">
                    <wp:posOffset>434975</wp:posOffset>
                  </wp:positionH>
                  <wp:positionV relativeFrom="paragraph">
                    <wp:posOffset>0</wp:posOffset>
                  </wp:positionV>
                  <wp:extent cx="2257425" cy="1104900"/>
                  <wp:effectExtent l="0" t="0" r="0" b="0"/>
                  <wp:wrapSquare wrapText="bothSides" distT="0" distB="0" distL="114300" distR="114300"/>
                  <wp:docPr id="7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l="50014"/>
                          <a:stretch>
                            <a:fillRect/>
                          </a:stretch>
                        </pic:blipFill>
                        <pic:spPr>
                          <a:xfrm>
                            <a:off x="0" y="0"/>
                            <a:ext cx="2257425" cy="1104900"/>
                          </a:xfrm>
                          <a:prstGeom prst="rect">
                            <a:avLst/>
                          </a:prstGeom>
                          <a:ln/>
                        </pic:spPr>
                      </pic:pic>
                    </a:graphicData>
                  </a:graphic>
                </wp:anchor>
              </w:drawing>
            </w:r>
          </w:p>
          <w:p w14:paraId="00559F45" w14:textId="77777777" w:rsidR="007E61D9" w:rsidRDefault="007E61D9">
            <w:pPr>
              <w:rPr>
                <w:sz w:val="18"/>
                <w:szCs w:val="18"/>
              </w:rPr>
            </w:pPr>
          </w:p>
          <w:p w14:paraId="6FCBCCF1" w14:textId="77777777" w:rsidR="007E61D9" w:rsidRDefault="007E61D9">
            <w:pPr>
              <w:rPr>
                <w:sz w:val="18"/>
                <w:szCs w:val="18"/>
              </w:rPr>
            </w:pPr>
          </w:p>
          <w:p w14:paraId="78822033" w14:textId="77777777" w:rsidR="007E61D9" w:rsidRDefault="007E61D9">
            <w:pPr>
              <w:rPr>
                <w:sz w:val="18"/>
                <w:szCs w:val="18"/>
              </w:rPr>
            </w:pPr>
          </w:p>
          <w:p w14:paraId="331A4D46" w14:textId="77777777" w:rsidR="007E61D9" w:rsidRDefault="007E61D9">
            <w:pPr>
              <w:rPr>
                <w:sz w:val="18"/>
                <w:szCs w:val="18"/>
              </w:rPr>
            </w:pPr>
          </w:p>
          <w:p w14:paraId="13133CF1" w14:textId="77777777" w:rsidR="007E61D9" w:rsidRDefault="007E61D9">
            <w:pPr>
              <w:rPr>
                <w:sz w:val="18"/>
                <w:szCs w:val="18"/>
              </w:rPr>
            </w:pPr>
          </w:p>
          <w:p w14:paraId="64159A1A" w14:textId="77777777" w:rsidR="007E61D9" w:rsidRDefault="007E61D9">
            <w:pPr>
              <w:rPr>
                <w:sz w:val="18"/>
                <w:szCs w:val="18"/>
              </w:rPr>
            </w:pPr>
          </w:p>
          <w:p w14:paraId="2BC5CC43" w14:textId="77777777" w:rsidR="007E61D9" w:rsidRDefault="00D65480">
            <w:pPr>
              <w:rPr>
                <w:sz w:val="18"/>
                <w:szCs w:val="18"/>
              </w:rPr>
            </w:pPr>
            <w:r>
              <w:rPr>
                <w:noProof/>
              </w:rPr>
              <w:drawing>
                <wp:anchor distT="0" distB="0" distL="114300" distR="114300" simplePos="0" relativeHeight="251662336" behindDoc="0" locked="0" layoutInCell="1" hidden="0" allowOverlap="1" wp14:anchorId="0D2AA0B3" wp14:editId="3763A84D">
                  <wp:simplePos x="0" y="0"/>
                  <wp:positionH relativeFrom="column">
                    <wp:posOffset>434975</wp:posOffset>
                  </wp:positionH>
                  <wp:positionV relativeFrom="paragraph">
                    <wp:posOffset>97155</wp:posOffset>
                  </wp:positionV>
                  <wp:extent cx="2257425" cy="1231900"/>
                  <wp:effectExtent l="0" t="0" r="0" b="0"/>
                  <wp:wrapSquare wrapText="bothSides" distT="0" distB="0" distL="114300" distR="114300"/>
                  <wp:docPr id="7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l="50528"/>
                          <a:stretch>
                            <a:fillRect/>
                          </a:stretch>
                        </pic:blipFill>
                        <pic:spPr>
                          <a:xfrm>
                            <a:off x="0" y="0"/>
                            <a:ext cx="2257425" cy="1231900"/>
                          </a:xfrm>
                          <a:prstGeom prst="rect">
                            <a:avLst/>
                          </a:prstGeom>
                          <a:ln/>
                        </pic:spPr>
                      </pic:pic>
                    </a:graphicData>
                  </a:graphic>
                </wp:anchor>
              </w:drawing>
            </w:r>
          </w:p>
          <w:p w14:paraId="5E39E0A2" w14:textId="77777777" w:rsidR="007E61D9" w:rsidRDefault="007E61D9">
            <w:pPr>
              <w:rPr>
                <w:sz w:val="18"/>
                <w:szCs w:val="18"/>
              </w:rPr>
            </w:pPr>
          </w:p>
          <w:p w14:paraId="6D6B8CD4" w14:textId="77777777" w:rsidR="007E61D9" w:rsidRDefault="00D65480">
            <w:pPr>
              <w:tabs>
                <w:tab w:val="left" w:pos="3782"/>
              </w:tabs>
              <w:rPr>
                <w:sz w:val="18"/>
                <w:szCs w:val="18"/>
              </w:rPr>
            </w:pPr>
            <w:r>
              <w:rPr>
                <w:sz w:val="18"/>
                <w:szCs w:val="18"/>
              </w:rPr>
              <w:tab/>
            </w:r>
          </w:p>
        </w:tc>
        <w:tc>
          <w:tcPr>
            <w:tcW w:w="4536" w:type="dxa"/>
          </w:tcPr>
          <w:p w14:paraId="52068305" w14:textId="77777777" w:rsidR="007E61D9" w:rsidRDefault="00D65480">
            <w:pPr>
              <w:pBdr>
                <w:top w:val="nil"/>
                <w:left w:val="nil"/>
                <w:bottom w:val="nil"/>
                <w:right w:val="nil"/>
                <w:between w:val="nil"/>
              </w:pBdr>
              <w:ind w:left="180" w:right="174"/>
              <w:jc w:val="both"/>
              <w:rPr>
                <w:rFonts w:ascii="Arial" w:eastAsia="Arial" w:hAnsi="Arial" w:cs="Arial"/>
                <w:color w:val="000000"/>
                <w:sz w:val="18"/>
                <w:szCs w:val="18"/>
              </w:rPr>
            </w:pPr>
            <w:r>
              <w:rPr>
                <w:rFonts w:ascii="Arial" w:eastAsia="Arial" w:hAnsi="Arial" w:cs="Arial"/>
                <w:color w:val="000000"/>
                <w:sz w:val="18"/>
                <w:szCs w:val="18"/>
              </w:rPr>
              <w:t>Esta agua la usamos para cocinar, para bañarnos y para todas las labores domésticas.</w:t>
            </w:r>
          </w:p>
          <w:p w14:paraId="5EDD4722" w14:textId="77777777" w:rsidR="007E61D9" w:rsidRDefault="007E61D9">
            <w:pPr>
              <w:pBdr>
                <w:top w:val="nil"/>
                <w:left w:val="nil"/>
                <w:bottom w:val="nil"/>
                <w:right w:val="nil"/>
                <w:between w:val="nil"/>
              </w:pBdr>
              <w:ind w:left="180" w:right="174"/>
              <w:jc w:val="both"/>
              <w:rPr>
                <w:rFonts w:ascii="Arial" w:eastAsia="Arial" w:hAnsi="Arial" w:cs="Arial"/>
                <w:color w:val="000000"/>
                <w:sz w:val="18"/>
                <w:szCs w:val="18"/>
              </w:rPr>
            </w:pPr>
          </w:p>
          <w:p w14:paraId="69FEC7E7" w14:textId="77777777" w:rsidR="007E61D9" w:rsidRDefault="00D65480">
            <w:pPr>
              <w:pBdr>
                <w:top w:val="nil"/>
                <w:left w:val="nil"/>
                <w:bottom w:val="nil"/>
                <w:right w:val="nil"/>
                <w:between w:val="nil"/>
              </w:pBdr>
              <w:ind w:left="180" w:right="174"/>
              <w:jc w:val="both"/>
              <w:rPr>
                <w:rFonts w:ascii="Arial" w:eastAsia="Arial" w:hAnsi="Arial" w:cs="Arial"/>
                <w:color w:val="000000"/>
                <w:sz w:val="18"/>
                <w:szCs w:val="18"/>
              </w:rPr>
            </w:pPr>
            <w:r>
              <w:rPr>
                <w:rFonts w:ascii="Arial" w:eastAsia="Arial" w:hAnsi="Arial" w:cs="Arial"/>
                <w:color w:val="000000"/>
                <w:sz w:val="18"/>
                <w:szCs w:val="18"/>
              </w:rPr>
              <w:t>Teresa Jiménez nos dio agua envenenada y la población de Aguascalientes está sufriendo las consecuencias.</w:t>
            </w:r>
          </w:p>
        </w:tc>
      </w:tr>
      <w:tr w:rsidR="007E61D9" w14:paraId="33B9B453" w14:textId="77777777" w:rsidTr="007E61D9">
        <w:trPr>
          <w:trHeight w:val="2398"/>
        </w:trPr>
        <w:tc>
          <w:tcPr>
            <w:tcW w:w="5098" w:type="dxa"/>
          </w:tcPr>
          <w:p w14:paraId="56686BB6" w14:textId="77777777" w:rsidR="007E61D9" w:rsidRDefault="00D65480">
            <w:pPr>
              <w:tabs>
                <w:tab w:val="left" w:pos="426"/>
              </w:tabs>
              <w:spacing w:line="360" w:lineRule="auto"/>
              <w:ind w:right="36"/>
            </w:pPr>
            <w:r>
              <w:t xml:space="preserve"> </w:t>
            </w:r>
            <w:r>
              <w:rPr>
                <w:noProof/>
              </w:rPr>
              <w:drawing>
                <wp:anchor distT="0" distB="0" distL="114300" distR="114300" simplePos="0" relativeHeight="251663360" behindDoc="0" locked="0" layoutInCell="1" hidden="0" allowOverlap="1" wp14:anchorId="053C716F" wp14:editId="7AD87288">
                  <wp:simplePos x="0" y="0"/>
                  <wp:positionH relativeFrom="column">
                    <wp:posOffset>434975</wp:posOffset>
                  </wp:positionH>
                  <wp:positionV relativeFrom="paragraph">
                    <wp:posOffset>7620</wp:posOffset>
                  </wp:positionV>
                  <wp:extent cx="2186305" cy="1236980"/>
                  <wp:effectExtent l="0" t="0" r="0" b="0"/>
                  <wp:wrapSquare wrapText="bothSides" distT="0" distB="0" distL="114300" distR="114300"/>
                  <wp:docPr id="7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l="50271"/>
                          <a:stretch>
                            <a:fillRect/>
                          </a:stretch>
                        </pic:blipFill>
                        <pic:spPr>
                          <a:xfrm>
                            <a:off x="0" y="0"/>
                            <a:ext cx="2186305" cy="1236980"/>
                          </a:xfrm>
                          <a:prstGeom prst="rect">
                            <a:avLst/>
                          </a:prstGeom>
                          <a:ln/>
                        </pic:spPr>
                      </pic:pic>
                    </a:graphicData>
                  </a:graphic>
                </wp:anchor>
              </w:drawing>
            </w:r>
          </w:p>
          <w:p w14:paraId="7EF9028D" w14:textId="77777777" w:rsidR="007E61D9" w:rsidRDefault="00D65480">
            <w:pPr>
              <w:tabs>
                <w:tab w:val="left" w:pos="426"/>
              </w:tabs>
              <w:spacing w:line="360" w:lineRule="auto"/>
              <w:ind w:right="36"/>
            </w:pPr>
            <w:r>
              <w:rPr>
                <w:noProof/>
              </w:rPr>
              <w:drawing>
                <wp:anchor distT="0" distB="0" distL="114300" distR="114300" simplePos="0" relativeHeight="251664384" behindDoc="0" locked="0" layoutInCell="1" hidden="0" allowOverlap="1" wp14:anchorId="5CAEC8FC" wp14:editId="386155DF">
                  <wp:simplePos x="0" y="0"/>
                  <wp:positionH relativeFrom="column">
                    <wp:posOffset>434975</wp:posOffset>
                  </wp:positionH>
                  <wp:positionV relativeFrom="paragraph">
                    <wp:posOffset>993775</wp:posOffset>
                  </wp:positionV>
                  <wp:extent cx="2186305" cy="1247775"/>
                  <wp:effectExtent l="0" t="0" r="0" b="0"/>
                  <wp:wrapSquare wrapText="bothSides" distT="0" distB="0" distL="114300" distR="114300"/>
                  <wp:docPr id="6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6"/>
                          <a:srcRect l="50738"/>
                          <a:stretch>
                            <a:fillRect/>
                          </a:stretch>
                        </pic:blipFill>
                        <pic:spPr>
                          <a:xfrm>
                            <a:off x="0" y="0"/>
                            <a:ext cx="2186305" cy="1247775"/>
                          </a:xfrm>
                          <a:prstGeom prst="rect">
                            <a:avLst/>
                          </a:prstGeom>
                          <a:ln/>
                        </pic:spPr>
                      </pic:pic>
                    </a:graphicData>
                  </a:graphic>
                </wp:anchor>
              </w:drawing>
            </w:r>
          </w:p>
        </w:tc>
        <w:tc>
          <w:tcPr>
            <w:tcW w:w="4536" w:type="dxa"/>
          </w:tcPr>
          <w:p w14:paraId="31E3C878" w14:textId="77777777" w:rsidR="007E61D9" w:rsidRDefault="00D65480">
            <w:pPr>
              <w:pBdr>
                <w:top w:val="nil"/>
                <w:left w:val="nil"/>
                <w:bottom w:val="nil"/>
                <w:right w:val="nil"/>
                <w:between w:val="nil"/>
              </w:pBdr>
              <w:ind w:left="180" w:right="174"/>
              <w:jc w:val="both"/>
              <w:rPr>
                <w:rFonts w:ascii="Arial" w:eastAsia="Arial" w:hAnsi="Arial" w:cs="Arial"/>
                <w:color w:val="000000"/>
                <w:sz w:val="18"/>
                <w:szCs w:val="18"/>
              </w:rPr>
            </w:pPr>
            <w:r>
              <w:rPr>
                <w:rFonts w:ascii="Arial" w:eastAsia="Arial" w:hAnsi="Arial" w:cs="Arial"/>
                <w:color w:val="000000"/>
                <w:sz w:val="18"/>
                <w:szCs w:val="18"/>
              </w:rPr>
              <w:t>La planta de tratamiento de aguas residuales aquí en la presa de los Gringos, está totalmente abandonada.</w:t>
            </w:r>
          </w:p>
          <w:p w14:paraId="0A8E7724" w14:textId="77777777" w:rsidR="007E61D9" w:rsidRDefault="007E61D9">
            <w:pPr>
              <w:pBdr>
                <w:top w:val="nil"/>
                <w:left w:val="nil"/>
                <w:bottom w:val="nil"/>
                <w:right w:val="nil"/>
                <w:between w:val="nil"/>
              </w:pBdr>
              <w:ind w:left="180" w:right="174"/>
              <w:jc w:val="both"/>
              <w:rPr>
                <w:rFonts w:ascii="Arial" w:eastAsia="Arial" w:hAnsi="Arial" w:cs="Arial"/>
                <w:color w:val="000000"/>
                <w:sz w:val="18"/>
                <w:szCs w:val="18"/>
              </w:rPr>
            </w:pPr>
          </w:p>
          <w:p w14:paraId="167D67DD" w14:textId="77777777" w:rsidR="007E61D9" w:rsidRDefault="00D65480">
            <w:pPr>
              <w:pBdr>
                <w:top w:val="nil"/>
                <w:left w:val="nil"/>
                <w:bottom w:val="nil"/>
                <w:right w:val="nil"/>
                <w:between w:val="nil"/>
              </w:pBdr>
              <w:ind w:left="180" w:right="174"/>
              <w:jc w:val="both"/>
              <w:rPr>
                <w:rFonts w:ascii="Arial" w:eastAsia="Arial" w:hAnsi="Arial" w:cs="Arial"/>
                <w:color w:val="000000"/>
                <w:sz w:val="18"/>
                <w:szCs w:val="18"/>
              </w:rPr>
            </w:pPr>
            <w:bookmarkStart w:id="6" w:name="_heading=h.3dy6vkm" w:colFirst="0" w:colLast="0"/>
            <w:bookmarkEnd w:id="6"/>
            <w:r>
              <w:rPr>
                <w:rFonts w:ascii="Arial" w:eastAsia="Arial" w:hAnsi="Arial" w:cs="Arial"/>
                <w:b/>
                <w:color w:val="000000"/>
                <w:sz w:val="18"/>
                <w:szCs w:val="18"/>
              </w:rPr>
              <w:t>Nuestra gente se está enfermando, se está muriendo.</w:t>
            </w:r>
            <w:r>
              <w:rPr>
                <w:rFonts w:ascii="Arial" w:eastAsia="Arial" w:hAnsi="Arial" w:cs="Arial"/>
                <w:color w:val="000000"/>
                <w:sz w:val="18"/>
                <w:szCs w:val="18"/>
              </w:rPr>
              <w:t xml:space="preserve"> </w:t>
            </w:r>
          </w:p>
          <w:p w14:paraId="64063D35" w14:textId="77777777" w:rsidR="007E61D9" w:rsidRDefault="007E61D9">
            <w:pPr>
              <w:pBdr>
                <w:top w:val="nil"/>
                <w:left w:val="nil"/>
                <w:bottom w:val="nil"/>
                <w:right w:val="nil"/>
                <w:between w:val="nil"/>
              </w:pBdr>
              <w:ind w:left="180" w:right="174"/>
              <w:jc w:val="both"/>
              <w:rPr>
                <w:rFonts w:ascii="Arial" w:eastAsia="Arial" w:hAnsi="Arial" w:cs="Arial"/>
                <w:color w:val="000000"/>
                <w:sz w:val="18"/>
                <w:szCs w:val="18"/>
              </w:rPr>
            </w:pPr>
          </w:p>
          <w:p w14:paraId="5E6715BC" w14:textId="77777777" w:rsidR="007E61D9" w:rsidRDefault="00D65480">
            <w:pPr>
              <w:pBdr>
                <w:top w:val="nil"/>
                <w:left w:val="nil"/>
                <w:bottom w:val="nil"/>
                <w:right w:val="nil"/>
                <w:between w:val="nil"/>
              </w:pBdr>
              <w:ind w:left="180" w:right="174"/>
              <w:jc w:val="both"/>
              <w:rPr>
                <w:rFonts w:ascii="Arial" w:eastAsia="Arial" w:hAnsi="Arial" w:cs="Arial"/>
                <w:color w:val="000000"/>
                <w:sz w:val="18"/>
                <w:szCs w:val="18"/>
              </w:rPr>
            </w:pPr>
            <w:r>
              <w:rPr>
                <w:rFonts w:ascii="Arial" w:eastAsia="Arial" w:hAnsi="Arial" w:cs="Arial"/>
                <w:color w:val="000000"/>
                <w:sz w:val="18"/>
                <w:szCs w:val="18"/>
              </w:rPr>
              <w:t xml:space="preserve">Y todo </w:t>
            </w:r>
            <w:r>
              <w:rPr>
                <w:rFonts w:ascii="Arial" w:eastAsia="Arial" w:hAnsi="Arial" w:cs="Arial"/>
                <w:b/>
                <w:color w:val="000000"/>
                <w:sz w:val="18"/>
                <w:szCs w:val="18"/>
              </w:rPr>
              <w:t>por la indolencia, por la incompetencia de Teresa Jiménez,</w:t>
            </w:r>
            <w:r>
              <w:rPr>
                <w:rFonts w:ascii="Arial" w:eastAsia="Arial" w:hAnsi="Arial" w:cs="Arial"/>
                <w:color w:val="000000"/>
                <w:sz w:val="18"/>
                <w:szCs w:val="18"/>
              </w:rPr>
              <w:t xml:space="preserve"> quien puso los intereses de VEOLIA por encima de nuestras vidas.</w:t>
            </w:r>
          </w:p>
        </w:tc>
      </w:tr>
      <w:tr w:rsidR="007E61D9" w14:paraId="6B80360C" w14:textId="77777777" w:rsidTr="007E61D9">
        <w:trPr>
          <w:cnfStyle w:val="000000100000" w:firstRow="0" w:lastRow="0" w:firstColumn="0" w:lastColumn="0" w:oddVBand="0" w:evenVBand="0" w:oddHBand="1" w:evenHBand="0" w:firstRowFirstColumn="0" w:firstRowLastColumn="0" w:lastRowFirstColumn="0" w:lastRowLastColumn="0"/>
          <w:trHeight w:val="692"/>
        </w:trPr>
        <w:tc>
          <w:tcPr>
            <w:tcW w:w="5098" w:type="dxa"/>
          </w:tcPr>
          <w:p w14:paraId="7647A49F" w14:textId="77777777" w:rsidR="007E61D9" w:rsidRDefault="00D65480">
            <w:pPr>
              <w:tabs>
                <w:tab w:val="left" w:pos="426"/>
              </w:tabs>
              <w:spacing w:line="360" w:lineRule="auto"/>
              <w:ind w:right="36"/>
              <w:jc w:val="right"/>
              <w:rPr>
                <w:rFonts w:ascii="Arial" w:eastAsia="Arial" w:hAnsi="Arial" w:cs="Arial"/>
                <w:color w:val="000000"/>
                <w:sz w:val="18"/>
                <w:szCs w:val="18"/>
              </w:rPr>
            </w:pPr>
            <w:r>
              <w:rPr>
                <w:noProof/>
              </w:rPr>
              <w:drawing>
                <wp:anchor distT="0" distB="0" distL="114300" distR="114300" simplePos="0" relativeHeight="251665408" behindDoc="0" locked="0" layoutInCell="1" hidden="0" allowOverlap="1" wp14:anchorId="09281C30" wp14:editId="62CE1E8C">
                  <wp:simplePos x="0" y="0"/>
                  <wp:positionH relativeFrom="column">
                    <wp:posOffset>434975</wp:posOffset>
                  </wp:positionH>
                  <wp:positionV relativeFrom="paragraph">
                    <wp:posOffset>1270</wp:posOffset>
                  </wp:positionV>
                  <wp:extent cx="2185670" cy="1448435"/>
                  <wp:effectExtent l="0" t="0" r="0" b="0"/>
                  <wp:wrapSquare wrapText="bothSides" distT="0" distB="0" distL="114300" distR="114300"/>
                  <wp:docPr id="6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l="541" t="14243" r="47183" b="33373"/>
                          <a:stretch>
                            <a:fillRect/>
                          </a:stretch>
                        </pic:blipFill>
                        <pic:spPr>
                          <a:xfrm>
                            <a:off x="0" y="0"/>
                            <a:ext cx="2185670" cy="1448435"/>
                          </a:xfrm>
                          <a:prstGeom prst="rect">
                            <a:avLst/>
                          </a:prstGeom>
                          <a:ln/>
                        </pic:spPr>
                      </pic:pic>
                    </a:graphicData>
                  </a:graphic>
                </wp:anchor>
              </w:drawing>
            </w:r>
          </w:p>
        </w:tc>
        <w:tc>
          <w:tcPr>
            <w:tcW w:w="4536" w:type="dxa"/>
          </w:tcPr>
          <w:p w14:paraId="35836B1D" w14:textId="77777777" w:rsidR="007E61D9" w:rsidRDefault="00D65480">
            <w:pPr>
              <w:pBdr>
                <w:top w:val="nil"/>
                <w:left w:val="nil"/>
                <w:bottom w:val="nil"/>
                <w:right w:val="nil"/>
                <w:between w:val="nil"/>
              </w:pBdr>
              <w:ind w:left="179" w:right="174"/>
              <w:jc w:val="both"/>
              <w:rPr>
                <w:rFonts w:ascii="Arial" w:eastAsia="Arial" w:hAnsi="Arial" w:cs="Arial"/>
                <w:i/>
                <w:color w:val="000000"/>
                <w:sz w:val="18"/>
                <w:szCs w:val="18"/>
              </w:rPr>
            </w:pPr>
            <w:r>
              <w:rPr>
                <w:rFonts w:ascii="Arial" w:eastAsia="Arial" w:hAnsi="Arial" w:cs="Arial"/>
                <w:i/>
                <w:color w:val="000000"/>
                <w:sz w:val="18"/>
                <w:szCs w:val="18"/>
              </w:rPr>
              <w:t xml:space="preserve">Voz en off: </w:t>
            </w:r>
          </w:p>
          <w:p w14:paraId="0DB0FB0D" w14:textId="77777777" w:rsidR="007E61D9" w:rsidRDefault="007E61D9">
            <w:pPr>
              <w:pBdr>
                <w:top w:val="nil"/>
                <w:left w:val="nil"/>
                <w:bottom w:val="nil"/>
                <w:right w:val="nil"/>
                <w:between w:val="nil"/>
              </w:pBdr>
              <w:ind w:left="179" w:right="174"/>
              <w:jc w:val="both"/>
              <w:rPr>
                <w:rFonts w:ascii="Times New Roman" w:eastAsia="Times New Roman" w:hAnsi="Times New Roman" w:cs="Times New Roman"/>
                <w:color w:val="000000"/>
                <w:sz w:val="18"/>
                <w:szCs w:val="18"/>
              </w:rPr>
            </w:pPr>
          </w:p>
          <w:p w14:paraId="599BC816" w14:textId="77777777" w:rsidR="007E61D9" w:rsidRDefault="00D65480">
            <w:pPr>
              <w:pBdr>
                <w:top w:val="nil"/>
                <w:left w:val="nil"/>
                <w:bottom w:val="nil"/>
                <w:right w:val="nil"/>
                <w:between w:val="nil"/>
              </w:pBdr>
              <w:ind w:left="179" w:right="174"/>
              <w:jc w:val="both"/>
              <w:rPr>
                <w:rFonts w:ascii="Arial" w:eastAsia="Arial" w:hAnsi="Arial" w:cs="Arial"/>
                <w:color w:val="000000"/>
                <w:sz w:val="18"/>
                <w:szCs w:val="18"/>
              </w:rPr>
            </w:pPr>
            <w:r>
              <w:rPr>
                <w:rFonts w:ascii="Arial" w:eastAsia="Arial" w:hAnsi="Arial" w:cs="Arial"/>
                <w:color w:val="000000"/>
                <w:sz w:val="18"/>
                <w:szCs w:val="18"/>
              </w:rPr>
              <w:t xml:space="preserve">Nora Ruvalcaba, candidata a gobernadora de Aguascalientes. </w:t>
            </w:r>
          </w:p>
          <w:p w14:paraId="4857CDD5" w14:textId="77777777" w:rsidR="007E61D9" w:rsidRDefault="00D65480">
            <w:pPr>
              <w:pBdr>
                <w:top w:val="nil"/>
                <w:left w:val="nil"/>
                <w:bottom w:val="nil"/>
                <w:right w:val="nil"/>
                <w:between w:val="nil"/>
              </w:pBdr>
              <w:ind w:left="179" w:right="174"/>
              <w:jc w:val="both"/>
              <w:rPr>
                <w:rFonts w:ascii="Arial" w:eastAsia="Arial" w:hAnsi="Arial" w:cs="Arial"/>
                <w:color w:val="000000"/>
                <w:sz w:val="18"/>
                <w:szCs w:val="18"/>
              </w:rPr>
            </w:pPr>
            <w:r>
              <w:rPr>
                <w:rFonts w:ascii="Arial" w:eastAsia="Arial" w:hAnsi="Arial" w:cs="Arial"/>
                <w:color w:val="000000"/>
                <w:sz w:val="18"/>
                <w:szCs w:val="18"/>
              </w:rPr>
              <w:t xml:space="preserve">Morena, la esperanza de México. </w:t>
            </w:r>
          </w:p>
        </w:tc>
      </w:tr>
    </w:tbl>
    <w:p w14:paraId="30A66A1D" w14:textId="77777777" w:rsidR="007E61D9" w:rsidRDefault="007E61D9">
      <w:pPr>
        <w:pBdr>
          <w:top w:val="nil"/>
          <w:left w:val="nil"/>
          <w:bottom w:val="nil"/>
          <w:right w:val="nil"/>
          <w:between w:val="nil"/>
        </w:pBdr>
        <w:spacing w:line="360" w:lineRule="auto"/>
        <w:ind w:right="36"/>
        <w:jc w:val="both"/>
        <w:rPr>
          <w:rFonts w:ascii="Arial" w:eastAsia="Arial" w:hAnsi="Arial" w:cs="Arial"/>
          <w:b/>
          <w:color w:val="000000"/>
          <w:sz w:val="24"/>
          <w:szCs w:val="24"/>
        </w:rPr>
      </w:pPr>
    </w:p>
    <w:p w14:paraId="7B41A8D5" w14:textId="77777777" w:rsidR="007E61D9" w:rsidRDefault="00D65480">
      <w:pPr>
        <w:pBdr>
          <w:top w:val="nil"/>
          <w:left w:val="nil"/>
          <w:bottom w:val="nil"/>
          <w:right w:val="nil"/>
          <w:between w:val="nil"/>
        </w:pBdr>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1.2. En contra de Morena. </w:t>
      </w:r>
      <w:r>
        <w:rPr>
          <w:rFonts w:ascii="Arial" w:eastAsia="Arial" w:hAnsi="Arial" w:cs="Arial"/>
          <w:color w:val="000000"/>
          <w:sz w:val="24"/>
          <w:szCs w:val="24"/>
        </w:rPr>
        <w:t xml:space="preserve">El quejoso refiere que </w:t>
      </w:r>
      <w:r>
        <w:rPr>
          <w:rFonts w:ascii="Arial" w:eastAsia="Arial" w:hAnsi="Arial" w:cs="Arial"/>
          <w:sz w:val="24"/>
          <w:szCs w:val="24"/>
        </w:rPr>
        <w:t>Morena</w:t>
      </w:r>
      <w:r>
        <w:rPr>
          <w:rFonts w:ascii="Arial" w:eastAsia="Arial" w:hAnsi="Arial" w:cs="Arial"/>
          <w:b/>
          <w:color w:val="000000"/>
          <w:sz w:val="24"/>
          <w:szCs w:val="24"/>
        </w:rPr>
        <w:t xml:space="preserve"> incumplió su deber de cuidar </w:t>
      </w:r>
      <w:r>
        <w:rPr>
          <w:rFonts w:ascii="Arial" w:eastAsia="Arial" w:hAnsi="Arial" w:cs="Arial"/>
          <w:color w:val="000000"/>
          <w:sz w:val="24"/>
          <w:szCs w:val="24"/>
        </w:rPr>
        <w:t>que la candidata no incumpliera la normativa electoral.</w:t>
      </w:r>
    </w:p>
    <w:p w14:paraId="20F6EC77" w14:textId="77777777" w:rsidR="007E61D9" w:rsidRDefault="007E61D9">
      <w:pPr>
        <w:pBdr>
          <w:top w:val="nil"/>
          <w:left w:val="nil"/>
          <w:bottom w:val="nil"/>
          <w:right w:val="nil"/>
          <w:between w:val="nil"/>
        </w:pBdr>
        <w:rPr>
          <w:color w:val="000000"/>
        </w:rPr>
      </w:pPr>
    </w:p>
    <w:p w14:paraId="3BDA5916" w14:textId="77777777" w:rsidR="007E61D9" w:rsidRDefault="00D65480">
      <w:p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2. Defensa. </w:t>
      </w:r>
      <w:r>
        <w:rPr>
          <w:rFonts w:ascii="Arial" w:eastAsia="Arial" w:hAnsi="Arial" w:cs="Arial"/>
          <w:color w:val="000000"/>
          <w:sz w:val="24"/>
          <w:szCs w:val="24"/>
        </w:rPr>
        <w:t xml:space="preserve">La candidata y el partido político como partes denunciadas, manifestaron, esencialmente, lo siguiente: </w:t>
      </w:r>
    </w:p>
    <w:p w14:paraId="42988240" w14:textId="77777777" w:rsidR="007E61D9" w:rsidRDefault="00D65480">
      <w:pPr>
        <w:numPr>
          <w:ilvl w:val="0"/>
          <w:numId w:val="9"/>
        </w:numPr>
        <w:pBdr>
          <w:top w:val="nil"/>
          <w:left w:val="nil"/>
          <w:bottom w:val="nil"/>
          <w:right w:val="nil"/>
          <w:between w:val="nil"/>
        </w:pBdr>
        <w:tabs>
          <w:tab w:val="left" w:pos="567"/>
        </w:tabs>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 xml:space="preserve">Argumentan que la parte denunciante omitió cumplir con la carga procesal de exhibir las pruebas pertinentes para acreditar su dicho. </w:t>
      </w:r>
    </w:p>
    <w:p w14:paraId="6FC9A23F" w14:textId="77777777" w:rsidR="007E61D9" w:rsidRDefault="00D65480">
      <w:pPr>
        <w:numPr>
          <w:ilvl w:val="0"/>
          <w:numId w:val="9"/>
        </w:numPr>
        <w:pBdr>
          <w:top w:val="nil"/>
          <w:left w:val="nil"/>
          <w:bottom w:val="nil"/>
          <w:right w:val="nil"/>
          <w:between w:val="nil"/>
        </w:pBdr>
        <w:tabs>
          <w:tab w:val="left" w:pos="567"/>
        </w:tabs>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Afirman que el contenido del video denunciado no </w:t>
      </w:r>
      <w:r>
        <w:rPr>
          <w:rFonts w:ascii="Arial" w:eastAsia="Arial" w:hAnsi="Arial" w:cs="Arial"/>
          <w:sz w:val="24"/>
          <w:szCs w:val="24"/>
        </w:rPr>
        <w:t>constituye</w:t>
      </w:r>
      <w:r>
        <w:rPr>
          <w:rFonts w:ascii="Arial" w:eastAsia="Arial" w:hAnsi="Arial" w:cs="Arial"/>
          <w:color w:val="000000"/>
          <w:sz w:val="24"/>
          <w:szCs w:val="24"/>
        </w:rPr>
        <w:t xml:space="preserve"> la infracción de calumnia, ya que su supuesta existencia está basada en subjetividades del denunciante y no en pruebas plenas.</w:t>
      </w:r>
    </w:p>
    <w:p w14:paraId="2562324A" w14:textId="77777777" w:rsidR="007E61D9" w:rsidRDefault="00D65480">
      <w:pPr>
        <w:numPr>
          <w:ilvl w:val="0"/>
          <w:numId w:val="9"/>
        </w:numPr>
        <w:pBdr>
          <w:top w:val="nil"/>
          <w:left w:val="nil"/>
          <w:bottom w:val="nil"/>
          <w:right w:val="nil"/>
          <w:between w:val="nil"/>
        </w:pBdr>
        <w:tabs>
          <w:tab w:val="left" w:pos="567"/>
        </w:tabs>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Estiman que las manifestaciones emitidas por la denunciada no se traducen en la imputación directa de la comisión de un hecho o delito falso.</w:t>
      </w:r>
    </w:p>
    <w:p w14:paraId="43300DD6" w14:textId="77777777" w:rsidR="007E61D9" w:rsidRDefault="00D65480">
      <w:pPr>
        <w:numPr>
          <w:ilvl w:val="0"/>
          <w:numId w:val="9"/>
        </w:numPr>
        <w:pBdr>
          <w:top w:val="nil"/>
          <w:left w:val="nil"/>
          <w:bottom w:val="nil"/>
          <w:right w:val="nil"/>
          <w:between w:val="nil"/>
        </w:pBdr>
        <w:tabs>
          <w:tab w:val="left" w:pos="567"/>
        </w:tabs>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 xml:space="preserve">Consideran que, en todo caso, el contenido del video denunciado fue producto de una crítica severa a la candidata opositora sobre su desempeño como presidenta municipal, en el ejercicio de su libertad de expresión, haciendo referencia a un tema de interés general como lo es la salud y, por tanto, forma parte del debate público. </w:t>
      </w:r>
    </w:p>
    <w:p w14:paraId="258F9320" w14:textId="77777777" w:rsidR="007E61D9" w:rsidRDefault="00D65480">
      <w:pPr>
        <w:numPr>
          <w:ilvl w:val="0"/>
          <w:numId w:val="9"/>
        </w:numPr>
        <w:pBdr>
          <w:top w:val="nil"/>
          <w:left w:val="nil"/>
          <w:bottom w:val="nil"/>
          <w:right w:val="nil"/>
          <w:between w:val="nil"/>
        </w:pBdr>
        <w:tabs>
          <w:tab w:val="left" w:pos="567"/>
        </w:tabs>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 xml:space="preserve">Sostienen que no se señala a algún representante de los institutos políticos involucrados, es decir, a una persona en concreto, sobre </w:t>
      </w:r>
      <w:r>
        <w:rPr>
          <w:rFonts w:ascii="Arial" w:eastAsia="Arial" w:hAnsi="Arial" w:cs="Arial"/>
          <w:sz w:val="24"/>
          <w:szCs w:val="24"/>
        </w:rPr>
        <w:t>quien</w:t>
      </w:r>
      <w:r>
        <w:rPr>
          <w:rFonts w:ascii="Arial" w:eastAsia="Arial" w:hAnsi="Arial" w:cs="Arial"/>
          <w:color w:val="000000"/>
          <w:sz w:val="24"/>
          <w:szCs w:val="24"/>
        </w:rPr>
        <w:t xml:space="preserve"> recaiga la infracción de calumnia.</w:t>
      </w:r>
    </w:p>
    <w:p w14:paraId="100BF7F0" w14:textId="77777777" w:rsidR="007E61D9" w:rsidRDefault="007E61D9">
      <w:pPr>
        <w:pBdr>
          <w:top w:val="nil"/>
          <w:left w:val="nil"/>
          <w:bottom w:val="nil"/>
          <w:right w:val="nil"/>
          <w:between w:val="nil"/>
        </w:pBdr>
        <w:rPr>
          <w:color w:val="000000"/>
        </w:rPr>
      </w:pPr>
    </w:p>
    <w:p w14:paraId="36336657" w14:textId="77777777" w:rsidR="007E61D9" w:rsidRDefault="00D65480">
      <w:pPr>
        <w:tabs>
          <w:tab w:val="left" w:pos="567"/>
        </w:tabs>
        <w:spacing w:line="360" w:lineRule="auto"/>
        <w:jc w:val="both"/>
        <w:rPr>
          <w:rFonts w:ascii="Arial" w:eastAsia="Arial" w:hAnsi="Arial" w:cs="Arial"/>
          <w:b/>
          <w:sz w:val="24"/>
          <w:szCs w:val="24"/>
        </w:rPr>
      </w:pPr>
      <w:r>
        <w:rPr>
          <w:rFonts w:ascii="Arial" w:eastAsia="Arial" w:hAnsi="Arial" w:cs="Arial"/>
          <w:b/>
          <w:color w:val="000000"/>
          <w:sz w:val="24"/>
          <w:szCs w:val="24"/>
        </w:rPr>
        <w:t xml:space="preserve">3. Descripción de los medios de prueba. </w:t>
      </w:r>
      <w:r>
        <w:rPr>
          <w:rFonts w:ascii="Arial" w:eastAsia="Arial" w:hAnsi="Arial" w:cs="Arial"/>
          <w:color w:val="000000"/>
          <w:sz w:val="24"/>
          <w:szCs w:val="24"/>
        </w:rPr>
        <w:t>Como se advierte, de la audiencia de pruebas y alegatos, a las partes les fueron admitidas y desahogadas las siguientes probanzas:</w:t>
      </w:r>
      <w:r>
        <w:rPr>
          <w:rFonts w:ascii="Arial" w:eastAsia="Arial" w:hAnsi="Arial" w:cs="Arial"/>
          <w:b/>
          <w:sz w:val="24"/>
          <w:szCs w:val="24"/>
        </w:rPr>
        <w:t xml:space="preserve"> </w:t>
      </w:r>
    </w:p>
    <w:p w14:paraId="6CE9DB43" w14:textId="77777777" w:rsidR="007E61D9" w:rsidRDefault="007E61D9">
      <w:pPr>
        <w:pBdr>
          <w:top w:val="nil"/>
          <w:left w:val="nil"/>
          <w:bottom w:val="nil"/>
          <w:right w:val="nil"/>
          <w:between w:val="nil"/>
        </w:pBdr>
        <w:rPr>
          <w:color w:val="000000"/>
        </w:rPr>
      </w:pPr>
    </w:p>
    <w:p w14:paraId="628D9A5D" w14:textId="77777777" w:rsidR="007E61D9" w:rsidRDefault="00D65480">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3.1. Pruebas aportadas por el instituto político denunciante: </w:t>
      </w:r>
    </w:p>
    <w:p w14:paraId="6D67D9E5" w14:textId="77777777" w:rsidR="007E61D9" w:rsidRDefault="007E61D9">
      <w:pPr>
        <w:pBdr>
          <w:top w:val="nil"/>
          <w:left w:val="nil"/>
          <w:bottom w:val="nil"/>
          <w:right w:val="nil"/>
          <w:between w:val="nil"/>
        </w:pBdr>
        <w:rPr>
          <w:color w:val="000000"/>
        </w:rPr>
      </w:pPr>
    </w:p>
    <w:tbl>
      <w:tblPr>
        <w:tblStyle w:val="afe"/>
        <w:tblW w:w="9633"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499"/>
        <w:gridCol w:w="2757"/>
        <w:gridCol w:w="6377"/>
      </w:tblGrid>
      <w:tr w:rsidR="007E61D9" w:rsidRPr="0030651C" w14:paraId="44E29154" w14:textId="77777777" w:rsidTr="007E61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441F068D" w14:textId="77777777" w:rsidR="007E61D9" w:rsidRPr="0030651C" w:rsidRDefault="00D65480">
            <w:pPr>
              <w:jc w:val="center"/>
              <w:rPr>
                <w:rFonts w:ascii="Arial" w:eastAsia="Arial" w:hAnsi="Arial" w:cs="Arial"/>
                <w:color w:val="000000"/>
                <w:sz w:val="16"/>
                <w:szCs w:val="16"/>
              </w:rPr>
            </w:pPr>
            <w:r w:rsidRPr="0030651C">
              <w:rPr>
                <w:rFonts w:ascii="Arial" w:eastAsia="Arial" w:hAnsi="Arial" w:cs="Arial"/>
                <w:color w:val="000000"/>
                <w:sz w:val="16"/>
                <w:szCs w:val="16"/>
              </w:rPr>
              <w:t>#</w:t>
            </w:r>
          </w:p>
        </w:tc>
        <w:tc>
          <w:tcPr>
            <w:tcW w:w="2757" w:type="dxa"/>
          </w:tcPr>
          <w:p w14:paraId="754B1979" w14:textId="77777777" w:rsidR="007E61D9" w:rsidRPr="0030651C" w:rsidRDefault="00D6548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sidRPr="0030651C">
              <w:rPr>
                <w:rFonts w:ascii="Arial" w:eastAsia="Arial" w:hAnsi="Arial" w:cs="Arial"/>
                <w:color w:val="000000"/>
                <w:sz w:val="16"/>
                <w:szCs w:val="16"/>
              </w:rPr>
              <w:t>Prueba</w:t>
            </w:r>
          </w:p>
        </w:tc>
        <w:tc>
          <w:tcPr>
            <w:tcW w:w="6378" w:type="dxa"/>
          </w:tcPr>
          <w:p w14:paraId="5D1D3762" w14:textId="77777777" w:rsidR="007E61D9" w:rsidRPr="0030651C" w:rsidRDefault="00D6548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sidRPr="0030651C">
              <w:rPr>
                <w:rFonts w:ascii="Arial" w:eastAsia="Arial" w:hAnsi="Arial" w:cs="Arial"/>
                <w:color w:val="000000"/>
                <w:sz w:val="16"/>
                <w:szCs w:val="16"/>
              </w:rPr>
              <w:t>Consistente en</w:t>
            </w:r>
          </w:p>
        </w:tc>
      </w:tr>
      <w:tr w:rsidR="007E61D9" w:rsidRPr="0030651C" w14:paraId="533C996B" w14:textId="77777777" w:rsidTr="007E61D9">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9" w:type="dxa"/>
          </w:tcPr>
          <w:p w14:paraId="42EE1E7B" w14:textId="77777777" w:rsidR="007E61D9" w:rsidRPr="0030651C" w:rsidRDefault="00D65480">
            <w:pPr>
              <w:jc w:val="center"/>
              <w:rPr>
                <w:rFonts w:ascii="Arial" w:eastAsia="Arial" w:hAnsi="Arial" w:cs="Arial"/>
                <w:sz w:val="16"/>
                <w:szCs w:val="16"/>
              </w:rPr>
            </w:pPr>
            <w:r w:rsidRPr="0030651C">
              <w:rPr>
                <w:rFonts w:ascii="Arial" w:eastAsia="Arial" w:hAnsi="Arial" w:cs="Arial"/>
                <w:sz w:val="16"/>
                <w:szCs w:val="16"/>
              </w:rPr>
              <w:t>1</w:t>
            </w:r>
          </w:p>
        </w:tc>
        <w:tc>
          <w:tcPr>
            <w:tcW w:w="2757" w:type="dxa"/>
          </w:tcPr>
          <w:p w14:paraId="44141BCA" w14:textId="77777777" w:rsidR="007E61D9" w:rsidRPr="0030651C" w:rsidRDefault="00D65480">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sidRPr="0030651C">
              <w:rPr>
                <w:rFonts w:ascii="Arial" w:eastAsia="Arial" w:hAnsi="Arial" w:cs="Arial"/>
                <w:b/>
                <w:sz w:val="16"/>
                <w:szCs w:val="16"/>
              </w:rPr>
              <w:t>Prueba técnica</w:t>
            </w:r>
          </w:p>
        </w:tc>
        <w:tc>
          <w:tcPr>
            <w:tcW w:w="6378" w:type="dxa"/>
          </w:tcPr>
          <w:p w14:paraId="527AFCAF" w14:textId="77777777" w:rsidR="007E61D9" w:rsidRPr="0030651C" w:rsidRDefault="00D65480">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0030651C">
              <w:rPr>
                <w:rFonts w:ascii="Arial" w:eastAsia="Arial" w:hAnsi="Arial" w:cs="Arial"/>
                <w:sz w:val="16"/>
                <w:szCs w:val="16"/>
              </w:rPr>
              <w:t xml:space="preserve">Inspección judicial del link </w:t>
            </w:r>
            <w:hyperlink r:id="rId18">
              <w:r w:rsidRPr="0030651C">
                <w:rPr>
                  <w:rFonts w:ascii="Arial" w:eastAsia="Arial" w:hAnsi="Arial" w:cs="Arial"/>
                  <w:color w:val="0000FF"/>
                  <w:sz w:val="16"/>
                  <w:szCs w:val="16"/>
                  <w:u w:val="single"/>
                </w:rPr>
                <w:t>https://www.facebook.com/noraruvalcabamx/videos/677899000110523</w:t>
              </w:r>
            </w:hyperlink>
            <w:r w:rsidRPr="0030651C">
              <w:rPr>
                <w:rFonts w:ascii="Arial" w:eastAsia="Arial" w:hAnsi="Arial" w:cs="Arial"/>
                <w:sz w:val="16"/>
                <w:szCs w:val="16"/>
              </w:rPr>
              <w:t>, consistente en una publicación de Facebook de la candidata Nora Ruvalcaba Gámez.</w:t>
            </w:r>
          </w:p>
        </w:tc>
      </w:tr>
      <w:tr w:rsidR="007E61D9" w:rsidRPr="0030651C" w14:paraId="78F2CCB7" w14:textId="77777777" w:rsidTr="007E61D9">
        <w:trPr>
          <w:trHeight w:val="344"/>
        </w:trPr>
        <w:tc>
          <w:tcPr>
            <w:cnfStyle w:val="001000000000" w:firstRow="0" w:lastRow="0" w:firstColumn="1" w:lastColumn="0" w:oddVBand="0" w:evenVBand="0" w:oddHBand="0" w:evenHBand="0" w:firstRowFirstColumn="0" w:firstRowLastColumn="0" w:lastRowFirstColumn="0" w:lastRowLastColumn="0"/>
            <w:tcW w:w="499" w:type="dxa"/>
          </w:tcPr>
          <w:p w14:paraId="56D68186" w14:textId="77777777" w:rsidR="007E61D9" w:rsidRPr="0030651C" w:rsidRDefault="00D65480">
            <w:pPr>
              <w:jc w:val="center"/>
              <w:rPr>
                <w:rFonts w:ascii="Arial" w:eastAsia="Arial" w:hAnsi="Arial" w:cs="Arial"/>
                <w:sz w:val="16"/>
                <w:szCs w:val="16"/>
              </w:rPr>
            </w:pPr>
            <w:r w:rsidRPr="0030651C">
              <w:rPr>
                <w:rFonts w:ascii="Arial" w:eastAsia="Arial" w:hAnsi="Arial" w:cs="Arial"/>
                <w:sz w:val="16"/>
                <w:szCs w:val="16"/>
              </w:rPr>
              <w:t>2</w:t>
            </w:r>
          </w:p>
        </w:tc>
        <w:tc>
          <w:tcPr>
            <w:tcW w:w="2757" w:type="dxa"/>
          </w:tcPr>
          <w:p w14:paraId="7E33E1D8" w14:textId="77777777" w:rsidR="007E61D9" w:rsidRPr="0030651C" w:rsidRDefault="00D65480">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sidRPr="0030651C">
              <w:rPr>
                <w:rFonts w:ascii="Arial" w:eastAsia="Arial" w:hAnsi="Arial" w:cs="Arial"/>
                <w:b/>
                <w:sz w:val="16"/>
                <w:szCs w:val="16"/>
              </w:rPr>
              <w:t>Prueba técnica</w:t>
            </w:r>
          </w:p>
        </w:tc>
        <w:tc>
          <w:tcPr>
            <w:tcW w:w="6378" w:type="dxa"/>
          </w:tcPr>
          <w:p w14:paraId="276C1873" w14:textId="77777777" w:rsidR="007E61D9" w:rsidRPr="0030651C" w:rsidRDefault="00D6548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sidRPr="0030651C">
              <w:rPr>
                <w:rFonts w:ascii="Arial" w:eastAsia="Arial" w:hAnsi="Arial" w:cs="Arial"/>
                <w:sz w:val="16"/>
                <w:szCs w:val="16"/>
              </w:rPr>
              <w:t xml:space="preserve">Inspección judicial del link </w:t>
            </w:r>
            <w:r w:rsidRPr="0030651C">
              <w:rPr>
                <w:rFonts w:ascii="Arial" w:eastAsia="Arial" w:hAnsi="Arial" w:cs="Arial"/>
                <w:color w:val="0000FF"/>
                <w:sz w:val="16"/>
                <w:szCs w:val="16"/>
                <w:u w:val="single"/>
              </w:rPr>
              <w:t>http://www.facebook.com/ads/library/?active_suatuts=all&amp;ad_type=political_and_issue_ads&amp;country=MX&amp;view_all_page_id=815161611910553&amp;sort_data[direction]=desc&amp;sort_data[mode]=relevancy_monthly_gruoped&amp;serch_type=page&amp;media_type=all</w:t>
            </w:r>
            <w:r w:rsidRPr="0030651C">
              <w:rPr>
                <w:rFonts w:ascii="Arial" w:eastAsia="Arial" w:hAnsi="Arial" w:cs="Arial"/>
                <w:sz w:val="16"/>
                <w:szCs w:val="16"/>
              </w:rPr>
              <w:t xml:space="preserve">, consistente en uno de los apartados del perfil de Facebook de la candidata Nora Ruvalcaba Gámez. </w:t>
            </w:r>
          </w:p>
        </w:tc>
      </w:tr>
      <w:tr w:rsidR="007E61D9" w:rsidRPr="0030651C" w14:paraId="6F0B7A0A" w14:textId="77777777" w:rsidTr="007E61D9">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9" w:type="dxa"/>
          </w:tcPr>
          <w:p w14:paraId="15A479A0" w14:textId="77777777" w:rsidR="007E61D9" w:rsidRPr="0030651C" w:rsidRDefault="00D65480">
            <w:pPr>
              <w:jc w:val="center"/>
              <w:rPr>
                <w:rFonts w:ascii="Arial" w:eastAsia="Arial" w:hAnsi="Arial" w:cs="Arial"/>
                <w:sz w:val="16"/>
                <w:szCs w:val="16"/>
              </w:rPr>
            </w:pPr>
            <w:r w:rsidRPr="0030651C">
              <w:rPr>
                <w:rFonts w:ascii="Arial" w:eastAsia="Arial" w:hAnsi="Arial" w:cs="Arial"/>
                <w:sz w:val="16"/>
                <w:szCs w:val="16"/>
              </w:rPr>
              <w:t>3</w:t>
            </w:r>
          </w:p>
        </w:tc>
        <w:tc>
          <w:tcPr>
            <w:tcW w:w="2757" w:type="dxa"/>
          </w:tcPr>
          <w:p w14:paraId="61DAAD64" w14:textId="77777777" w:rsidR="007E61D9" w:rsidRPr="0030651C" w:rsidRDefault="00D65480">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sidRPr="0030651C">
              <w:rPr>
                <w:rFonts w:ascii="Arial" w:eastAsia="Arial" w:hAnsi="Arial" w:cs="Arial"/>
                <w:b/>
                <w:sz w:val="16"/>
                <w:szCs w:val="16"/>
              </w:rPr>
              <w:t>Prueba técnica</w:t>
            </w:r>
          </w:p>
        </w:tc>
        <w:tc>
          <w:tcPr>
            <w:tcW w:w="6378" w:type="dxa"/>
          </w:tcPr>
          <w:p w14:paraId="1D3AACFF" w14:textId="77777777" w:rsidR="007E61D9" w:rsidRPr="0030651C" w:rsidRDefault="00D65480">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0030651C">
              <w:rPr>
                <w:rFonts w:ascii="Arial" w:eastAsia="Arial" w:hAnsi="Arial" w:cs="Arial"/>
                <w:sz w:val="16"/>
                <w:szCs w:val="16"/>
              </w:rPr>
              <w:t xml:space="preserve">Inspección judicial del link </w:t>
            </w:r>
            <w:r w:rsidRPr="0030651C">
              <w:rPr>
                <w:rFonts w:ascii="Arial" w:eastAsia="Arial" w:hAnsi="Arial" w:cs="Arial"/>
                <w:color w:val="0000FF"/>
                <w:sz w:val="16"/>
                <w:szCs w:val="16"/>
                <w:u w:val="single"/>
              </w:rPr>
              <w:t>https://www.twitter.com/nora_ruvalcaba/status/1519104040403193856?s=28&amp;t=zUL4n66PxLCYbn8N2_OGmg</w:t>
            </w:r>
            <w:r w:rsidRPr="0030651C">
              <w:rPr>
                <w:rFonts w:ascii="Arial" w:eastAsia="Arial" w:hAnsi="Arial" w:cs="Arial"/>
                <w:sz w:val="16"/>
                <w:szCs w:val="16"/>
              </w:rPr>
              <w:t>, consistente en una publicación de Twitter de la candidata Nora Ruvalcaba Gámez.</w:t>
            </w:r>
          </w:p>
        </w:tc>
      </w:tr>
      <w:tr w:rsidR="007E61D9" w:rsidRPr="0030651C" w14:paraId="4BF81F87" w14:textId="77777777" w:rsidTr="007E61D9">
        <w:trPr>
          <w:trHeight w:val="344"/>
        </w:trPr>
        <w:tc>
          <w:tcPr>
            <w:cnfStyle w:val="001000000000" w:firstRow="0" w:lastRow="0" w:firstColumn="1" w:lastColumn="0" w:oddVBand="0" w:evenVBand="0" w:oddHBand="0" w:evenHBand="0" w:firstRowFirstColumn="0" w:firstRowLastColumn="0" w:lastRowFirstColumn="0" w:lastRowLastColumn="0"/>
            <w:tcW w:w="499" w:type="dxa"/>
          </w:tcPr>
          <w:p w14:paraId="2655D5CF" w14:textId="6D67E33D" w:rsidR="007E61D9" w:rsidRPr="0030651C" w:rsidRDefault="00B449FA">
            <w:pPr>
              <w:jc w:val="center"/>
              <w:rPr>
                <w:rFonts w:ascii="Arial" w:eastAsia="Arial" w:hAnsi="Arial" w:cs="Arial"/>
                <w:sz w:val="16"/>
                <w:szCs w:val="16"/>
              </w:rPr>
            </w:pPr>
            <w:r w:rsidRPr="0030651C">
              <w:rPr>
                <w:rFonts w:ascii="Arial" w:eastAsia="Arial" w:hAnsi="Arial" w:cs="Arial"/>
                <w:sz w:val="16"/>
                <w:szCs w:val="16"/>
              </w:rPr>
              <w:t>4</w:t>
            </w:r>
          </w:p>
        </w:tc>
        <w:tc>
          <w:tcPr>
            <w:tcW w:w="2757" w:type="dxa"/>
          </w:tcPr>
          <w:p w14:paraId="45F8298F" w14:textId="77777777" w:rsidR="007E61D9" w:rsidRPr="0030651C" w:rsidRDefault="00D65480">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sidRPr="0030651C">
              <w:rPr>
                <w:rFonts w:ascii="Arial" w:eastAsia="Arial" w:hAnsi="Arial" w:cs="Arial"/>
                <w:b/>
                <w:sz w:val="16"/>
                <w:szCs w:val="16"/>
              </w:rPr>
              <w:t>Instrumental de actuaciones</w:t>
            </w:r>
          </w:p>
        </w:tc>
        <w:tc>
          <w:tcPr>
            <w:tcW w:w="6378" w:type="dxa"/>
          </w:tcPr>
          <w:p w14:paraId="5C5F381A" w14:textId="77777777" w:rsidR="007E61D9" w:rsidRPr="0030651C" w:rsidRDefault="00D6548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sidRPr="0030651C">
              <w:rPr>
                <w:rFonts w:ascii="Arial" w:eastAsia="Arial" w:hAnsi="Arial" w:cs="Arial"/>
                <w:sz w:val="16"/>
                <w:szCs w:val="16"/>
              </w:rPr>
              <w:t>Todo lo que por su contenido y alcance favorezca a sus intereses.</w:t>
            </w:r>
          </w:p>
        </w:tc>
      </w:tr>
      <w:tr w:rsidR="007E61D9" w:rsidRPr="0030651C" w14:paraId="35FA3AE3" w14:textId="77777777" w:rsidTr="007E61D9">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9" w:type="dxa"/>
          </w:tcPr>
          <w:p w14:paraId="08DE4EF8" w14:textId="2E78950F" w:rsidR="007E61D9" w:rsidRPr="0030651C" w:rsidRDefault="00B449FA">
            <w:pPr>
              <w:jc w:val="center"/>
              <w:rPr>
                <w:rFonts w:ascii="Arial" w:eastAsia="Arial" w:hAnsi="Arial" w:cs="Arial"/>
                <w:sz w:val="16"/>
                <w:szCs w:val="16"/>
              </w:rPr>
            </w:pPr>
            <w:r w:rsidRPr="0030651C">
              <w:rPr>
                <w:rFonts w:ascii="Arial" w:eastAsia="Arial" w:hAnsi="Arial" w:cs="Arial"/>
                <w:sz w:val="16"/>
                <w:szCs w:val="16"/>
              </w:rPr>
              <w:t>5</w:t>
            </w:r>
          </w:p>
        </w:tc>
        <w:tc>
          <w:tcPr>
            <w:tcW w:w="2757" w:type="dxa"/>
          </w:tcPr>
          <w:p w14:paraId="53883A2A" w14:textId="77777777" w:rsidR="007E61D9" w:rsidRPr="0030651C" w:rsidRDefault="00D65480">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sidRPr="0030651C">
              <w:rPr>
                <w:rFonts w:ascii="Arial" w:eastAsia="Arial" w:hAnsi="Arial" w:cs="Arial"/>
                <w:b/>
                <w:sz w:val="16"/>
                <w:szCs w:val="16"/>
              </w:rPr>
              <w:t>Presuncional legal y humana</w:t>
            </w:r>
          </w:p>
        </w:tc>
        <w:tc>
          <w:tcPr>
            <w:tcW w:w="6378" w:type="dxa"/>
          </w:tcPr>
          <w:p w14:paraId="2C2C2E55" w14:textId="77777777" w:rsidR="007E61D9" w:rsidRPr="0030651C" w:rsidRDefault="00D65480">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0030651C">
              <w:rPr>
                <w:rFonts w:ascii="Arial" w:eastAsia="Arial" w:hAnsi="Arial" w:cs="Arial"/>
                <w:sz w:val="16"/>
                <w:szCs w:val="16"/>
              </w:rPr>
              <w:t>Todo lo que por su contenido y alcance favorezca a sus intereses.</w:t>
            </w:r>
          </w:p>
        </w:tc>
      </w:tr>
    </w:tbl>
    <w:p w14:paraId="5BB1DF4B" w14:textId="77777777" w:rsidR="007E61D9" w:rsidRDefault="007E61D9">
      <w:pPr>
        <w:pBdr>
          <w:top w:val="nil"/>
          <w:left w:val="nil"/>
          <w:bottom w:val="nil"/>
          <w:right w:val="nil"/>
          <w:between w:val="nil"/>
        </w:pBdr>
        <w:rPr>
          <w:color w:val="000000"/>
          <w:sz w:val="36"/>
          <w:szCs w:val="36"/>
        </w:rPr>
      </w:pPr>
    </w:p>
    <w:p w14:paraId="51D02F5D" w14:textId="77777777" w:rsidR="007E61D9" w:rsidRDefault="00D65480">
      <w:pPr>
        <w:tabs>
          <w:tab w:val="left" w:pos="567"/>
        </w:tabs>
        <w:spacing w:line="360" w:lineRule="auto"/>
        <w:jc w:val="both"/>
        <w:rPr>
          <w:rFonts w:ascii="Arial" w:eastAsia="Arial" w:hAnsi="Arial" w:cs="Arial"/>
          <w:b/>
          <w:sz w:val="24"/>
          <w:szCs w:val="24"/>
        </w:rPr>
      </w:pPr>
      <w:r>
        <w:rPr>
          <w:rFonts w:ascii="Arial" w:eastAsia="Arial" w:hAnsi="Arial" w:cs="Arial"/>
          <w:b/>
          <w:sz w:val="24"/>
          <w:szCs w:val="24"/>
        </w:rPr>
        <w:t>3.2. Pruebas aportadas por la candidata y el partido político denunciados:</w:t>
      </w:r>
    </w:p>
    <w:p w14:paraId="3AB5EAF0" w14:textId="77777777" w:rsidR="007E61D9" w:rsidRDefault="007E61D9">
      <w:pPr>
        <w:pBdr>
          <w:top w:val="nil"/>
          <w:left w:val="nil"/>
          <w:bottom w:val="nil"/>
          <w:right w:val="nil"/>
          <w:between w:val="nil"/>
        </w:pBdr>
        <w:rPr>
          <w:color w:val="000000"/>
        </w:rPr>
      </w:pPr>
    </w:p>
    <w:tbl>
      <w:tblPr>
        <w:tblStyle w:val="aff"/>
        <w:tblW w:w="9633"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499"/>
        <w:gridCol w:w="2757"/>
        <w:gridCol w:w="6377"/>
      </w:tblGrid>
      <w:tr w:rsidR="007E61D9" w:rsidRPr="0030651C" w14:paraId="10927CCE" w14:textId="77777777" w:rsidTr="007E61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7002BF18" w14:textId="77777777" w:rsidR="007E61D9" w:rsidRPr="0030651C" w:rsidRDefault="00D65480">
            <w:pPr>
              <w:jc w:val="center"/>
              <w:rPr>
                <w:rFonts w:ascii="Arial" w:eastAsia="Arial" w:hAnsi="Arial" w:cs="Arial"/>
                <w:color w:val="000000"/>
                <w:sz w:val="16"/>
                <w:szCs w:val="16"/>
              </w:rPr>
            </w:pPr>
            <w:r w:rsidRPr="0030651C">
              <w:rPr>
                <w:rFonts w:ascii="Arial" w:eastAsia="Arial" w:hAnsi="Arial" w:cs="Arial"/>
                <w:color w:val="000000"/>
                <w:sz w:val="16"/>
                <w:szCs w:val="16"/>
              </w:rPr>
              <w:t>#</w:t>
            </w:r>
          </w:p>
        </w:tc>
        <w:tc>
          <w:tcPr>
            <w:tcW w:w="2757" w:type="dxa"/>
          </w:tcPr>
          <w:p w14:paraId="3469E79E" w14:textId="77777777" w:rsidR="007E61D9" w:rsidRPr="0030651C" w:rsidRDefault="00D6548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sidRPr="0030651C">
              <w:rPr>
                <w:rFonts w:ascii="Arial" w:eastAsia="Arial" w:hAnsi="Arial" w:cs="Arial"/>
                <w:color w:val="000000"/>
                <w:sz w:val="16"/>
                <w:szCs w:val="16"/>
              </w:rPr>
              <w:t>Prueba</w:t>
            </w:r>
          </w:p>
        </w:tc>
        <w:tc>
          <w:tcPr>
            <w:tcW w:w="6378" w:type="dxa"/>
          </w:tcPr>
          <w:p w14:paraId="5DE76174" w14:textId="77777777" w:rsidR="007E61D9" w:rsidRPr="0030651C" w:rsidRDefault="00D6548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sidRPr="0030651C">
              <w:rPr>
                <w:rFonts w:ascii="Arial" w:eastAsia="Arial" w:hAnsi="Arial" w:cs="Arial"/>
                <w:color w:val="000000"/>
                <w:sz w:val="16"/>
                <w:szCs w:val="16"/>
              </w:rPr>
              <w:t>Consistente en</w:t>
            </w:r>
          </w:p>
        </w:tc>
      </w:tr>
      <w:tr w:rsidR="007E61D9" w:rsidRPr="0030651C" w14:paraId="0D80F870" w14:textId="77777777" w:rsidTr="007E61D9">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9" w:type="dxa"/>
          </w:tcPr>
          <w:p w14:paraId="5ECAA042" w14:textId="77777777" w:rsidR="007E61D9" w:rsidRPr="0030651C" w:rsidRDefault="00D65480">
            <w:pPr>
              <w:jc w:val="center"/>
              <w:rPr>
                <w:rFonts w:ascii="Arial" w:eastAsia="Arial" w:hAnsi="Arial" w:cs="Arial"/>
                <w:sz w:val="16"/>
                <w:szCs w:val="16"/>
              </w:rPr>
            </w:pPr>
            <w:r w:rsidRPr="0030651C">
              <w:rPr>
                <w:rFonts w:ascii="Arial" w:eastAsia="Arial" w:hAnsi="Arial" w:cs="Arial"/>
                <w:sz w:val="16"/>
                <w:szCs w:val="16"/>
              </w:rPr>
              <w:t>1</w:t>
            </w:r>
          </w:p>
        </w:tc>
        <w:tc>
          <w:tcPr>
            <w:tcW w:w="2757" w:type="dxa"/>
          </w:tcPr>
          <w:p w14:paraId="1E72F160" w14:textId="77777777" w:rsidR="007E61D9" w:rsidRPr="0030651C" w:rsidRDefault="00D65480">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sidRPr="0030651C">
              <w:rPr>
                <w:rFonts w:ascii="Arial" w:eastAsia="Arial" w:hAnsi="Arial" w:cs="Arial"/>
                <w:b/>
                <w:sz w:val="16"/>
                <w:szCs w:val="16"/>
              </w:rPr>
              <w:t xml:space="preserve">Instrumental de actuaciones  </w:t>
            </w:r>
          </w:p>
        </w:tc>
        <w:tc>
          <w:tcPr>
            <w:tcW w:w="6378" w:type="dxa"/>
          </w:tcPr>
          <w:p w14:paraId="3AA2AAD8" w14:textId="77777777" w:rsidR="007E61D9" w:rsidRPr="0030651C" w:rsidRDefault="00D65480">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sidRPr="0030651C">
              <w:rPr>
                <w:rFonts w:ascii="Arial" w:eastAsia="Arial" w:hAnsi="Arial" w:cs="Arial"/>
                <w:sz w:val="16"/>
                <w:szCs w:val="16"/>
              </w:rPr>
              <w:t>Todo lo que por su contenido y alcance favorezca a sus intereses.</w:t>
            </w:r>
          </w:p>
        </w:tc>
      </w:tr>
      <w:tr w:rsidR="007E61D9" w:rsidRPr="0030651C" w14:paraId="3F0169F8" w14:textId="77777777" w:rsidTr="007E61D9">
        <w:trPr>
          <w:trHeight w:val="418"/>
        </w:trPr>
        <w:tc>
          <w:tcPr>
            <w:cnfStyle w:val="001000000000" w:firstRow="0" w:lastRow="0" w:firstColumn="1" w:lastColumn="0" w:oddVBand="0" w:evenVBand="0" w:oddHBand="0" w:evenHBand="0" w:firstRowFirstColumn="0" w:firstRowLastColumn="0" w:lastRowFirstColumn="0" w:lastRowLastColumn="0"/>
            <w:tcW w:w="499" w:type="dxa"/>
          </w:tcPr>
          <w:p w14:paraId="27C79D9B" w14:textId="77777777" w:rsidR="007E61D9" w:rsidRPr="0030651C" w:rsidRDefault="00D65480">
            <w:pPr>
              <w:jc w:val="center"/>
              <w:rPr>
                <w:rFonts w:ascii="Arial" w:eastAsia="Arial" w:hAnsi="Arial" w:cs="Arial"/>
                <w:sz w:val="16"/>
                <w:szCs w:val="16"/>
              </w:rPr>
            </w:pPr>
            <w:r w:rsidRPr="0030651C">
              <w:rPr>
                <w:rFonts w:ascii="Arial" w:eastAsia="Arial" w:hAnsi="Arial" w:cs="Arial"/>
                <w:sz w:val="16"/>
                <w:szCs w:val="16"/>
              </w:rPr>
              <w:t>2</w:t>
            </w:r>
          </w:p>
        </w:tc>
        <w:tc>
          <w:tcPr>
            <w:tcW w:w="2757" w:type="dxa"/>
          </w:tcPr>
          <w:p w14:paraId="2FF610A3" w14:textId="77777777" w:rsidR="007E61D9" w:rsidRPr="0030651C" w:rsidRDefault="00D65480">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sidRPr="0030651C">
              <w:rPr>
                <w:rFonts w:ascii="Arial" w:eastAsia="Arial" w:hAnsi="Arial" w:cs="Arial"/>
                <w:b/>
                <w:sz w:val="16"/>
                <w:szCs w:val="16"/>
              </w:rPr>
              <w:t>Presuncional legal y humana</w:t>
            </w:r>
          </w:p>
        </w:tc>
        <w:tc>
          <w:tcPr>
            <w:tcW w:w="6378" w:type="dxa"/>
          </w:tcPr>
          <w:p w14:paraId="0DE90214" w14:textId="77777777" w:rsidR="007E61D9" w:rsidRPr="0030651C" w:rsidRDefault="00D6548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sidRPr="0030651C">
              <w:rPr>
                <w:rFonts w:ascii="Arial" w:eastAsia="Arial" w:hAnsi="Arial" w:cs="Arial"/>
                <w:sz w:val="16"/>
                <w:szCs w:val="16"/>
              </w:rPr>
              <w:t>Todo lo que por su contenido y alcance favorezca a sus intereses.</w:t>
            </w:r>
          </w:p>
        </w:tc>
      </w:tr>
    </w:tbl>
    <w:p w14:paraId="344B2B7B" w14:textId="77777777" w:rsidR="007E61D9" w:rsidRDefault="007E61D9">
      <w:pPr>
        <w:tabs>
          <w:tab w:val="left" w:pos="567"/>
        </w:tabs>
        <w:spacing w:line="360" w:lineRule="auto"/>
        <w:jc w:val="both"/>
        <w:rPr>
          <w:rFonts w:ascii="Arial" w:eastAsia="Arial" w:hAnsi="Arial" w:cs="Arial"/>
          <w:b/>
        </w:rPr>
      </w:pPr>
    </w:p>
    <w:p w14:paraId="3CBB33CF" w14:textId="66524FD2" w:rsidR="007E61D9" w:rsidRDefault="00D65480" w:rsidP="0030651C">
      <w:pPr>
        <w:pBdr>
          <w:top w:val="nil"/>
          <w:left w:val="nil"/>
          <w:bottom w:val="nil"/>
          <w:right w:val="nil"/>
          <w:between w:val="nil"/>
        </w:pBdr>
        <w:tabs>
          <w:tab w:val="left" w:pos="567"/>
        </w:tabs>
        <w:spacing w:line="360" w:lineRule="auto"/>
        <w:jc w:val="both"/>
        <w:rPr>
          <w:color w:val="000000"/>
        </w:rPr>
      </w:pPr>
      <w:r>
        <w:rPr>
          <w:rFonts w:ascii="Arial" w:eastAsia="Arial" w:hAnsi="Arial" w:cs="Arial"/>
          <w:b/>
          <w:color w:val="000000"/>
          <w:sz w:val="24"/>
          <w:szCs w:val="24"/>
        </w:rPr>
        <w:t xml:space="preserve">3.3. Valoración de pruebas. </w:t>
      </w:r>
      <w:r>
        <w:rPr>
          <w:rFonts w:ascii="Arial" w:eastAsia="Arial" w:hAnsi="Arial" w:cs="Arial"/>
          <w:color w:val="000000"/>
          <w:sz w:val="24"/>
          <w:szCs w:val="24"/>
        </w:rPr>
        <w:t xml:space="preserve">Las pruebas antes descritas, se valoran </w:t>
      </w:r>
      <w:r>
        <w:rPr>
          <w:rFonts w:ascii="Arial" w:eastAsia="Arial" w:hAnsi="Arial" w:cs="Arial"/>
          <w:sz w:val="24"/>
          <w:szCs w:val="24"/>
        </w:rPr>
        <w:t>conforme al</w:t>
      </w:r>
      <w:r>
        <w:rPr>
          <w:rFonts w:ascii="Arial" w:eastAsia="Arial" w:hAnsi="Arial" w:cs="Arial"/>
          <w:color w:val="000000"/>
          <w:sz w:val="24"/>
          <w:szCs w:val="24"/>
        </w:rPr>
        <w:t xml:space="preserve"> Código Electoral.</w:t>
      </w:r>
      <w:r>
        <w:rPr>
          <w:rFonts w:ascii="Arial" w:eastAsia="Arial" w:hAnsi="Arial" w:cs="Arial"/>
          <w:color w:val="000000"/>
          <w:sz w:val="24"/>
          <w:szCs w:val="24"/>
          <w:vertAlign w:val="superscript"/>
        </w:rPr>
        <w:t xml:space="preserve"> </w:t>
      </w:r>
      <w:r>
        <w:rPr>
          <w:rFonts w:ascii="Arial" w:eastAsia="Arial" w:hAnsi="Arial" w:cs="Arial"/>
          <w:color w:val="000000"/>
          <w:sz w:val="24"/>
          <w:szCs w:val="24"/>
          <w:vertAlign w:val="superscript"/>
        </w:rPr>
        <w:footnoteReference w:id="7"/>
      </w:r>
    </w:p>
    <w:p w14:paraId="74BF6729" w14:textId="77777777" w:rsidR="007E61D9" w:rsidRDefault="00D65480">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lastRenderedPageBreak/>
        <w:t xml:space="preserve">4. Hechos acreditados. </w:t>
      </w:r>
      <w:r>
        <w:rPr>
          <w:rFonts w:ascii="Arial" w:eastAsia="Arial" w:hAnsi="Arial" w:cs="Arial"/>
          <w:color w:val="000000"/>
          <w:sz w:val="24"/>
          <w:szCs w:val="24"/>
        </w:rPr>
        <w:t>Los hechos relacionados con la controversia que han quedado acreditados, conforme a la relación de las pruebas, son los siguientes:</w:t>
      </w:r>
    </w:p>
    <w:p w14:paraId="6DE57D5D" w14:textId="77777777" w:rsidR="007E61D9" w:rsidRDefault="007E61D9">
      <w:pPr>
        <w:pBdr>
          <w:top w:val="nil"/>
          <w:left w:val="nil"/>
          <w:bottom w:val="nil"/>
          <w:right w:val="nil"/>
          <w:between w:val="nil"/>
        </w:pBdr>
        <w:tabs>
          <w:tab w:val="left" w:pos="426"/>
        </w:tabs>
        <w:spacing w:line="360" w:lineRule="auto"/>
        <w:ind w:right="36"/>
        <w:jc w:val="both"/>
        <w:rPr>
          <w:rFonts w:ascii="Arial" w:eastAsia="Arial" w:hAnsi="Arial" w:cs="Arial"/>
          <w:color w:val="000000"/>
          <w:sz w:val="6"/>
          <w:szCs w:val="6"/>
        </w:rPr>
      </w:pPr>
    </w:p>
    <w:p w14:paraId="1807412A" w14:textId="77777777" w:rsidR="007E61D9" w:rsidRDefault="00D65480">
      <w:pPr>
        <w:numPr>
          <w:ilvl w:val="0"/>
          <w:numId w:val="1"/>
        </w:numPr>
        <w:pBdr>
          <w:top w:val="nil"/>
          <w:left w:val="nil"/>
          <w:bottom w:val="nil"/>
          <w:right w:val="nil"/>
          <w:between w:val="nil"/>
        </w:pBdr>
        <w:tabs>
          <w:tab w:val="left" w:pos="284"/>
        </w:tabs>
        <w:spacing w:line="360" w:lineRule="auto"/>
        <w:ind w:left="284" w:right="36" w:hanging="284"/>
        <w:jc w:val="both"/>
        <w:rPr>
          <w:color w:val="000000"/>
          <w:sz w:val="24"/>
          <w:szCs w:val="24"/>
        </w:rPr>
      </w:pPr>
      <w:r>
        <w:rPr>
          <w:rFonts w:ascii="Arial" w:eastAsia="Arial" w:hAnsi="Arial" w:cs="Arial"/>
          <w:color w:val="000000"/>
          <w:sz w:val="24"/>
          <w:szCs w:val="24"/>
        </w:rPr>
        <w:t>La calidad del ciudadano</w:t>
      </w:r>
      <w:r>
        <w:rPr>
          <w:rFonts w:ascii="Arial" w:eastAsia="Arial" w:hAnsi="Arial" w:cs="Arial"/>
          <w:sz w:val="24"/>
          <w:szCs w:val="24"/>
        </w:rPr>
        <w:t xml:space="preserve"> Israel Ángel Ramírez, como representante suplente del PAN y de la coalición “Va por Aguascalientes” ante el Consejo General. </w:t>
      </w:r>
    </w:p>
    <w:p w14:paraId="695B9CC8" w14:textId="77777777" w:rsidR="007E61D9" w:rsidRDefault="00D65480">
      <w:pPr>
        <w:numPr>
          <w:ilvl w:val="0"/>
          <w:numId w:val="1"/>
        </w:numPr>
        <w:pBdr>
          <w:top w:val="nil"/>
          <w:left w:val="nil"/>
          <w:bottom w:val="nil"/>
          <w:right w:val="nil"/>
          <w:between w:val="nil"/>
        </w:pBdr>
        <w:tabs>
          <w:tab w:val="left" w:pos="284"/>
        </w:tabs>
        <w:spacing w:line="360" w:lineRule="auto"/>
        <w:ind w:left="284" w:right="36" w:hanging="284"/>
        <w:jc w:val="both"/>
        <w:rPr>
          <w:color w:val="000000"/>
          <w:sz w:val="24"/>
          <w:szCs w:val="24"/>
        </w:rPr>
      </w:pPr>
      <w:r>
        <w:rPr>
          <w:rFonts w:ascii="Arial" w:eastAsia="Arial" w:hAnsi="Arial" w:cs="Arial"/>
          <w:color w:val="000000"/>
          <w:sz w:val="24"/>
          <w:szCs w:val="24"/>
        </w:rPr>
        <w:t>La calidad de</w:t>
      </w:r>
      <w:r>
        <w:rPr>
          <w:rFonts w:ascii="Arial" w:eastAsia="Arial" w:hAnsi="Arial" w:cs="Arial"/>
          <w:sz w:val="24"/>
          <w:szCs w:val="24"/>
        </w:rPr>
        <w:t xml:space="preserve">l ciudadano Jesús Ricardo Barba Parra, como representante propietario de Morena ante el Consejo General. </w:t>
      </w:r>
    </w:p>
    <w:p w14:paraId="7A9A8B28" w14:textId="77777777" w:rsidR="007E61D9" w:rsidRDefault="00D65480">
      <w:pPr>
        <w:numPr>
          <w:ilvl w:val="0"/>
          <w:numId w:val="1"/>
        </w:numPr>
        <w:pBdr>
          <w:top w:val="nil"/>
          <w:left w:val="nil"/>
          <w:bottom w:val="nil"/>
          <w:right w:val="nil"/>
          <w:between w:val="nil"/>
        </w:pBdr>
        <w:tabs>
          <w:tab w:val="left" w:pos="284"/>
        </w:tabs>
        <w:spacing w:line="360" w:lineRule="auto"/>
        <w:ind w:left="284" w:right="36" w:hanging="284"/>
        <w:jc w:val="both"/>
        <w:rPr>
          <w:color w:val="000000"/>
          <w:sz w:val="24"/>
          <w:szCs w:val="24"/>
        </w:rPr>
      </w:pPr>
      <w:r>
        <w:rPr>
          <w:rFonts w:ascii="Arial" w:eastAsia="Arial" w:hAnsi="Arial" w:cs="Arial"/>
          <w:sz w:val="24"/>
          <w:szCs w:val="24"/>
        </w:rPr>
        <w:t>La calidad de Nora Ruvalcaba Gámez, como candidata de Morena a la gubernatura del estado para el actual proceso electoral.</w:t>
      </w:r>
    </w:p>
    <w:p w14:paraId="15D969F5" w14:textId="77777777" w:rsidR="007E61D9" w:rsidRDefault="00D65480">
      <w:pPr>
        <w:numPr>
          <w:ilvl w:val="0"/>
          <w:numId w:val="1"/>
        </w:numPr>
        <w:pBdr>
          <w:top w:val="nil"/>
          <w:left w:val="nil"/>
          <w:bottom w:val="nil"/>
          <w:right w:val="nil"/>
          <w:between w:val="nil"/>
        </w:pBdr>
        <w:tabs>
          <w:tab w:val="left" w:pos="284"/>
        </w:tabs>
        <w:spacing w:line="360" w:lineRule="auto"/>
        <w:ind w:left="284" w:right="36" w:hanging="284"/>
        <w:jc w:val="both"/>
        <w:rPr>
          <w:color w:val="000000"/>
          <w:sz w:val="24"/>
          <w:szCs w:val="24"/>
        </w:rPr>
      </w:pPr>
      <w:r>
        <w:rPr>
          <w:rFonts w:ascii="Arial" w:eastAsia="Arial" w:hAnsi="Arial" w:cs="Arial"/>
          <w:color w:val="000000"/>
          <w:sz w:val="24"/>
          <w:szCs w:val="24"/>
        </w:rPr>
        <w:t xml:space="preserve">La existencia del video y, por tanto, del mensaje denunciado que se difundió a través de los perfiles de Facebook y Twitter de la candidata cuestionada. </w:t>
      </w:r>
    </w:p>
    <w:p w14:paraId="50C2892F" w14:textId="77777777" w:rsidR="007E61D9" w:rsidRDefault="007E61D9">
      <w:pPr>
        <w:pBdr>
          <w:top w:val="nil"/>
          <w:left w:val="nil"/>
          <w:bottom w:val="nil"/>
          <w:right w:val="nil"/>
          <w:between w:val="nil"/>
        </w:pBdr>
        <w:rPr>
          <w:color w:val="000000"/>
        </w:rPr>
      </w:pPr>
    </w:p>
    <w:p w14:paraId="5215BE38" w14:textId="77777777" w:rsidR="007E61D9" w:rsidRDefault="00D65480">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VI. Análisis de fondo</w:t>
      </w:r>
    </w:p>
    <w:p w14:paraId="272F44A2" w14:textId="77777777" w:rsidR="007E61D9" w:rsidRDefault="007E61D9">
      <w:pPr>
        <w:pBdr>
          <w:top w:val="nil"/>
          <w:left w:val="nil"/>
          <w:bottom w:val="nil"/>
          <w:right w:val="nil"/>
          <w:between w:val="nil"/>
        </w:pBdr>
        <w:rPr>
          <w:color w:val="000000"/>
          <w:sz w:val="14"/>
          <w:szCs w:val="14"/>
        </w:rPr>
      </w:pPr>
    </w:p>
    <w:p w14:paraId="5B68CFF8" w14:textId="77777777" w:rsidR="007E61D9" w:rsidRDefault="00D65480">
      <w:pPr>
        <w:numPr>
          <w:ilvl w:val="0"/>
          <w:numId w:val="7"/>
        </w:numPr>
        <w:pBdr>
          <w:top w:val="nil"/>
          <w:left w:val="nil"/>
          <w:bottom w:val="nil"/>
          <w:right w:val="nil"/>
          <w:between w:val="nil"/>
        </w:pBdr>
        <w:tabs>
          <w:tab w:val="left" w:pos="426"/>
        </w:tabs>
        <w:spacing w:line="360" w:lineRule="auto"/>
        <w:ind w:left="0" w:right="36" w:firstLine="0"/>
        <w:jc w:val="both"/>
        <w:rPr>
          <w:b/>
          <w:color w:val="000000"/>
          <w:sz w:val="24"/>
          <w:szCs w:val="24"/>
        </w:rPr>
      </w:pPr>
      <w:r>
        <w:rPr>
          <w:rFonts w:ascii="Arial" w:eastAsia="Arial" w:hAnsi="Arial" w:cs="Arial"/>
          <w:b/>
          <w:color w:val="000000"/>
          <w:sz w:val="24"/>
          <w:szCs w:val="24"/>
        </w:rPr>
        <w:t xml:space="preserve">Planteamiento de la controversia. </w:t>
      </w:r>
      <w:r>
        <w:rPr>
          <w:rFonts w:ascii="Arial" w:eastAsia="Arial" w:hAnsi="Arial" w:cs="Arial"/>
          <w:color w:val="000000"/>
          <w:sz w:val="24"/>
          <w:szCs w:val="24"/>
        </w:rPr>
        <w:t>De conformidad con lo expuesto, este Tribunal considera que la controversia a definir consiste en determinar lo siguiente:</w:t>
      </w:r>
      <w:r>
        <w:rPr>
          <w:rFonts w:ascii="Arial" w:eastAsia="Arial" w:hAnsi="Arial" w:cs="Arial"/>
          <w:b/>
          <w:color w:val="000000"/>
          <w:sz w:val="24"/>
          <w:szCs w:val="24"/>
        </w:rPr>
        <w:t xml:space="preserve"> </w:t>
      </w:r>
    </w:p>
    <w:p w14:paraId="5EFF441E" w14:textId="77777777" w:rsidR="007E61D9" w:rsidRDefault="007E61D9">
      <w:pPr>
        <w:pBdr>
          <w:top w:val="nil"/>
          <w:left w:val="nil"/>
          <w:bottom w:val="nil"/>
          <w:right w:val="nil"/>
          <w:between w:val="nil"/>
        </w:pBdr>
        <w:rPr>
          <w:color w:val="000000"/>
          <w:sz w:val="14"/>
          <w:szCs w:val="14"/>
        </w:rPr>
      </w:pPr>
    </w:p>
    <w:p w14:paraId="01E529BD" w14:textId="77777777" w:rsidR="007E61D9" w:rsidRDefault="00D65480">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i/>
          <w:sz w:val="24"/>
          <w:szCs w:val="24"/>
        </w:rPr>
        <w:t>i)</w:t>
      </w:r>
      <w:r>
        <w:rPr>
          <w:rFonts w:ascii="Arial" w:eastAsia="Arial" w:hAnsi="Arial" w:cs="Arial"/>
          <w:sz w:val="24"/>
          <w:szCs w:val="24"/>
        </w:rPr>
        <w:t xml:space="preserve"> ¿Si el contenido del video denunciado, actualiza la infracción de </w:t>
      </w:r>
      <w:r>
        <w:rPr>
          <w:rFonts w:ascii="Arial" w:eastAsia="Arial" w:hAnsi="Arial" w:cs="Arial"/>
          <w:b/>
          <w:sz w:val="24"/>
          <w:szCs w:val="24"/>
        </w:rPr>
        <w:t>calumnia</w:t>
      </w:r>
      <w:r>
        <w:rPr>
          <w:rFonts w:ascii="Arial" w:eastAsia="Arial" w:hAnsi="Arial" w:cs="Arial"/>
          <w:sz w:val="24"/>
          <w:szCs w:val="24"/>
        </w:rPr>
        <w:t xml:space="preserve"> a partir de una imputación falsa de un hecho, cometida en perjuicio de María Teresa Jiménez Esquivel, candidata a la gubernatura del estado de Aguascalientes por el PAN, así como del propio instituto político postulante?</w:t>
      </w:r>
    </w:p>
    <w:p w14:paraId="4F7EEE48" w14:textId="77777777" w:rsidR="007E61D9" w:rsidRDefault="007E61D9">
      <w:pPr>
        <w:pBdr>
          <w:top w:val="nil"/>
          <w:left w:val="nil"/>
          <w:bottom w:val="nil"/>
          <w:right w:val="nil"/>
          <w:between w:val="nil"/>
        </w:pBdr>
        <w:rPr>
          <w:color w:val="000000"/>
          <w:sz w:val="14"/>
          <w:szCs w:val="14"/>
        </w:rPr>
      </w:pPr>
    </w:p>
    <w:p w14:paraId="538829F5" w14:textId="77777777" w:rsidR="007E61D9" w:rsidRDefault="00D65480">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u w:val="single"/>
        </w:rPr>
        <w:t>Aparatado I.</w:t>
      </w:r>
      <w:r>
        <w:rPr>
          <w:rFonts w:ascii="Arial" w:eastAsia="Arial" w:hAnsi="Arial" w:cs="Arial"/>
          <w:b/>
          <w:sz w:val="24"/>
          <w:szCs w:val="24"/>
        </w:rPr>
        <w:t xml:space="preserve"> Decisión. </w:t>
      </w:r>
    </w:p>
    <w:p w14:paraId="29BE78C4" w14:textId="77777777" w:rsidR="007E61D9" w:rsidRDefault="007E61D9">
      <w:pPr>
        <w:pBdr>
          <w:top w:val="nil"/>
          <w:left w:val="nil"/>
          <w:bottom w:val="nil"/>
          <w:right w:val="nil"/>
          <w:between w:val="nil"/>
        </w:pBdr>
        <w:rPr>
          <w:color w:val="000000"/>
        </w:rPr>
      </w:pPr>
    </w:p>
    <w:p w14:paraId="0B2BCC1A" w14:textId="77777777" w:rsidR="007E61D9" w:rsidRDefault="00D65480">
      <w:pPr>
        <w:spacing w:after="240" w:line="360" w:lineRule="auto"/>
        <w:jc w:val="both"/>
        <w:rPr>
          <w:rFonts w:ascii="Arial" w:eastAsia="Arial" w:hAnsi="Arial" w:cs="Arial"/>
          <w:sz w:val="24"/>
          <w:szCs w:val="24"/>
        </w:rPr>
      </w:pPr>
      <w:r>
        <w:rPr>
          <w:rFonts w:ascii="Arial" w:eastAsia="Arial" w:hAnsi="Arial" w:cs="Arial"/>
          <w:sz w:val="24"/>
          <w:szCs w:val="24"/>
        </w:rPr>
        <w:t>Este Tribunal Electoral</w:t>
      </w:r>
      <w:r>
        <w:rPr>
          <w:rFonts w:ascii="Arial" w:eastAsia="Arial" w:hAnsi="Arial" w:cs="Arial"/>
          <w:b/>
          <w:sz w:val="24"/>
          <w:szCs w:val="24"/>
        </w:rPr>
        <w:t xml:space="preserve"> </w:t>
      </w:r>
      <w:r>
        <w:rPr>
          <w:rFonts w:ascii="Arial" w:eastAsia="Arial" w:hAnsi="Arial" w:cs="Arial"/>
          <w:sz w:val="24"/>
          <w:szCs w:val="24"/>
        </w:rPr>
        <w:t xml:space="preserve">estima que debe declararse la </w:t>
      </w:r>
      <w:r>
        <w:rPr>
          <w:rFonts w:ascii="Arial" w:eastAsia="Arial" w:hAnsi="Arial" w:cs="Arial"/>
          <w:b/>
          <w:sz w:val="24"/>
          <w:szCs w:val="24"/>
        </w:rPr>
        <w:t xml:space="preserve">existencia </w:t>
      </w:r>
      <w:r>
        <w:rPr>
          <w:rFonts w:ascii="Arial" w:eastAsia="Arial" w:hAnsi="Arial" w:cs="Arial"/>
          <w:sz w:val="24"/>
          <w:szCs w:val="24"/>
        </w:rPr>
        <w:t xml:space="preserve">de la infracción de calumnia en perjuicio del Partido Acción Nacional y de María Teresa Jiménez Esquivel, candidata a la gubernatura de esta entidad, atribuida a la ciudadana Nora Ruvalcaba Gámez, candidata a la gubernatura del estado por el partido Morena, derivado de la difusión de un video a través de sus redes sociales, el cual, contiene expresiones que constituyen calumnia y, en consecuencia, debe declararse la </w:t>
      </w:r>
      <w:r>
        <w:rPr>
          <w:rFonts w:ascii="Arial" w:eastAsia="Arial" w:hAnsi="Arial" w:cs="Arial"/>
          <w:b/>
          <w:sz w:val="24"/>
          <w:szCs w:val="24"/>
        </w:rPr>
        <w:t xml:space="preserve">existencia </w:t>
      </w:r>
      <w:r>
        <w:rPr>
          <w:rFonts w:ascii="Arial" w:eastAsia="Arial" w:hAnsi="Arial" w:cs="Arial"/>
          <w:sz w:val="24"/>
          <w:szCs w:val="24"/>
        </w:rPr>
        <w:t xml:space="preserve">de la infracción de </w:t>
      </w:r>
      <w:r>
        <w:rPr>
          <w:rFonts w:ascii="Arial" w:eastAsia="Arial" w:hAnsi="Arial" w:cs="Arial"/>
          <w:i/>
          <w:sz w:val="24"/>
          <w:szCs w:val="24"/>
        </w:rPr>
        <w:t>culpa in vigilando</w:t>
      </w:r>
      <w:r>
        <w:rPr>
          <w:rFonts w:ascii="Arial" w:eastAsia="Arial" w:hAnsi="Arial" w:cs="Arial"/>
          <w:sz w:val="24"/>
          <w:szCs w:val="24"/>
        </w:rPr>
        <w:t xml:space="preserve"> atribuida al partido político Morena.</w:t>
      </w:r>
    </w:p>
    <w:p w14:paraId="2A41AD35" w14:textId="77777777" w:rsidR="007E61D9" w:rsidRDefault="00D65480">
      <w:pPr>
        <w:spacing w:before="240" w:after="240" w:line="360" w:lineRule="auto"/>
        <w:jc w:val="both"/>
      </w:pPr>
      <w:r>
        <w:rPr>
          <w:rFonts w:ascii="Arial" w:eastAsia="Arial" w:hAnsi="Arial" w:cs="Arial"/>
          <w:sz w:val="24"/>
          <w:szCs w:val="24"/>
        </w:rPr>
        <w:t xml:space="preserve">Ello, porque </w:t>
      </w:r>
      <w:r>
        <w:rPr>
          <w:rFonts w:ascii="Arial" w:eastAsia="Arial" w:hAnsi="Arial" w:cs="Arial"/>
          <w:b/>
          <w:sz w:val="24"/>
          <w:szCs w:val="24"/>
        </w:rPr>
        <w:t>este órgano jurisdiccional considera</w:t>
      </w:r>
      <w:r>
        <w:rPr>
          <w:rFonts w:ascii="Arial" w:eastAsia="Arial" w:hAnsi="Arial" w:cs="Arial"/>
          <w:sz w:val="24"/>
          <w:szCs w:val="24"/>
        </w:rPr>
        <w:t xml:space="preserve"> que del análisis del video denunciado, fue posible advertir que la candidata cuestionada le atribuyó de manera directa tanto al partido político denunciante como a su candidata postulada al cargo de gubernatura, la </w:t>
      </w:r>
      <w:r>
        <w:rPr>
          <w:rFonts w:ascii="Arial" w:eastAsia="Arial" w:hAnsi="Arial" w:cs="Arial"/>
          <w:b/>
          <w:sz w:val="24"/>
          <w:szCs w:val="24"/>
        </w:rPr>
        <w:t>comisión de hechos falsos</w:t>
      </w:r>
      <w:r>
        <w:rPr>
          <w:rFonts w:ascii="Arial" w:eastAsia="Arial" w:hAnsi="Arial" w:cs="Arial"/>
          <w:sz w:val="24"/>
          <w:szCs w:val="24"/>
        </w:rPr>
        <w:t xml:space="preserve">, sin que de las constancias que existen en el expediente se lograra demostrar con prueba alguna que sustente tal imputación, situación que implica que </w:t>
      </w:r>
      <w:r>
        <w:rPr>
          <w:rFonts w:ascii="Arial" w:eastAsia="Arial" w:hAnsi="Arial" w:cs="Arial"/>
          <w:sz w:val="24"/>
          <w:szCs w:val="24"/>
        </w:rPr>
        <w:lastRenderedPageBreak/>
        <w:t xml:space="preserve">la parte denunciada tuvo el propósito de provocar un daño a la reputación de dicho partido, en relación con su imagen frente al electorado, de forma maliciosa. </w:t>
      </w:r>
    </w:p>
    <w:p w14:paraId="349E80BA" w14:textId="77777777" w:rsidR="007E61D9" w:rsidRDefault="00D65480">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u w:val="single"/>
        </w:rPr>
        <w:t>Aparatado II.</w:t>
      </w:r>
      <w:r>
        <w:rPr>
          <w:rFonts w:ascii="Arial" w:eastAsia="Arial" w:hAnsi="Arial" w:cs="Arial"/>
          <w:b/>
          <w:sz w:val="24"/>
          <w:szCs w:val="24"/>
        </w:rPr>
        <w:t xml:space="preserve"> Desarrollo y justificación de la decisión </w:t>
      </w:r>
    </w:p>
    <w:p w14:paraId="3FBD3B6F" w14:textId="77777777" w:rsidR="007E61D9" w:rsidRDefault="007E61D9">
      <w:pPr>
        <w:pBdr>
          <w:top w:val="nil"/>
          <w:left w:val="nil"/>
          <w:bottom w:val="nil"/>
          <w:right w:val="nil"/>
          <w:between w:val="nil"/>
        </w:pBdr>
        <w:rPr>
          <w:color w:val="000000"/>
        </w:rPr>
      </w:pPr>
    </w:p>
    <w:p w14:paraId="599DDF53" w14:textId="77777777" w:rsidR="007E61D9" w:rsidRDefault="00D65480">
      <w:pPr>
        <w:spacing w:line="360" w:lineRule="auto"/>
        <w:jc w:val="both"/>
        <w:rPr>
          <w:rFonts w:ascii="Arial" w:eastAsia="Arial" w:hAnsi="Arial" w:cs="Arial"/>
          <w:b/>
          <w:sz w:val="24"/>
          <w:szCs w:val="24"/>
        </w:rPr>
      </w:pPr>
      <w:r>
        <w:rPr>
          <w:rFonts w:ascii="Arial" w:eastAsia="Arial" w:hAnsi="Arial" w:cs="Arial"/>
          <w:b/>
          <w:sz w:val="24"/>
          <w:szCs w:val="24"/>
        </w:rPr>
        <w:t xml:space="preserve">1. Marco normativo </w:t>
      </w:r>
    </w:p>
    <w:p w14:paraId="188D505E" w14:textId="77777777" w:rsidR="007E61D9" w:rsidRDefault="007E61D9">
      <w:pPr>
        <w:pBdr>
          <w:top w:val="nil"/>
          <w:left w:val="nil"/>
          <w:bottom w:val="nil"/>
          <w:right w:val="nil"/>
          <w:between w:val="nil"/>
        </w:pBdr>
        <w:rPr>
          <w:color w:val="000000"/>
        </w:rPr>
      </w:pPr>
    </w:p>
    <w:p w14:paraId="0050D821" w14:textId="77777777" w:rsidR="007E61D9" w:rsidRDefault="00D65480">
      <w:pPr>
        <w:numPr>
          <w:ilvl w:val="1"/>
          <w:numId w:val="2"/>
        </w:numPr>
        <w:pBdr>
          <w:top w:val="nil"/>
          <w:left w:val="nil"/>
          <w:bottom w:val="nil"/>
          <w:right w:val="nil"/>
          <w:between w:val="nil"/>
        </w:pBdr>
        <w:spacing w:line="360" w:lineRule="auto"/>
        <w:ind w:left="567" w:hanging="567"/>
        <w:jc w:val="both"/>
        <w:rPr>
          <w:rFonts w:ascii="Arial" w:eastAsia="Arial" w:hAnsi="Arial" w:cs="Arial"/>
          <w:b/>
          <w:color w:val="000000"/>
          <w:sz w:val="24"/>
          <w:szCs w:val="24"/>
        </w:rPr>
      </w:pPr>
      <w:r>
        <w:rPr>
          <w:rFonts w:ascii="Arial" w:eastAsia="Arial" w:hAnsi="Arial" w:cs="Arial"/>
          <w:b/>
          <w:color w:val="000000"/>
          <w:sz w:val="24"/>
          <w:szCs w:val="24"/>
        </w:rPr>
        <w:t>Marco normativo de calumnia.</w:t>
      </w:r>
    </w:p>
    <w:p w14:paraId="38802362" w14:textId="77777777" w:rsidR="007E61D9" w:rsidRDefault="007E61D9">
      <w:pPr>
        <w:pBdr>
          <w:top w:val="nil"/>
          <w:left w:val="nil"/>
          <w:bottom w:val="nil"/>
          <w:right w:val="nil"/>
          <w:between w:val="nil"/>
        </w:pBdr>
        <w:rPr>
          <w:color w:val="000000"/>
        </w:rPr>
      </w:pPr>
    </w:p>
    <w:p w14:paraId="26DA45B0" w14:textId="77777777" w:rsidR="007E61D9" w:rsidRDefault="00D65480">
      <w:pPr>
        <w:spacing w:line="360" w:lineRule="auto"/>
        <w:jc w:val="both"/>
      </w:pPr>
      <w:r>
        <w:rPr>
          <w:rFonts w:ascii="Arial" w:eastAsia="Arial" w:hAnsi="Arial" w:cs="Arial"/>
          <w:sz w:val="24"/>
          <w:szCs w:val="24"/>
        </w:rPr>
        <w:t>El artículo 6°, de la Constitución Federal</w:t>
      </w:r>
      <w:r>
        <w:rPr>
          <w:rFonts w:ascii="Arial" w:eastAsia="Arial" w:hAnsi="Arial" w:cs="Arial"/>
          <w:sz w:val="24"/>
          <w:szCs w:val="24"/>
          <w:vertAlign w:val="superscript"/>
        </w:rPr>
        <w:footnoteReference w:id="8"/>
      </w:r>
      <w:r>
        <w:rPr>
          <w:rFonts w:ascii="Arial" w:eastAsia="Arial" w:hAnsi="Arial" w:cs="Arial"/>
          <w:sz w:val="24"/>
          <w:szCs w:val="24"/>
        </w:rPr>
        <w:t xml:space="preserve"> establece que los supuestos en los cuales la libertad de expresión se encuentra limitada, son los siguientes: </w:t>
      </w:r>
      <w:r>
        <w:rPr>
          <w:rFonts w:ascii="Arial" w:eastAsia="Arial" w:hAnsi="Arial" w:cs="Arial"/>
          <w:b/>
          <w:i/>
          <w:sz w:val="24"/>
          <w:szCs w:val="24"/>
        </w:rPr>
        <w:t>a)</w:t>
      </w:r>
      <w:r>
        <w:rPr>
          <w:rFonts w:ascii="Arial" w:eastAsia="Arial" w:hAnsi="Arial" w:cs="Arial"/>
          <w:sz w:val="24"/>
          <w:szCs w:val="24"/>
        </w:rPr>
        <w:t xml:space="preserve"> cuando se ataque a la moral, a la vida privada y los derechos de terceros, </w:t>
      </w:r>
      <w:r>
        <w:rPr>
          <w:rFonts w:ascii="Arial" w:eastAsia="Arial" w:hAnsi="Arial" w:cs="Arial"/>
          <w:b/>
          <w:i/>
          <w:sz w:val="24"/>
          <w:szCs w:val="24"/>
        </w:rPr>
        <w:t>b)</w:t>
      </w:r>
      <w:r>
        <w:rPr>
          <w:rFonts w:ascii="Arial" w:eastAsia="Arial" w:hAnsi="Arial" w:cs="Arial"/>
          <w:sz w:val="24"/>
          <w:szCs w:val="24"/>
        </w:rPr>
        <w:t xml:space="preserve"> cuando se provoque algún delito y/o, </w:t>
      </w:r>
      <w:r>
        <w:rPr>
          <w:rFonts w:ascii="Arial" w:eastAsia="Arial" w:hAnsi="Arial" w:cs="Arial"/>
          <w:b/>
          <w:i/>
          <w:sz w:val="24"/>
          <w:szCs w:val="24"/>
        </w:rPr>
        <w:t>c)</w:t>
      </w:r>
      <w:r>
        <w:rPr>
          <w:rFonts w:ascii="Arial" w:eastAsia="Arial" w:hAnsi="Arial" w:cs="Arial"/>
          <w:sz w:val="24"/>
          <w:szCs w:val="24"/>
        </w:rPr>
        <w:t xml:space="preserve"> se perturbe el orden público.</w:t>
      </w:r>
    </w:p>
    <w:p w14:paraId="1EB0460F" w14:textId="77777777" w:rsidR="007E61D9" w:rsidRDefault="00D65480">
      <w:pPr>
        <w:spacing w:before="240" w:after="240" w:line="360" w:lineRule="auto"/>
        <w:jc w:val="both"/>
      </w:pPr>
      <w:r>
        <w:rPr>
          <w:rFonts w:ascii="Arial" w:eastAsia="Arial" w:hAnsi="Arial" w:cs="Arial"/>
          <w:sz w:val="24"/>
          <w:szCs w:val="24"/>
        </w:rPr>
        <w:t xml:space="preserve">De ahí que las limitaciones a la libertad de expresión tienen como finalidad: </w:t>
      </w:r>
      <w:r>
        <w:rPr>
          <w:rFonts w:ascii="Arial" w:eastAsia="Arial" w:hAnsi="Arial" w:cs="Arial"/>
          <w:b/>
          <w:i/>
          <w:sz w:val="24"/>
          <w:szCs w:val="24"/>
        </w:rPr>
        <w:t>i)</w:t>
      </w:r>
      <w:r>
        <w:rPr>
          <w:rFonts w:ascii="Arial" w:eastAsia="Arial" w:hAnsi="Arial" w:cs="Arial"/>
          <w:sz w:val="24"/>
          <w:szCs w:val="24"/>
        </w:rPr>
        <w:t xml:space="preserve"> el respeto a los derechos y reputación de los demás y,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la protección a la seguridad nacional y el orden público.</w:t>
      </w:r>
    </w:p>
    <w:p w14:paraId="6B7C6E1C" w14:textId="77777777" w:rsidR="007E61D9" w:rsidRDefault="00D65480">
      <w:pPr>
        <w:spacing w:before="240" w:after="240" w:line="360" w:lineRule="auto"/>
        <w:jc w:val="both"/>
      </w:pPr>
      <w:r>
        <w:rPr>
          <w:rFonts w:ascii="Arial" w:eastAsia="Arial" w:hAnsi="Arial" w:cs="Arial"/>
          <w:sz w:val="24"/>
          <w:szCs w:val="24"/>
        </w:rPr>
        <w:t>A su vez, el artículo 41, Base II, apartado C</w:t>
      </w:r>
      <w:r>
        <w:rPr>
          <w:rFonts w:ascii="Arial" w:eastAsia="Arial" w:hAnsi="Arial" w:cs="Arial"/>
          <w:sz w:val="24"/>
          <w:szCs w:val="24"/>
          <w:vertAlign w:val="superscript"/>
        </w:rPr>
        <w:footnoteReference w:id="9"/>
      </w:r>
      <w:r>
        <w:rPr>
          <w:rFonts w:ascii="Arial" w:eastAsia="Arial" w:hAnsi="Arial" w:cs="Arial"/>
          <w:sz w:val="24"/>
          <w:szCs w:val="24"/>
        </w:rPr>
        <w:t xml:space="preserve"> del mismo ordenamiento, establece que los partidos políticos y candidatos deben abstenerse de difundir propaganda que calumnie a las personas o que cometan alguna infracción electoral.</w:t>
      </w:r>
    </w:p>
    <w:p w14:paraId="1F991F03" w14:textId="77777777" w:rsidR="007E61D9" w:rsidRDefault="00D65480">
      <w:pPr>
        <w:spacing w:before="240" w:after="240" w:line="360" w:lineRule="auto"/>
        <w:jc w:val="both"/>
      </w:pPr>
      <w:r>
        <w:rPr>
          <w:rFonts w:ascii="Arial" w:eastAsia="Arial" w:hAnsi="Arial" w:cs="Arial"/>
          <w:sz w:val="24"/>
          <w:szCs w:val="24"/>
        </w:rPr>
        <w:t>Por otro lado, el artículo 471, segundo párrafo, de la LEGIPE</w:t>
      </w:r>
      <w:r>
        <w:rPr>
          <w:rFonts w:ascii="Arial" w:eastAsia="Arial" w:hAnsi="Arial" w:cs="Arial"/>
          <w:sz w:val="24"/>
          <w:szCs w:val="24"/>
          <w:vertAlign w:val="superscript"/>
        </w:rPr>
        <w:footnoteReference w:id="10"/>
      </w:r>
      <w:r>
        <w:rPr>
          <w:rFonts w:ascii="Arial" w:eastAsia="Arial" w:hAnsi="Arial" w:cs="Arial"/>
          <w:sz w:val="24"/>
          <w:szCs w:val="24"/>
        </w:rPr>
        <w:t xml:space="preserve"> establece que </w:t>
      </w:r>
      <w:r>
        <w:rPr>
          <w:rFonts w:ascii="Arial" w:eastAsia="Arial" w:hAnsi="Arial" w:cs="Arial"/>
          <w:b/>
          <w:sz w:val="24"/>
          <w:szCs w:val="24"/>
        </w:rPr>
        <w:t>la calumnia es la imputación de hechos o delitos falsos por parte de partidos políticos</w:t>
      </w:r>
      <w:r>
        <w:rPr>
          <w:rFonts w:ascii="Arial" w:eastAsia="Arial" w:hAnsi="Arial" w:cs="Arial"/>
          <w:sz w:val="24"/>
          <w:szCs w:val="24"/>
        </w:rPr>
        <w:t xml:space="preserve"> </w:t>
      </w:r>
      <w:r>
        <w:rPr>
          <w:rFonts w:ascii="Arial" w:eastAsia="Arial" w:hAnsi="Arial" w:cs="Arial"/>
          <w:b/>
          <w:sz w:val="24"/>
          <w:szCs w:val="24"/>
        </w:rPr>
        <w:t>o candidatos</w:t>
      </w:r>
      <w:r>
        <w:rPr>
          <w:rFonts w:ascii="Arial" w:eastAsia="Arial" w:hAnsi="Arial" w:cs="Arial"/>
          <w:sz w:val="24"/>
          <w:szCs w:val="24"/>
        </w:rPr>
        <w:t>, con impacto en un proceso electoral.</w:t>
      </w:r>
    </w:p>
    <w:p w14:paraId="50476CDD" w14:textId="77777777" w:rsidR="007E61D9" w:rsidRDefault="00D65480">
      <w:pPr>
        <w:spacing w:before="240" w:after="240" w:line="360" w:lineRule="auto"/>
        <w:jc w:val="both"/>
      </w:pPr>
      <w:r>
        <w:rPr>
          <w:rFonts w:ascii="Arial" w:eastAsia="Arial" w:hAnsi="Arial" w:cs="Arial"/>
          <w:sz w:val="24"/>
          <w:szCs w:val="24"/>
        </w:rPr>
        <w:t>En tal sentido, la SCJN</w:t>
      </w:r>
      <w:r>
        <w:rPr>
          <w:rFonts w:ascii="Arial" w:eastAsia="Arial" w:hAnsi="Arial" w:cs="Arial"/>
          <w:sz w:val="24"/>
          <w:szCs w:val="24"/>
          <w:vertAlign w:val="superscript"/>
        </w:rPr>
        <w:footnoteReference w:id="11"/>
      </w:r>
      <w:r>
        <w:rPr>
          <w:rFonts w:ascii="Arial" w:eastAsia="Arial" w:hAnsi="Arial" w:cs="Arial"/>
          <w:sz w:val="24"/>
          <w:szCs w:val="24"/>
        </w:rPr>
        <w:t xml:space="preserve"> estableció que para poder acreditar la calumnia es necesario que se cumplan dos elementos, estos son: </w:t>
      </w:r>
      <w:r>
        <w:rPr>
          <w:rFonts w:ascii="Arial" w:eastAsia="Arial" w:hAnsi="Arial" w:cs="Arial"/>
          <w:b/>
          <w:i/>
          <w:sz w:val="24"/>
          <w:szCs w:val="24"/>
        </w:rPr>
        <w:t>a)</w:t>
      </w:r>
      <w:r>
        <w:rPr>
          <w:rFonts w:ascii="Arial" w:eastAsia="Arial" w:hAnsi="Arial" w:cs="Arial"/>
          <w:b/>
          <w:sz w:val="24"/>
          <w:szCs w:val="24"/>
        </w:rPr>
        <w:t xml:space="preserve"> personal</w:t>
      </w:r>
      <w:r>
        <w:rPr>
          <w:rFonts w:ascii="Arial" w:eastAsia="Arial" w:hAnsi="Arial" w:cs="Arial"/>
          <w:sz w:val="24"/>
          <w:szCs w:val="24"/>
        </w:rPr>
        <w:t xml:space="preserve">, que implica valorar al sujeto que fue denunciado que, por lo general, solo pueden ser sancionados por calumnia electoral los partidos políticos, las coaliciones y las </w:t>
      </w:r>
      <w:r>
        <w:rPr>
          <w:rFonts w:ascii="Arial" w:eastAsia="Arial" w:hAnsi="Arial" w:cs="Arial"/>
          <w:b/>
          <w:sz w:val="24"/>
          <w:szCs w:val="24"/>
        </w:rPr>
        <w:t>candidaturas</w:t>
      </w:r>
      <w:r>
        <w:rPr>
          <w:rFonts w:ascii="Arial" w:eastAsia="Arial" w:hAnsi="Arial" w:cs="Arial"/>
          <w:sz w:val="24"/>
          <w:szCs w:val="24"/>
        </w:rPr>
        <w:t xml:space="preserve">, </w:t>
      </w:r>
      <w:r>
        <w:rPr>
          <w:rFonts w:ascii="Arial" w:eastAsia="Arial" w:hAnsi="Arial" w:cs="Arial"/>
          <w:b/>
          <w:i/>
          <w:sz w:val="24"/>
          <w:szCs w:val="24"/>
        </w:rPr>
        <w:t>b)</w:t>
      </w:r>
      <w:r>
        <w:rPr>
          <w:rFonts w:ascii="Arial" w:eastAsia="Arial" w:hAnsi="Arial" w:cs="Arial"/>
          <w:sz w:val="24"/>
          <w:szCs w:val="24"/>
        </w:rPr>
        <w:t xml:space="preserve"> el</w:t>
      </w:r>
      <w:r>
        <w:rPr>
          <w:rFonts w:ascii="Arial" w:eastAsia="Arial" w:hAnsi="Arial" w:cs="Arial"/>
          <w:b/>
          <w:sz w:val="24"/>
          <w:szCs w:val="24"/>
        </w:rPr>
        <w:t xml:space="preserve"> objetivo, </w:t>
      </w:r>
      <w:r>
        <w:rPr>
          <w:rFonts w:ascii="Arial" w:eastAsia="Arial" w:hAnsi="Arial" w:cs="Arial"/>
          <w:sz w:val="24"/>
          <w:szCs w:val="24"/>
        </w:rPr>
        <w:t xml:space="preserve">es decir, que exista una imputación de hechos o delitos falsos y, </w:t>
      </w:r>
      <w:r>
        <w:rPr>
          <w:rFonts w:ascii="Arial" w:eastAsia="Arial" w:hAnsi="Arial" w:cs="Arial"/>
          <w:b/>
          <w:sz w:val="24"/>
          <w:szCs w:val="24"/>
        </w:rPr>
        <w:t>c</w:t>
      </w:r>
      <w:r>
        <w:rPr>
          <w:rFonts w:ascii="Arial" w:eastAsia="Arial" w:hAnsi="Arial" w:cs="Arial"/>
          <w:b/>
          <w:i/>
          <w:sz w:val="24"/>
          <w:szCs w:val="24"/>
        </w:rPr>
        <w:t xml:space="preserve">) </w:t>
      </w:r>
      <w:r>
        <w:rPr>
          <w:rFonts w:ascii="Arial" w:eastAsia="Arial" w:hAnsi="Arial" w:cs="Arial"/>
          <w:sz w:val="24"/>
          <w:szCs w:val="24"/>
        </w:rPr>
        <w:t>el elemento</w:t>
      </w:r>
      <w:r>
        <w:rPr>
          <w:rFonts w:ascii="Arial" w:eastAsia="Arial" w:hAnsi="Arial" w:cs="Arial"/>
          <w:b/>
          <w:sz w:val="24"/>
          <w:szCs w:val="24"/>
        </w:rPr>
        <w:t xml:space="preserve"> subjetivo</w:t>
      </w:r>
      <w:r>
        <w:rPr>
          <w:rFonts w:ascii="Arial" w:eastAsia="Arial" w:hAnsi="Arial" w:cs="Arial"/>
          <w:sz w:val="24"/>
          <w:szCs w:val="24"/>
        </w:rPr>
        <w:t>, que implica que quien realiza la imputación sepa que los hechos y delitos son falsos.</w:t>
      </w:r>
    </w:p>
    <w:p w14:paraId="5F282BA8" w14:textId="77777777" w:rsidR="007E61D9" w:rsidRDefault="00D65480">
      <w:pPr>
        <w:spacing w:before="240" w:after="240" w:line="360" w:lineRule="auto"/>
        <w:jc w:val="both"/>
      </w:pPr>
      <w:r>
        <w:rPr>
          <w:rFonts w:ascii="Arial" w:eastAsia="Arial" w:hAnsi="Arial" w:cs="Arial"/>
          <w:sz w:val="24"/>
          <w:szCs w:val="24"/>
        </w:rPr>
        <w:lastRenderedPageBreak/>
        <w:t xml:space="preserve">Por su parte, la Sala Superior estableció dos elementos adicionales para poder acreditar tal infracción y, en su caso, sancionar la calumnia. Estos son: </w:t>
      </w:r>
      <w:r>
        <w:rPr>
          <w:rFonts w:ascii="Arial" w:eastAsia="Arial" w:hAnsi="Arial" w:cs="Arial"/>
          <w:b/>
          <w:i/>
          <w:sz w:val="24"/>
          <w:szCs w:val="24"/>
        </w:rPr>
        <w:t>i)</w:t>
      </w:r>
      <w:r>
        <w:rPr>
          <w:rFonts w:ascii="Arial" w:eastAsia="Arial" w:hAnsi="Arial" w:cs="Arial"/>
          <w:sz w:val="24"/>
          <w:szCs w:val="24"/>
        </w:rPr>
        <w:t xml:space="preserve"> que las expresiones tengan un </w:t>
      </w:r>
      <w:r>
        <w:rPr>
          <w:rFonts w:ascii="Arial" w:eastAsia="Arial" w:hAnsi="Arial" w:cs="Arial"/>
          <w:b/>
          <w:sz w:val="24"/>
          <w:szCs w:val="24"/>
        </w:rPr>
        <w:t>impacto en el proceso</w:t>
      </w:r>
      <w:r>
        <w:rPr>
          <w:rFonts w:ascii="Arial" w:eastAsia="Arial" w:hAnsi="Arial" w:cs="Arial"/>
          <w:sz w:val="24"/>
          <w:szCs w:val="24"/>
        </w:rPr>
        <w:t xml:space="preserve"> electoral y;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que las expresiones se hubiesen realizado de </w:t>
      </w:r>
      <w:r>
        <w:rPr>
          <w:rFonts w:ascii="Arial" w:eastAsia="Arial" w:hAnsi="Arial" w:cs="Arial"/>
          <w:b/>
          <w:sz w:val="24"/>
          <w:szCs w:val="24"/>
        </w:rPr>
        <w:t>forma maliciosa</w:t>
      </w:r>
      <w:r>
        <w:rPr>
          <w:rFonts w:ascii="Arial" w:eastAsia="Arial" w:hAnsi="Arial" w:cs="Arial"/>
          <w:sz w:val="24"/>
          <w:szCs w:val="24"/>
        </w:rPr>
        <w:t>. Asimismo, sostuvo que al establecer las expresiones que presuntamente constituyen calumnia no solo deben ser analizadas por su contenido, sino también en su contexto.</w:t>
      </w:r>
      <w:r>
        <w:rPr>
          <w:rFonts w:ascii="Arial" w:eastAsia="Arial" w:hAnsi="Arial" w:cs="Arial"/>
          <w:sz w:val="24"/>
          <w:szCs w:val="24"/>
          <w:vertAlign w:val="superscript"/>
        </w:rPr>
        <w:footnoteReference w:id="12"/>
      </w:r>
    </w:p>
    <w:p w14:paraId="231FAFEA" w14:textId="77777777" w:rsidR="007E61D9" w:rsidRDefault="00D65480">
      <w:pPr>
        <w:spacing w:before="240" w:after="240" w:line="360" w:lineRule="auto"/>
        <w:jc w:val="both"/>
      </w:pPr>
      <w:r>
        <w:rPr>
          <w:rFonts w:ascii="Arial" w:eastAsia="Arial" w:hAnsi="Arial" w:cs="Arial"/>
          <w:sz w:val="24"/>
          <w:szCs w:val="24"/>
        </w:rPr>
        <w:t xml:space="preserve">De lo anterior, podemos concluir que </w:t>
      </w:r>
      <w:r>
        <w:rPr>
          <w:rFonts w:ascii="Arial" w:eastAsia="Arial" w:hAnsi="Arial" w:cs="Arial"/>
          <w:b/>
          <w:sz w:val="24"/>
          <w:szCs w:val="24"/>
        </w:rPr>
        <w:t>la restricción a la libertad de expresión en el ámbito electoral, es constitucional</w:t>
      </w:r>
      <w:r>
        <w:rPr>
          <w:rFonts w:ascii="Arial" w:eastAsia="Arial" w:hAnsi="Arial" w:cs="Arial"/>
          <w:sz w:val="24"/>
          <w:szCs w:val="24"/>
        </w:rPr>
        <w:t xml:space="preserve">. Pues dicha restricción no limita la libre circulación de crítica, ya que </w:t>
      </w:r>
      <w:r>
        <w:rPr>
          <w:rFonts w:ascii="Arial" w:eastAsia="Arial" w:hAnsi="Arial" w:cs="Arial"/>
          <w:b/>
          <w:sz w:val="24"/>
          <w:szCs w:val="24"/>
        </w:rPr>
        <w:t>incluso permite expresiones severas, vehementes, molestas o perturbadoras</w:t>
      </w:r>
      <w:r>
        <w:rPr>
          <w:rFonts w:ascii="Arial" w:eastAsia="Arial" w:hAnsi="Arial" w:cs="Arial"/>
          <w:sz w:val="24"/>
          <w:szCs w:val="24"/>
        </w:rPr>
        <w:t>.</w:t>
      </w:r>
    </w:p>
    <w:p w14:paraId="11AC5C5B" w14:textId="77777777" w:rsidR="007E61D9" w:rsidRDefault="00D65480">
      <w:pPr>
        <w:spacing w:before="240" w:after="240" w:line="360" w:lineRule="auto"/>
        <w:jc w:val="both"/>
      </w:pPr>
      <w:r>
        <w:rPr>
          <w:rFonts w:ascii="Arial" w:eastAsia="Arial" w:hAnsi="Arial" w:cs="Arial"/>
          <w:b/>
          <w:sz w:val="24"/>
          <w:szCs w:val="24"/>
        </w:rPr>
        <w:t>1.2.</w:t>
      </w:r>
      <w:r>
        <w:rPr>
          <w:sz w:val="14"/>
          <w:szCs w:val="14"/>
        </w:rPr>
        <w:t xml:space="preserve">     </w:t>
      </w:r>
      <w:r>
        <w:rPr>
          <w:rFonts w:ascii="Arial" w:eastAsia="Arial" w:hAnsi="Arial" w:cs="Arial"/>
          <w:b/>
          <w:sz w:val="24"/>
          <w:szCs w:val="24"/>
        </w:rPr>
        <w:t>Marco normativo de la libertad de expresión en las redes sociales.</w:t>
      </w:r>
    </w:p>
    <w:p w14:paraId="1C5FD951" w14:textId="77777777" w:rsidR="007E61D9" w:rsidRDefault="00D65480">
      <w:pPr>
        <w:spacing w:before="240" w:after="240" w:line="360" w:lineRule="auto"/>
        <w:jc w:val="both"/>
      </w:pPr>
      <w:r>
        <w:rPr>
          <w:rFonts w:ascii="Arial" w:eastAsia="Arial" w:hAnsi="Arial" w:cs="Arial"/>
          <w:sz w:val="24"/>
          <w:szCs w:val="24"/>
        </w:rPr>
        <w:t>Las redes sociales constituyen una herramienta útil para general la comunicación social, ya que permite a un número indefinido de personas, a fin de que puedan acceder, compartir e intercambiar información, de manera global, instantánea y a un bajo costo.</w:t>
      </w:r>
    </w:p>
    <w:p w14:paraId="2420AC21" w14:textId="77777777" w:rsidR="007E61D9" w:rsidRDefault="00D65480">
      <w:pPr>
        <w:spacing w:before="240" w:after="240" w:line="360" w:lineRule="auto"/>
        <w:jc w:val="both"/>
      </w:pPr>
      <w:r>
        <w:rPr>
          <w:rFonts w:ascii="Arial" w:eastAsia="Arial" w:hAnsi="Arial" w:cs="Arial"/>
          <w:sz w:val="24"/>
          <w:szCs w:val="24"/>
        </w:rPr>
        <w:t>Además, este medio de comunicación tiene la ventaja de que la comunicación no es unidireccional, esto es, que los usuarios pueden interactuar de diferentes maneras y con varias personas a la vez. Por otro lado, las redes sociales son el medio idóneo para que las personas ejerzan de manera plena sus derechos a la libertad de expresión, opinión, asociación y reunión.</w:t>
      </w:r>
    </w:p>
    <w:p w14:paraId="14782E34" w14:textId="77777777" w:rsidR="007E61D9" w:rsidRDefault="00D65480">
      <w:pPr>
        <w:spacing w:before="240" w:after="240" w:line="360" w:lineRule="auto"/>
        <w:jc w:val="both"/>
      </w:pPr>
      <w:r>
        <w:rPr>
          <w:rFonts w:ascii="Arial" w:eastAsia="Arial" w:hAnsi="Arial" w:cs="Arial"/>
          <w:sz w:val="24"/>
          <w:szCs w:val="24"/>
        </w:rPr>
        <w:t xml:space="preserve">Igualmente, tales medios fungen como un medio de comunicación masivo que </w:t>
      </w:r>
      <w:r>
        <w:rPr>
          <w:rFonts w:ascii="Arial" w:eastAsia="Arial" w:hAnsi="Arial" w:cs="Arial"/>
          <w:b/>
          <w:sz w:val="24"/>
          <w:szCs w:val="24"/>
        </w:rPr>
        <w:t>permite a los usuarios tener un debate amplio y robusto</w:t>
      </w:r>
      <w:r>
        <w:rPr>
          <w:rFonts w:ascii="Arial" w:eastAsia="Arial" w:hAnsi="Arial" w:cs="Arial"/>
          <w:sz w:val="24"/>
          <w:szCs w:val="24"/>
        </w:rPr>
        <w:t xml:space="preserve">, en el que los usuarios </w:t>
      </w:r>
      <w:r>
        <w:rPr>
          <w:rFonts w:ascii="Arial" w:eastAsia="Arial" w:hAnsi="Arial" w:cs="Arial"/>
          <w:b/>
          <w:sz w:val="24"/>
          <w:szCs w:val="24"/>
        </w:rPr>
        <w:t>intercambien ideas y opiniones, positivas o negativas</w:t>
      </w:r>
      <w:r>
        <w:rPr>
          <w:rFonts w:ascii="Arial" w:eastAsia="Arial" w:hAnsi="Arial" w:cs="Arial"/>
          <w:sz w:val="24"/>
          <w:szCs w:val="24"/>
        </w:rPr>
        <w:t>, de manera ágil y fluida. Por ende, las redes sociales se vuelven un vehículo de suma importancia para la democracia.</w:t>
      </w:r>
      <w:r>
        <w:t xml:space="preserve"> </w:t>
      </w:r>
    </w:p>
    <w:p w14:paraId="61914DEA" w14:textId="77777777" w:rsidR="007E61D9" w:rsidRDefault="00D65480">
      <w:pPr>
        <w:spacing w:before="240" w:line="360" w:lineRule="auto"/>
        <w:jc w:val="both"/>
        <w:rPr>
          <w:rFonts w:ascii="Arial" w:eastAsia="Arial" w:hAnsi="Arial" w:cs="Arial"/>
          <w:sz w:val="24"/>
          <w:szCs w:val="24"/>
        </w:rPr>
      </w:pPr>
      <w:r>
        <w:rPr>
          <w:rFonts w:ascii="Arial" w:eastAsia="Arial" w:hAnsi="Arial" w:cs="Arial"/>
          <w:sz w:val="24"/>
          <w:szCs w:val="24"/>
        </w:rPr>
        <w:t xml:space="preserve">De lo anterior es posible concluir que, si bien los contenidos en las redes sociales pueden ser susceptibles de constituir una infracción en materia electoral, también lo es que la </w:t>
      </w:r>
      <w:r>
        <w:rPr>
          <w:rFonts w:ascii="Arial" w:eastAsia="Arial" w:hAnsi="Arial" w:cs="Arial"/>
          <w:b/>
          <w:sz w:val="24"/>
          <w:szCs w:val="24"/>
        </w:rPr>
        <w:t>libertad de expresión a través de redes sociales goza, en principio, de una presunción de espontaneidad</w:t>
      </w:r>
      <w:r>
        <w:rPr>
          <w:rFonts w:ascii="Arial" w:eastAsia="Arial" w:hAnsi="Arial" w:cs="Arial"/>
          <w:sz w:val="24"/>
          <w:szCs w:val="24"/>
        </w:rPr>
        <w:t>, es decir, que la difusión de mensajes, videos, fotografías o cualquier elemento audiovisual cuenta con una protección amplia.</w:t>
      </w:r>
    </w:p>
    <w:p w14:paraId="1E66FFB9" w14:textId="77777777" w:rsidR="007E61D9" w:rsidRDefault="007E61D9" w:rsidP="0030651C">
      <w:pPr>
        <w:pStyle w:val="Sinespaciado"/>
        <w:rPr>
          <w:rFonts w:eastAsia="Arial"/>
        </w:rPr>
      </w:pPr>
    </w:p>
    <w:p w14:paraId="706D1D64" w14:textId="77777777" w:rsidR="007E61D9" w:rsidRDefault="00D65480">
      <w:pPr>
        <w:pBdr>
          <w:top w:val="nil"/>
          <w:left w:val="nil"/>
          <w:bottom w:val="nil"/>
          <w:right w:val="nil"/>
          <w:between w:val="nil"/>
        </w:pBdr>
        <w:tabs>
          <w:tab w:val="left" w:pos="284"/>
        </w:tabs>
        <w:spacing w:line="360" w:lineRule="auto"/>
        <w:ind w:right="36"/>
        <w:jc w:val="both"/>
        <w:rPr>
          <w:rFonts w:ascii="Arial" w:eastAsia="Arial" w:hAnsi="Arial" w:cs="Arial"/>
          <w:b/>
          <w:color w:val="000000"/>
          <w:sz w:val="24"/>
          <w:szCs w:val="24"/>
        </w:rPr>
      </w:pPr>
      <w:r>
        <w:rPr>
          <w:rFonts w:ascii="Arial" w:eastAsia="Arial" w:hAnsi="Arial" w:cs="Arial"/>
          <w:b/>
          <w:color w:val="000000"/>
          <w:sz w:val="24"/>
          <w:szCs w:val="24"/>
        </w:rPr>
        <w:t>2. Caso Concreto</w:t>
      </w:r>
    </w:p>
    <w:p w14:paraId="250D8695" w14:textId="77777777" w:rsidR="007E61D9" w:rsidRDefault="007E61D9">
      <w:pPr>
        <w:pBdr>
          <w:top w:val="nil"/>
          <w:left w:val="nil"/>
          <w:bottom w:val="nil"/>
          <w:right w:val="nil"/>
          <w:between w:val="nil"/>
        </w:pBdr>
        <w:rPr>
          <w:color w:val="000000"/>
        </w:rPr>
      </w:pPr>
    </w:p>
    <w:p w14:paraId="12F0C258" w14:textId="77777777" w:rsidR="007E61D9" w:rsidRDefault="00D65480">
      <w:pPr>
        <w:spacing w:line="360" w:lineRule="auto"/>
        <w:jc w:val="both"/>
        <w:rPr>
          <w:rFonts w:ascii="Arial" w:eastAsia="Arial" w:hAnsi="Arial" w:cs="Arial"/>
          <w:sz w:val="24"/>
          <w:szCs w:val="24"/>
        </w:rPr>
      </w:pPr>
      <w:r>
        <w:rPr>
          <w:rFonts w:ascii="Arial" w:eastAsia="Arial" w:hAnsi="Arial" w:cs="Arial"/>
          <w:sz w:val="24"/>
          <w:szCs w:val="24"/>
        </w:rPr>
        <w:t xml:space="preserve">El PAN en el contexto del proceso electoral 2021-2022 en el que se renueva a la gubernatura de Aguascalientes, presentó una queja ante el Instituto Local en contra de Nora Ruvalcaba Gámez, en su calidad de candidata por Morena, y del propio instituto político porque, a su parecer, la candidata denunciada cometió calumnia en contra del PAN y de su candidata </w:t>
      </w:r>
      <w:r>
        <w:rPr>
          <w:rFonts w:ascii="Arial" w:eastAsia="Arial" w:hAnsi="Arial" w:cs="Arial"/>
          <w:sz w:val="24"/>
          <w:szCs w:val="24"/>
        </w:rPr>
        <w:lastRenderedPageBreak/>
        <w:t xml:space="preserve">María Teresa Jiménez Esquivel, a partir de la difusión de un video difundido en los perfiles de Facebook y Twitter de la candidata denunciada, en el cual se realizaron una serie de expresiones que consistieron en la imputación de un hecho falso. </w:t>
      </w:r>
    </w:p>
    <w:p w14:paraId="395C76FF" w14:textId="77777777" w:rsidR="007E61D9" w:rsidRDefault="007E61D9" w:rsidP="0030651C">
      <w:pPr>
        <w:pStyle w:val="Sinespaciado"/>
      </w:pPr>
    </w:p>
    <w:p w14:paraId="2B4DE3FD" w14:textId="77777777" w:rsidR="007E61D9" w:rsidRDefault="00D65480">
      <w:pPr>
        <w:spacing w:line="360" w:lineRule="auto"/>
        <w:jc w:val="both"/>
        <w:rPr>
          <w:rFonts w:ascii="Arial" w:eastAsia="Arial" w:hAnsi="Arial" w:cs="Arial"/>
          <w:sz w:val="24"/>
          <w:szCs w:val="24"/>
        </w:rPr>
      </w:pPr>
      <w:r>
        <w:rPr>
          <w:rFonts w:ascii="Arial" w:eastAsia="Arial" w:hAnsi="Arial" w:cs="Arial"/>
          <w:sz w:val="24"/>
          <w:szCs w:val="24"/>
        </w:rPr>
        <w:t xml:space="preserve">Las frases que fueron cuestionadas son las siguientes: </w:t>
      </w:r>
    </w:p>
    <w:p w14:paraId="66302219" w14:textId="77777777" w:rsidR="007E61D9" w:rsidRDefault="007E61D9">
      <w:pPr>
        <w:pBdr>
          <w:top w:val="nil"/>
          <w:left w:val="nil"/>
          <w:bottom w:val="nil"/>
          <w:right w:val="nil"/>
          <w:between w:val="nil"/>
        </w:pBdr>
        <w:rPr>
          <w:color w:val="000000"/>
        </w:rPr>
      </w:pPr>
    </w:p>
    <w:p w14:paraId="5F98F3F8" w14:textId="77777777" w:rsidR="007E61D9" w:rsidRDefault="00D65480">
      <w:pPr>
        <w:tabs>
          <w:tab w:val="left" w:pos="8789"/>
          <w:tab w:val="left" w:pos="8931"/>
        </w:tabs>
        <w:spacing w:line="360" w:lineRule="auto"/>
        <w:ind w:left="709" w:right="616"/>
        <w:jc w:val="both"/>
        <w:rPr>
          <w:rFonts w:ascii="Arial" w:eastAsia="Arial" w:hAnsi="Arial" w:cs="Arial"/>
          <w:i/>
          <w:sz w:val="22"/>
          <w:szCs w:val="22"/>
        </w:rPr>
      </w:pPr>
      <w:r>
        <w:rPr>
          <w:rFonts w:ascii="Arial" w:eastAsia="Arial" w:hAnsi="Arial" w:cs="Arial"/>
          <w:i/>
          <w:sz w:val="22"/>
          <w:szCs w:val="22"/>
        </w:rPr>
        <w:t xml:space="preserve">“[…] la candidata del PRI, </w:t>
      </w:r>
      <w:r>
        <w:rPr>
          <w:rFonts w:ascii="Arial" w:eastAsia="Arial" w:hAnsi="Arial" w:cs="Arial"/>
          <w:b/>
          <w:i/>
          <w:sz w:val="22"/>
          <w:szCs w:val="22"/>
        </w:rPr>
        <w:t>tu salud y tus problemas no le importan</w:t>
      </w:r>
      <w:r>
        <w:rPr>
          <w:rFonts w:ascii="Arial" w:eastAsia="Arial" w:hAnsi="Arial" w:cs="Arial"/>
          <w:i/>
          <w:sz w:val="22"/>
          <w:szCs w:val="22"/>
        </w:rPr>
        <w:t>. […]</w:t>
      </w:r>
    </w:p>
    <w:p w14:paraId="09D45799" w14:textId="77777777" w:rsidR="007E61D9" w:rsidRDefault="00D65480">
      <w:pPr>
        <w:tabs>
          <w:tab w:val="left" w:pos="8789"/>
          <w:tab w:val="left" w:pos="8931"/>
        </w:tabs>
        <w:spacing w:line="360" w:lineRule="auto"/>
        <w:ind w:left="709" w:right="616"/>
        <w:jc w:val="both"/>
        <w:rPr>
          <w:rFonts w:ascii="Arial" w:eastAsia="Arial" w:hAnsi="Arial" w:cs="Arial"/>
          <w:i/>
          <w:sz w:val="22"/>
          <w:szCs w:val="22"/>
        </w:rPr>
      </w:pPr>
      <w:r>
        <w:rPr>
          <w:rFonts w:ascii="Arial" w:eastAsia="Arial" w:hAnsi="Arial" w:cs="Arial"/>
          <w:i/>
          <w:sz w:val="22"/>
          <w:szCs w:val="22"/>
        </w:rPr>
        <w:t xml:space="preserve">Estoy en el río San Pedro y </w:t>
      </w:r>
      <w:r>
        <w:rPr>
          <w:rFonts w:ascii="Arial" w:eastAsia="Arial" w:hAnsi="Arial" w:cs="Arial"/>
          <w:b/>
          <w:i/>
          <w:sz w:val="22"/>
          <w:szCs w:val="22"/>
        </w:rPr>
        <w:t xml:space="preserve">vean las condiciones deplorables en las que Teresa Jiménez y los </w:t>
      </w:r>
      <w:proofErr w:type="spellStart"/>
      <w:r>
        <w:rPr>
          <w:rFonts w:ascii="Arial" w:eastAsia="Arial" w:hAnsi="Arial" w:cs="Arial"/>
          <w:b/>
          <w:i/>
          <w:sz w:val="22"/>
          <w:szCs w:val="22"/>
        </w:rPr>
        <w:t>prianistas</w:t>
      </w:r>
      <w:proofErr w:type="spellEnd"/>
      <w:r>
        <w:rPr>
          <w:rFonts w:ascii="Arial" w:eastAsia="Arial" w:hAnsi="Arial" w:cs="Arial"/>
          <w:b/>
          <w:i/>
          <w:sz w:val="22"/>
          <w:szCs w:val="22"/>
        </w:rPr>
        <w:t xml:space="preserve"> dejaron </w:t>
      </w:r>
      <w:r>
        <w:rPr>
          <w:rFonts w:ascii="Arial" w:eastAsia="Arial" w:hAnsi="Arial" w:cs="Arial"/>
          <w:i/>
          <w:sz w:val="22"/>
          <w:szCs w:val="22"/>
        </w:rPr>
        <w:t>el afluente más importante del Estado. […]</w:t>
      </w:r>
    </w:p>
    <w:p w14:paraId="32314EA4" w14:textId="77777777" w:rsidR="007E61D9" w:rsidRDefault="00D65480">
      <w:pPr>
        <w:tabs>
          <w:tab w:val="left" w:pos="8789"/>
          <w:tab w:val="left" w:pos="8931"/>
        </w:tabs>
        <w:spacing w:line="360" w:lineRule="auto"/>
        <w:ind w:left="709" w:right="616"/>
        <w:jc w:val="both"/>
        <w:rPr>
          <w:rFonts w:ascii="Arial" w:eastAsia="Arial" w:hAnsi="Arial" w:cs="Arial"/>
          <w:i/>
          <w:sz w:val="22"/>
          <w:szCs w:val="22"/>
        </w:rPr>
      </w:pPr>
      <w:r>
        <w:rPr>
          <w:rFonts w:ascii="Arial" w:eastAsia="Arial" w:hAnsi="Arial" w:cs="Arial"/>
          <w:b/>
          <w:i/>
          <w:sz w:val="22"/>
          <w:szCs w:val="22"/>
        </w:rPr>
        <w:t>Teresa Jiménez nos dio agua envenenada</w:t>
      </w:r>
      <w:r>
        <w:rPr>
          <w:rFonts w:ascii="Arial" w:eastAsia="Arial" w:hAnsi="Arial" w:cs="Arial"/>
          <w:i/>
          <w:sz w:val="22"/>
          <w:szCs w:val="22"/>
        </w:rPr>
        <w:t xml:space="preserve"> y la población de Aguascalientes está sufriendo las consecuencias. […]</w:t>
      </w:r>
    </w:p>
    <w:p w14:paraId="28A2BD0D" w14:textId="77777777" w:rsidR="007E61D9" w:rsidRDefault="00D65480">
      <w:pPr>
        <w:tabs>
          <w:tab w:val="left" w:pos="8789"/>
          <w:tab w:val="left" w:pos="8931"/>
        </w:tabs>
        <w:spacing w:line="360" w:lineRule="auto"/>
        <w:ind w:left="709" w:right="616"/>
        <w:jc w:val="both"/>
        <w:rPr>
          <w:rFonts w:ascii="Arial" w:eastAsia="Arial" w:hAnsi="Arial" w:cs="Arial"/>
          <w:i/>
          <w:sz w:val="22"/>
          <w:szCs w:val="22"/>
        </w:rPr>
      </w:pPr>
      <w:r>
        <w:rPr>
          <w:rFonts w:ascii="Arial" w:eastAsia="Arial" w:hAnsi="Arial" w:cs="Arial"/>
          <w:b/>
          <w:i/>
          <w:sz w:val="22"/>
          <w:szCs w:val="22"/>
        </w:rPr>
        <w:t>Nuestra gente se está enfermando, se está muriendo.</w:t>
      </w:r>
      <w:r>
        <w:rPr>
          <w:rFonts w:ascii="Arial" w:eastAsia="Arial" w:hAnsi="Arial" w:cs="Arial"/>
          <w:i/>
          <w:sz w:val="22"/>
          <w:szCs w:val="22"/>
        </w:rPr>
        <w:t xml:space="preserve"> Y todo </w:t>
      </w:r>
      <w:r>
        <w:rPr>
          <w:rFonts w:ascii="Arial" w:eastAsia="Arial" w:hAnsi="Arial" w:cs="Arial"/>
          <w:b/>
          <w:i/>
          <w:sz w:val="22"/>
          <w:szCs w:val="22"/>
        </w:rPr>
        <w:t>por la indolencia, por la incompetencia de Teresa Jiménez,</w:t>
      </w:r>
      <w:r>
        <w:rPr>
          <w:rFonts w:ascii="Arial" w:eastAsia="Arial" w:hAnsi="Arial" w:cs="Arial"/>
          <w:i/>
          <w:sz w:val="22"/>
          <w:szCs w:val="22"/>
        </w:rPr>
        <w:t xml:space="preserve"> quien puso los intereses de VEOLIA por encima de nuestras vidas…”</w:t>
      </w:r>
    </w:p>
    <w:p w14:paraId="063B5C8A" w14:textId="77777777" w:rsidR="007E61D9" w:rsidRDefault="007E61D9">
      <w:pPr>
        <w:pBdr>
          <w:top w:val="nil"/>
          <w:left w:val="nil"/>
          <w:bottom w:val="nil"/>
          <w:right w:val="nil"/>
          <w:between w:val="nil"/>
        </w:pBdr>
        <w:rPr>
          <w:color w:val="000000"/>
        </w:rPr>
      </w:pPr>
    </w:p>
    <w:p w14:paraId="2E59D22E" w14:textId="77777777" w:rsidR="007E61D9" w:rsidRDefault="00D65480">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3. Valoración </w:t>
      </w:r>
    </w:p>
    <w:p w14:paraId="46E10374" w14:textId="77777777" w:rsidR="007E61D9" w:rsidRDefault="007E61D9">
      <w:pPr>
        <w:pBdr>
          <w:top w:val="nil"/>
          <w:left w:val="nil"/>
          <w:bottom w:val="nil"/>
          <w:right w:val="nil"/>
          <w:between w:val="nil"/>
        </w:pBdr>
        <w:rPr>
          <w:color w:val="000000"/>
        </w:rPr>
      </w:pPr>
    </w:p>
    <w:p w14:paraId="414E63B0" w14:textId="77777777" w:rsidR="007E61D9" w:rsidRDefault="00D65480">
      <w:pPr>
        <w:spacing w:line="360" w:lineRule="auto"/>
        <w:jc w:val="both"/>
        <w:rPr>
          <w:rFonts w:ascii="Arial" w:eastAsia="Arial" w:hAnsi="Arial" w:cs="Arial"/>
          <w:sz w:val="24"/>
          <w:szCs w:val="24"/>
        </w:rPr>
      </w:pPr>
      <w:r>
        <w:rPr>
          <w:rFonts w:ascii="Arial" w:eastAsia="Arial" w:hAnsi="Arial" w:cs="Arial"/>
          <w:sz w:val="24"/>
          <w:szCs w:val="24"/>
        </w:rPr>
        <w:t xml:space="preserve">Este Tribunal Electoral considera que, a partir de una análisis contextual de la expresión cuestionada, es posible advertir que efectivamente </w:t>
      </w:r>
      <w:r>
        <w:rPr>
          <w:rFonts w:ascii="Arial" w:eastAsia="Arial" w:hAnsi="Arial" w:cs="Arial"/>
          <w:b/>
          <w:sz w:val="24"/>
          <w:szCs w:val="24"/>
        </w:rPr>
        <w:t>se acreditó la infracción de calumnia,</w:t>
      </w:r>
      <w:r>
        <w:rPr>
          <w:rFonts w:ascii="Arial" w:eastAsia="Arial" w:hAnsi="Arial" w:cs="Arial"/>
          <w:sz w:val="24"/>
          <w:szCs w:val="24"/>
        </w:rPr>
        <w:t xml:space="preserve"> al estimar que tal mensaje excedió los límites permitidos por el derecho a la libertad de expresión en el contexto de un proceso comicial, pues a través de tal manifestación se le imputó de forma directa un hecho de gran relevancia y cierto grado de sensibilidad a la candidata denunciante, sin contar siquiera con algún dato probatorio que permitiera justificar tal expresión. </w:t>
      </w:r>
    </w:p>
    <w:p w14:paraId="77533C03" w14:textId="77777777" w:rsidR="007E61D9" w:rsidRDefault="007E61D9" w:rsidP="0030651C">
      <w:pPr>
        <w:pStyle w:val="Sinespaciado"/>
        <w:rPr>
          <w:rFonts w:eastAsia="Arial"/>
        </w:rPr>
      </w:pPr>
    </w:p>
    <w:p w14:paraId="4F324091" w14:textId="77777777" w:rsidR="007E61D9" w:rsidRDefault="00D65480">
      <w:pPr>
        <w:spacing w:line="360" w:lineRule="auto"/>
        <w:jc w:val="both"/>
        <w:rPr>
          <w:rFonts w:ascii="Arial" w:eastAsia="Arial" w:hAnsi="Arial" w:cs="Arial"/>
          <w:sz w:val="24"/>
          <w:szCs w:val="24"/>
        </w:rPr>
      </w:pPr>
      <w:r>
        <w:rPr>
          <w:rFonts w:ascii="Arial" w:eastAsia="Arial" w:hAnsi="Arial" w:cs="Arial"/>
          <w:sz w:val="24"/>
          <w:szCs w:val="24"/>
        </w:rPr>
        <w:t xml:space="preserve">Lo anterior es así, porque si bien es cierto que de tal contexto es posible asumir que la expresión denunciada se trata de una crítica originada por una temática de su gestión para suministrar el agua que, a su vez, supuestamente provocó resultados desastrosos en perjuicio de la ciudadanía de Aguascalientes, lo cierto es que el hecho de que la frase se hubiese emitido de forma absoluta, es decir, que no da lugar a que se trate de una opinión, y que además tal mensaje contenga un grado de sensibilidad, implica que se trate de un comentario que desinforma a la ciudadanía y que, de ninguna manera, abona al debate político. </w:t>
      </w:r>
    </w:p>
    <w:p w14:paraId="55E3CFB8" w14:textId="77777777" w:rsidR="007E61D9" w:rsidRDefault="007E61D9" w:rsidP="0030651C">
      <w:pPr>
        <w:pStyle w:val="Sinespaciado"/>
        <w:rPr>
          <w:rFonts w:eastAsia="Arial"/>
        </w:rPr>
      </w:pPr>
    </w:p>
    <w:p w14:paraId="1FA4A5E7" w14:textId="77777777" w:rsidR="007E61D9" w:rsidRDefault="00D65480">
      <w:pPr>
        <w:spacing w:line="360" w:lineRule="auto"/>
        <w:jc w:val="both"/>
        <w:rPr>
          <w:rFonts w:ascii="Arial" w:eastAsia="Arial" w:hAnsi="Arial" w:cs="Arial"/>
          <w:sz w:val="24"/>
          <w:szCs w:val="24"/>
        </w:rPr>
      </w:pPr>
      <w:r>
        <w:rPr>
          <w:rFonts w:ascii="Arial" w:eastAsia="Arial" w:hAnsi="Arial" w:cs="Arial"/>
          <w:color w:val="000000"/>
          <w:sz w:val="24"/>
          <w:szCs w:val="24"/>
        </w:rPr>
        <w:t xml:space="preserve">Lo argumentado es así, porque de acuerdo a la línea jurisprudencial emitida por la SCJN y reiterada por la Sala Superior, para analizar los hechos que posiblemente puedan constituir calumnia, es necesario estudiarlos a través de los elementos siguientes: </w:t>
      </w:r>
      <w:r>
        <w:rPr>
          <w:rFonts w:ascii="Arial" w:eastAsia="Arial" w:hAnsi="Arial" w:cs="Arial"/>
          <w:b/>
          <w:i/>
          <w:color w:val="000000"/>
          <w:sz w:val="24"/>
          <w:szCs w:val="24"/>
        </w:rPr>
        <w:t>a)</w:t>
      </w:r>
      <w:r>
        <w:rPr>
          <w:rFonts w:ascii="Arial" w:eastAsia="Arial" w:hAnsi="Arial" w:cs="Arial"/>
          <w:color w:val="000000"/>
          <w:sz w:val="24"/>
          <w:szCs w:val="24"/>
        </w:rPr>
        <w:t xml:space="preserve"> </w:t>
      </w:r>
      <w:r>
        <w:rPr>
          <w:rFonts w:ascii="Arial" w:eastAsia="Arial" w:hAnsi="Arial" w:cs="Arial"/>
          <w:b/>
          <w:i/>
          <w:color w:val="000000"/>
          <w:sz w:val="24"/>
          <w:szCs w:val="24"/>
        </w:rPr>
        <w:t>personal</w:t>
      </w:r>
      <w:r>
        <w:rPr>
          <w:rFonts w:ascii="Arial" w:eastAsia="Arial" w:hAnsi="Arial" w:cs="Arial"/>
          <w:b/>
          <w:color w:val="000000"/>
          <w:sz w:val="24"/>
          <w:szCs w:val="24"/>
        </w:rPr>
        <w:t>:</w:t>
      </w:r>
      <w:r>
        <w:rPr>
          <w:rFonts w:ascii="Arial" w:eastAsia="Arial" w:hAnsi="Arial" w:cs="Arial"/>
          <w:color w:val="000000"/>
          <w:sz w:val="24"/>
          <w:szCs w:val="24"/>
        </w:rPr>
        <w:t xml:space="preserve"> entendido como el sujeto que fue denunciado -</w:t>
      </w:r>
      <w:r>
        <w:rPr>
          <w:rFonts w:ascii="Arial" w:eastAsia="Arial" w:hAnsi="Arial" w:cs="Arial"/>
          <w:sz w:val="24"/>
          <w:szCs w:val="24"/>
        </w:rPr>
        <w:t>sólo</w:t>
      </w:r>
      <w:r>
        <w:rPr>
          <w:rFonts w:ascii="Arial" w:eastAsia="Arial" w:hAnsi="Arial" w:cs="Arial"/>
          <w:color w:val="000000"/>
          <w:sz w:val="24"/>
          <w:szCs w:val="24"/>
        </w:rPr>
        <w:t xml:space="preserve"> pueden ser sancionados por calumnia electoral los partidos políticos, coaliciones y </w:t>
      </w:r>
      <w:r>
        <w:rPr>
          <w:rFonts w:ascii="Arial" w:eastAsia="Arial" w:hAnsi="Arial" w:cs="Arial"/>
          <w:b/>
          <w:color w:val="000000"/>
          <w:sz w:val="24"/>
          <w:szCs w:val="24"/>
          <w:u w:val="single"/>
        </w:rPr>
        <w:t>candidaturas</w:t>
      </w:r>
      <w:r>
        <w:rPr>
          <w:rFonts w:ascii="Arial" w:eastAsia="Arial" w:hAnsi="Arial" w:cs="Arial"/>
          <w:color w:val="000000"/>
          <w:sz w:val="24"/>
          <w:szCs w:val="24"/>
        </w:rPr>
        <w:t xml:space="preserve">-, </w:t>
      </w:r>
      <w:r>
        <w:rPr>
          <w:rFonts w:ascii="Arial" w:eastAsia="Arial" w:hAnsi="Arial" w:cs="Arial"/>
          <w:b/>
          <w:i/>
          <w:color w:val="000000"/>
          <w:sz w:val="24"/>
          <w:szCs w:val="24"/>
        </w:rPr>
        <w:t>b)</w:t>
      </w:r>
      <w:r>
        <w:rPr>
          <w:rFonts w:ascii="Arial" w:eastAsia="Arial" w:hAnsi="Arial" w:cs="Arial"/>
          <w:color w:val="000000"/>
          <w:sz w:val="24"/>
          <w:szCs w:val="24"/>
        </w:rPr>
        <w:t xml:space="preserve"> </w:t>
      </w:r>
      <w:r>
        <w:rPr>
          <w:rFonts w:ascii="Arial" w:eastAsia="Arial" w:hAnsi="Arial" w:cs="Arial"/>
          <w:b/>
          <w:color w:val="000000"/>
          <w:sz w:val="24"/>
          <w:szCs w:val="24"/>
        </w:rPr>
        <w:t xml:space="preserve">objetivo: </w:t>
      </w:r>
      <w:r>
        <w:rPr>
          <w:rFonts w:ascii="Arial" w:eastAsia="Arial" w:hAnsi="Arial" w:cs="Arial"/>
          <w:color w:val="000000"/>
          <w:sz w:val="24"/>
          <w:szCs w:val="24"/>
        </w:rPr>
        <w:t xml:space="preserve">es decir, que exista la imputación de </w:t>
      </w:r>
      <w:r>
        <w:rPr>
          <w:rFonts w:ascii="Arial" w:eastAsia="Arial" w:hAnsi="Arial" w:cs="Arial"/>
          <w:b/>
          <w:color w:val="000000"/>
          <w:sz w:val="24"/>
          <w:szCs w:val="24"/>
          <w:u w:val="single"/>
        </w:rPr>
        <w:t>algún hecho</w:t>
      </w:r>
      <w:r>
        <w:rPr>
          <w:rFonts w:ascii="Arial" w:eastAsia="Arial" w:hAnsi="Arial" w:cs="Arial"/>
          <w:color w:val="000000"/>
          <w:sz w:val="24"/>
          <w:szCs w:val="24"/>
        </w:rPr>
        <w:t xml:space="preserve"> o delito falso que tenga un impacto en el proceso electoral y; </w:t>
      </w:r>
      <w:r>
        <w:rPr>
          <w:rFonts w:ascii="Arial" w:eastAsia="Arial" w:hAnsi="Arial" w:cs="Arial"/>
          <w:b/>
          <w:i/>
          <w:color w:val="000000"/>
          <w:sz w:val="24"/>
          <w:szCs w:val="24"/>
        </w:rPr>
        <w:t xml:space="preserve">c) </w:t>
      </w:r>
      <w:r>
        <w:rPr>
          <w:rFonts w:ascii="Arial" w:eastAsia="Arial" w:hAnsi="Arial" w:cs="Arial"/>
          <w:b/>
          <w:color w:val="000000"/>
          <w:sz w:val="24"/>
          <w:szCs w:val="24"/>
        </w:rPr>
        <w:t>subjetivo:</w:t>
      </w:r>
      <w:r>
        <w:rPr>
          <w:rFonts w:ascii="Arial" w:eastAsia="Arial" w:hAnsi="Arial" w:cs="Arial"/>
          <w:color w:val="000000"/>
          <w:sz w:val="24"/>
          <w:szCs w:val="24"/>
        </w:rPr>
        <w:t xml:space="preserve"> </w:t>
      </w:r>
      <w:r>
        <w:rPr>
          <w:rFonts w:ascii="Arial" w:eastAsia="Arial" w:hAnsi="Arial" w:cs="Arial"/>
          <w:b/>
          <w:color w:val="000000"/>
          <w:sz w:val="24"/>
          <w:szCs w:val="24"/>
          <w:u w:val="single"/>
        </w:rPr>
        <w:t>a sabiendas que el hecho</w:t>
      </w:r>
      <w:r>
        <w:rPr>
          <w:rFonts w:ascii="Arial" w:eastAsia="Arial" w:hAnsi="Arial" w:cs="Arial"/>
          <w:color w:val="000000"/>
          <w:sz w:val="24"/>
          <w:szCs w:val="24"/>
        </w:rPr>
        <w:t xml:space="preserve"> o delito </w:t>
      </w:r>
      <w:r>
        <w:rPr>
          <w:rFonts w:ascii="Arial" w:eastAsia="Arial" w:hAnsi="Arial" w:cs="Arial"/>
          <w:b/>
          <w:color w:val="000000"/>
          <w:sz w:val="24"/>
          <w:szCs w:val="24"/>
          <w:u w:val="single"/>
        </w:rPr>
        <w:t>que se imputa es falso</w:t>
      </w:r>
      <w:r>
        <w:rPr>
          <w:rFonts w:ascii="Arial" w:eastAsia="Arial" w:hAnsi="Arial" w:cs="Arial"/>
          <w:color w:val="000000"/>
          <w:sz w:val="24"/>
          <w:szCs w:val="24"/>
        </w:rPr>
        <w:t>. </w:t>
      </w:r>
    </w:p>
    <w:p w14:paraId="0A7D6384" w14:textId="77777777" w:rsidR="007E61D9" w:rsidRDefault="007E61D9" w:rsidP="0030651C">
      <w:pPr>
        <w:pStyle w:val="Sinespaciado"/>
        <w:rPr>
          <w:rFonts w:eastAsia="Arial"/>
        </w:rPr>
      </w:pPr>
    </w:p>
    <w:p w14:paraId="075F7534" w14:textId="77777777" w:rsidR="007E61D9" w:rsidRDefault="00D65480">
      <w:pPr>
        <w:spacing w:line="360" w:lineRule="auto"/>
        <w:jc w:val="both"/>
        <w:rPr>
          <w:rFonts w:ascii="Arial" w:eastAsia="Arial" w:hAnsi="Arial" w:cs="Arial"/>
          <w:sz w:val="24"/>
          <w:szCs w:val="24"/>
        </w:rPr>
      </w:pPr>
      <w:r>
        <w:rPr>
          <w:rFonts w:ascii="Arial" w:eastAsia="Arial" w:hAnsi="Arial" w:cs="Arial"/>
          <w:color w:val="000000"/>
          <w:sz w:val="24"/>
          <w:szCs w:val="24"/>
        </w:rPr>
        <w:t xml:space="preserve">Ante ello, en primer lugar, </w:t>
      </w:r>
      <w:r>
        <w:rPr>
          <w:rFonts w:ascii="Arial" w:eastAsia="Arial" w:hAnsi="Arial" w:cs="Arial"/>
          <w:b/>
          <w:i/>
          <w:color w:val="000000"/>
          <w:sz w:val="24"/>
          <w:szCs w:val="24"/>
        </w:rPr>
        <w:t>a)</w:t>
      </w:r>
      <w:r>
        <w:rPr>
          <w:rFonts w:ascii="Arial" w:eastAsia="Arial" w:hAnsi="Arial" w:cs="Arial"/>
          <w:color w:val="000000"/>
          <w:sz w:val="24"/>
          <w:szCs w:val="24"/>
        </w:rPr>
        <w:t xml:space="preserve"> </w:t>
      </w:r>
      <w:r>
        <w:rPr>
          <w:rFonts w:ascii="Arial" w:eastAsia="Arial" w:hAnsi="Arial" w:cs="Arial"/>
          <w:b/>
          <w:color w:val="000000"/>
          <w:sz w:val="24"/>
          <w:szCs w:val="24"/>
        </w:rPr>
        <w:t>el elemento personal se acredita</w:t>
      </w:r>
      <w:r>
        <w:rPr>
          <w:rFonts w:ascii="Arial" w:eastAsia="Arial" w:hAnsi="Arial" w:cs="Arial"/>
          <w:color w:val="000000"/>
          <w:sz w:val="24"/>
          <w:szCs w:val="24"/>
        </w:rPr>
        <w:t>, ya que es un hecho no controvertido que a quien se le atribuye la imputación de calumnia es a la candidata Nora Ruvalcaba Gámez, quien es postulada por Morena para el proceso electoral (2021-2022), en el que se renovará la gubernatura del estado de Aguascalientes.  </w:t>
      </w:r>
    </w:p>
    <w:p w14:paraId="742012D8" w14:textId="77777777" w:rsidR="007E61D9" w:rsidRDefault="007E61D9">
      <w:pPr>
        <w:spacing w:line="360" w:lineRule="auto"/>
        <w:jc w:val="both"/>
        <w:rPr>
          <w:rFonts w:ascii="Arial" w:eastAsia="Arial" w:hAnsi="Arial" w:cs="Arial"/>
          <w:sz w:val="24"/>
          <w:szCs w:val="24"/>
        </w:rPr>
      </w:pPr>
    </w:p>
    <w:p w14:paraId="0D7FE933" w14:textId="77777777" w:rsidR="007E61D9" w:rsidRDefault="00D65480">
      <w:pPr>
        <w:spacing w:line="360" w:lineRule="auto"/>
        <w:jc w:val="both"/>
        <w:rPr>
          <w:rFonts w:ascii="Arial" w:eastAsia="Arial" w:hAnsi="Arial" w:cs="Arial"/>
          <w:i/>
          <w:color w:val="000000"/>
          <w:sz w:val="24"/>
          <w:szCs w:val="24"/>
        </w:rPr>
      </w:pPr>
      <w:r>
        <w:rPr>
          <w:rFonts w:ascii="Arial" w:eastAsia="Arial" w:hAnsi="Arial" w:cs="Arial"/>
          <w:color w:val="000000"/>
          <w:sz w:val="24"/>
          <w:szCs w:val="24"/>
        </w:rPr>
        <w:t xml:space="preserve">En segundo término, </w:t>
      </w:r>
      <w:r>
        <w:rPr>
          <w:rFonts w:ascii="Arial" w:eastAsia="Arial" w:hAnsi="Arial" w:cs="Arial"/>
          <w:b/>
          <w:i/>
          <w:color w:val="000000"/>
          <w:sz w:val="24"/>
          <w:szCs w:val="24"/>
        </w:rPr>
        <w:t xml:space="preserve">b) </w:t>
      </w:r>
      <w:r>
        <w:rPr>
          <w:rFonts w:ascii="Arial" w:eastAsia="Arial" w:hAnsi="Arial" w:cs="Arial"/>
          <w:b/>
          <w:color w:val="000000"/>
          <w:sz w:val="24"/>
          <w:szCs w:val="24"/>
        </w:rPr>
        <w:t>el elemento objetivo también se colma</w:t>
      </w:r>
      <w:r>
        <w:rPr>
          <w:rFonts w:ascii="Arial" w:eastAsia="Arial" w:hAnsi="Arial" w:cs="Arial"/>
          <w:color w:val="000000"/>
          <w:sz w:val="24"/>
          <w:szCs w:val="24"/>
        </w:rPr>
        <w:t>, porque del contenido del video se advierte las expresiones siguientes: “</w:t>
      </w:r>
      <w:r>
        <w:rPr>
          <w:rFonts w:ascii="Arial" w:eastAsia="Arial" w:hAnsi="Arial" w:cs="Arial"/>
          <w:i/>
          <w:color w:val="000000"/>
          <w:sz w:val="24"/>
          <w:szCs w:val="24"/>
        </w:rPr>
        <w:t xml:space="preserve">Teresa Jiménez </w:t>
      </w:r>
      <w:r>
        <w:rPr>
          <w:rFonts w:ascii="Arial" w:eastAsia="Arial" w:hAnsi="Arial" w:cs="Arial"/>
          <w:b/>
          <w:i/>
          <w:color w:val="000000"/>
          <w:sz w:val="24"/>
          <w:szCs w:val="24"/>
        </w:rPr>
        <w:t>nos dio agua envenenada</w:t>
      </w:r>
      <w:r>
        <w:rPr>
          <w:rFonts w:ascii="Arial" w:eastAsia="Arial" w:hAnsi="Arial" w:cs="Arial"/>
          <w:i/>
          <w:color w:val="000000"/>
          <w:sz w:val="24"/>
          <w:szCs w:val="24"/>
        </w:rPr>
        <w:t xml:space="preserve"> y la población de Aguascalientes está sufriendo las consecuencias</w:t>
      </w:r>
      <w:r>
        <w:rPr>
          <w:rFonts w:ascii="Arial" w:eastAsia="Arial" w:hAnsi="Arial" w:cs="Arial"/>
          <w:i/>
          <w:sz w:val="24"/>
          <w:szCs w:val="24"/>
        </w:rPr>
        <w:t>”</w:t>
      </w:r>
      <w:r>
        <w:rPr>
          <w:rFonts w:ascii="Arial" w:eastAsia="Arial" w:hAnsi="Arial" w:cs="Arial"/>
          <w:i/>
          <w:color w:val="000000"/>
          <w:sz w:val="24"/>
          <w:szCs w:val="24"/>
        </w:rPr>
        <w:t xml:space="preserve"> y </w:t>
      </w:r>
      <w:r>
        <w:rPr>
          <w:rFonts w:ascii="Arial" w:eastAsia="Arial" w:hAnsi="Arial" w:cs="Arial"/>
          <w:i/>
          <w:sz w:val="24"/>
          <w:szCs w:val="24"/>
        </w:rPr>
        <w:t>“</w:t>
      </w:r>
      <w:r>
        <w:rPr>
          <w:rFonts w:ascii="Arial" w:eastAsia="Arial" w:hAnsi="Arial" w:cs="Arial"/>
          <w:b/>
          <w:i/>
          <w:color w:val="000000"/>
          <w:sz w:val="24"/>
          <w:szCs w:val="24"/>
        </w:rPr>
        <w:t>Nuestra gente se está enfermando</w:t>
      </w:r>
      <w:r>
        <w:rPr>
          <w:rFonts w:ascii="Arial" w:eastAsia="Arial" w:hAnsi="Arial" w:cs="Arial"/>
          <w:i/>
          <w:color w:val="000000"/>
          <w:sz w:val="24"/>
          <w:szCs w:val="24"/>
        </w:rPr>
        <w:t xml:space="preserve">, </w:t>
      </w:r>
      <w:r>
        <w:rPr>
          <w:rFonts w:ascii="Arial" w:eastAsia="Arial" w:hAnsi="Arial" w:cs="Arial"/>
          <w:b/>
          <w:i/>
          <w:color w:val="000000"/>
          <w:sz w:val="24"/>
          <w:szCs w:val="24"/>
        </w:rPr>
        <w:t>se está muriendo</w:t>
      </w:r>
      <w:r>
        <w:rPr>
          <w:rFonts w:ascii="Arial" w:eastAsia="Arial" w:hAnsi="Arial" w:cs="Arial"/>
          <w:i/>
          <w:color w:val="000000"/>
          <w:sz w:val="24"/>
          <w:szCs w:val="24"/>
        </w:rPr>
        <w:t xml:space="preserve">. Y todo por la indolencia, por la incompetencia de Teresa Jiménez, quien </w:t>
      </w:r>
      <w:r>
        <w:rPr>
          <w:rFonts w:ascii="Arial" w:eastAsia="Arial" w:hAnsi="Arial" w:cs="Arial"/>
          <w:i/>
          <w:sz w:val="24"/>
          <w:szCs w:val="24"/>
        </w:rPr>
        <w:t>puso</w:t>
      </w:r>
      <w:r>
        <w:rPr>
          <w:rFonts w:ascii="Arial" w:eastAsia="Arial" w:hAnsi="Arial" w:cs="Arial"/>
          <w:i/>
          <w:color w:val="000000"/>
          <w:sz w:val="24"/>
          <w:szCs w:val="24"/>
        </w:rPr>
        <w:t xml:space="preserve"> los intereses de Veolia por encima de nuestras vidas.</w:t>
      </w:r>
      <w:r>
        <w:rPr>
          <w:rFonts w:ascii="Arial" w:eastAsia="Arial" w:hAnsi="Arial" w:cs="Arial"/>
          <w:i/>
          <w:sz w:val="24"/>
          <w:szCs w:val="24"/>
        </w:rPr>
        <w:t>”</w:t>
      </w:r>
    </w:p>
    <w:p w14:paraId="7F21FF66" w14:textId="77777777" w:rsidR="007E61D9" w:rsidRDefault="007E61D9" w:rsidP="0030651C">
      <w:pPr>
        <w:pStyle w:val="Sinespaciado"/>
        <w:rPr>
          <w:rFonts w:eastAsia="Arial"/>
        </w:rPr>
      </w:pPr>
    </w:p>
    <w:p w14:paraId="564FDCE5" w14:textId="77777777" w:rsidR="007E61D9" w:rsidRDefault="00D65480">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Al respecto, es posible advertir que en el presente caso no se trata de la imputación directa de un delito, sino de </w:t>
      </w:r>
      <w:r>
        <w:rPr>
          <w:rFonts w:ascii="Arial" w:eastAsia="Arial" w:hAnsi="Arial" w:cs="Arial"/>
          <w:b/>
          <w:color w:val="000000"/>
          <w:sz w:val="24"/>
          <w:szCs w:val="24"/>
        </w:rPr>
        <w:t xml:space="preserve">la imputación de un hecho </w:t>
      </w:r>
      <w:r>
        <w:rPr>
          <w:rFonts w:ascii="Arial" w:eastAsia="Arial" w:hAnsi="Arial" w:cs="Arial"/>
          <w:color w:val="000000"/>
          <w:sz w:val="24"/>
          <w:szCs w:val="24"/>
        </w:rPr>
        <w:t xml:space="preserve">de gran magnitud atribuido a la candidata María Teresa Jiménez Esquivel, postulada por la coalición </w:t>
      </w:r>
      <w:r>
        <w:rPr>
          <w:rFonts w:ascii="Arial" w:eastAsia="Arial" w:hAnsi="Arial" w:cs="Arial"/>
          <w:sz w:val="24"/>
          <w:szCs w:val="24"/>
        </w:rPr>
        <w:t>“Va por Aguascalientes”</w:t>
      </w:r>
      <w:r>
        <w:rPr>
          <w:rFonts w:ascii="Arial" w:eastAsia="Arial" w:hAnsi="Arial" w:cs="Arial"/>
          <w:color w:val="000000"/>
          <w:sz w:val="24"/>
          <w:szCs w:val="24"/>
        </w:rPr>
        <w:t xml:space="preserve">. Para ello, debe argumentarse </w:t>
      </w:r>
      <w:proofErr w:type="gramStart"/>
      <w:r>
        <w:rPr>
          <w:rFonts w:ascii="Arial" w:eastAsia="Arial" w:hAnsi="Arial" w:cs="Arial"/>
          <w:color w:val="000000"/>
          <w:sz w:val="24"/>
          <w:szCs w:val="24"/>
        </w:rPr>
        <w:t>que</w:t>
      </w:r>
      <w:proofErr w:type="gramEnd"/>
      <w:r>
        <w:rPr>
          <w:rFonts w:ascii="Arial" w:eastAsia="Arial" w:hAnsi="Arial" w:cs="Arial"/>
          <w:color w:val="000000"/>
          <w:sz w:val="24"/>
          <w:szCs w:val="24"/>
        </w:rPr>
        <w:t xml:space="preserve"> de acuerdo al marco normativo en materia de calumnia, tal infracción exige, entre </w:t>
      </w:r>
      <w:r>
        <w:rPr>
          <w:rFonts w:ascii="Arial" w:eastAsia="Arial" w:hAnsi="Arial" w:cs="Arial"/>
          <w:sz w:val="24"/>
          <w:szCs w:val="24"/>
        </w:rPr>
        <w:t>otras</w:t>
      </w:r>
      <w:r>
        <w:rPr>
          <w:rFonts w:ascii="Arial" w:eastAsia="Arial" w:hAnsi="Arial" w:cs="Arial"/>
          <w:color w:val="000000"/>
          <w:sz w:val="24"/>
          <w:szCs w:val="24"/>
        </w:rPr>
        <w:t xml:space="preserve"> condiciones, que se impute un delito </w:t>
      </w:r>
      <w:r>
        <w:rPr>
          <w:rFonts w:ascii="Arial" w:eastAsia="Arial" w:hAnsi="Arial" w:cs="Arial"/>
          <w:b/>
          <w:color w:val="000000"/>
          <w:sz w:val="24"/>
          <w:szCs w:val="24"/>
        </w:rPr>
        <w:t>o un hecho</w:t>
      </w:r>
      <w:r>
        <w:rPr>
          <w:rFonts w:ascii="Arial" w:eastAsia="Arial" w:hAnsi="Arial" w:cs="Arial"/>
          <w:color w:val="000000"/>
          <w:sz w:val="24"/>
          <w:szCs w:val="24"/>
        </w:rPr>
        <w:t xml:space="preserve"> de </w:t>
      </w:r>
      <w:r>
        <w:rPr>
          <w:rFonts w:ascii="Arial" w:eastAsia="Arial" w:hAnsi="Arial" w:cs="Arial"/>
          <w:b/>
          <w:color w:val="000000"/>
          <w:sz w:val="24"/>
          <w:szCs w:val="24"/>
        </w:rPr>
        <w:t>forma directa</w:t>
      </w:r>
      <w:r>
        <w:rPr>
          <w:rFonts w:ascii="Arial" w:eastAsia="Arial" w:hAnsi="Arial" w:cs="Arial"/>
          <w:color w:val="000000"/>
          <w:sz w:val="24"/>
          <w:szCs w:val="24"/>
        </w:rPr>
        <w:t xml:space="preserve"> que tenga un </w:t>
      </w:r>
      <w:r>
        <w:rPr>
          <w:rFonts w:ascii="Arial" w:eastAsia="Arial" w:hAnsi="Arial" w:cs="Arial"/>
          <w:b/>
          <w:color w:val="000000"/>
          <w:sz w:val="24"/>
          <w:szCs w:val="24"/>
        </w:rPr>
        <w:t>impacto en el proceso electoral</w:t>
      </w:r>
      <w:r>
        <w:rPr>
          <w:rFonts w:ascii="Arial" w:eastAsia="Arial" w:hAnsi="Arial" w:cs="Arial"/>
          <w:color w:val="000000"/>
          <w:sz w:val="24"/>
          <w:szCs w:val="24"/>
        </w:rPr>
        <w:t>, situación que, como se comentó, s</w:t>
      </w:r>
      <w:r>
        <w:rPr>
          <w:rFonts w:ascii="Arial" w:eastAsia="Arial" w:hAnsi="Arial" w:cs="Arial"/>
          <w:sz w:val="24"/>
          <w:szCs w:val="24"/>
        </w:rPr>
        <w:t>í</w:t>
      </w:r>
      <w:r>
        <w:rPr>
          <w:rFonts w:ascii="Arial" w:eastAsia="Arial" w:hAnsi="Arial" w:cs="Arial"/>
          <w:color w:val="000000"/>
          <w:sz w:val="24"/>
          <w:szCs w:val="24"/>
        </w:rPr>
        <w:t xml:space="preserve"> sucede. </w:t>
      </w:r>
    </w:p>
    <w:p w14:paraId="50DA2C4F" w14:textId="77777777" w:rsidR="007E61D9" w:rsidRDefault="007E61D9" w:rsidP="0030651C">
      <w:pPr>
        <w:pStyle w:val="Sinespaciado"/>
        <w:rPr>
          <w:rFonts w:eastAsia="Arial"/>
        </w:rPr>
      </w:pPr>
    </w:p>
    <w:p w14:paraId="5CE2BAD9" w14:textId="77777777" w:rsidR="007E61D9" w:rsidRDefault="00D65480">
      <w:pPr>
        <w:spacing w:line="360" w:lineRule="auto"/>
        <w:jc w:val="both"/>
        <w:rPr>
          <w:rFonts w:ascii="Arial" w:eastAsia="Arial" w:hAnsi="Arial" w:cs="Arial"/>
          <w:color w:val="000000"/>
          <w:sz w:val="24"/>
          <w:szCs w:val="24"/>
        </w:rPr>
      </w:pPr>
      <w:r>
        <w:rPr>
          <w:rFonts w:ascii="Arial" w:eastAsia="Arial" w:hAnsi="Arial" w:cs="Arial"/>
          <w:color w:val="000000"/>
          <w:sz w:val="24"/>
          <w:szCs w:val="24"/>
        </w:rPr>
        <w:t>La relevancia del hecho que se la atribuye a la candidata denunciante, surge a partir de la sensibilidad que contiene su imputación, en particular, en</w:t>
      </w:r>
      <w:r>
        <w:rPr>
          <w:rFonts w:ascii="Arial" w:eastAsia="Arial" w:hAnsi="Arial" w:cs="Arial"/>
          <w:b/>
          <w:color w:val="000000"/>
          <w:sz w:val="24"/>
          <w:szCs w:val="24"/>
        </w:rPr>
        <w:t xml:space="preserve"> asumir de forma absoluta y directa</w:t>
      </w:r>
      <w:r>
        <w:rPr>
          <w:rFonts w:ascii="Arial" w:eastAsia="Arial" w:hAnsi="Arial" w:cs="Arial"/>
          <w:color w:val="000000"/>
          <w:sz w:val="24"/>
          <w:szCs w:val="24"/>
        </w:rPr>
        <w:t xml:space="preserve"> que </w:t>
      </w:r>
      <w:r>
        <w:rPr>
          <w:rFonts w:ascii="Arial" w:eastAsia="Arial" w:hAnsi="Arial" w:cs="Arial"/>
          <w:sz w:val="24"/>
          <w:szCs w:val="24"/>
        </w:rPr>
        <w:t xml:space="preserve">María </w:t>
      </w:r>
      <w:r>
        <w:rPr>
          <w:rFonts w:ascii="Arial" w:eastAsia="Arial" w:hAnsi="Arial" w:cs="Arial"/>
          <w:color w:val="000000"/>
          <w:sz w:val="24"/>
          <w:szCs w:val="24"/>
        </w:rPr>
        <w:t xml:space="preserve">Teresa Jiménez Esquivel </w:t>
      </w:r>
      <w:r>
        <w:rPr>
          <w:rFonts w:ascii="Arial" w:eastAsia="Arial" w:hAnsi="Arial" w:cs="Arial"/>
          <w:sz w:val="24"/>
          <w:szCs w:val="24"/>
        </w:rPr>
        <w:t>dio</w:t>
      </w:r>
      <w:r>
        <w:rPr>
          <w:rFonts w:ascii="Arial" w:eastAsia="Arial" w:hAnsi="Arial" w:cs="Arial"/>
          <w:color w:val="000000"/>
          <w:sz w:val="24"/>
          <w:szCs w:val="24"/>
        </w:rPr>
        <w:t xml:space="preserve"> agua envenenada a la ciudadan</w:t>
      </w:r>
      <w:r>
        <w:rPr>
          <w:rFonts w:ascii="Arial" w:eastAsia="Arial" w:hAnsi="Arial" w:cs="Arial"/>
          <w:sz w:val="24"/>
          <w:szCs w:val="24"/>
        </w:rPr>
        <w:t xml:space="preserve">ía hidrocálida </w:t>
      </w:r>
      <w:r>
        <w:rPr>
          <w:rFonts w:ascii="Arial" w:eastAsia="Arial" w:hAnsi="Arial" w:cs="Arial"/>
          <w:color w:val="000000"/>
          <w:sz w:val="24"/>
          <w:szCs w:val="24"/>
        </w:rPr>
        <w:t xml:space="preserve">y que ello está provocando la muerte de la </w:t>
      </w:r>
      <w:r>
        <w:rPr>
          <w:rFonts w:ascii="Arial" w:eastAsia="Arial" w:hAnsi="Arial" w:cs="Arial"/>
          <w:sz w:val="24"/>
          <w:szCs w:val="24"/>
        </w:rPr>
        <w:t>población</w:t>
      </w:r>
      <w:r>
        <w:rPr>
          <w:rFonts w:ascii="Arial" w:eastAsia="Arial" w:hAnsi="Arial" w:cs="Arial"/>
          <w:color w:val="000000"/>
          <w:sz w:val="24"/>
          <w:szCs w:val="24"/>
        </w:rPr>
        <w:t xml:space="preserve">, lo cual, </w:t>
      </w:r>
      <w:r>
        <w:rPr>
          <w:rFonts w:ascii="Arial" w:eastAsia="Arial" w:hAnsi="Arial" w:cs="Arial"/>
          <w:sz w:val="24"/>
          <w:szCs w:val="24"/>
        </w:rPr>
        <w:t xml:space="preserve">demuestra que </w:t>
      </w:r>
      <w:r>
        <w:rPr>
          <w:rFonts w:ascii="Arial" w:eastAsia="Arial" w:hAnsi="Arial" w:cs="Arial"/>
          <w:b/>
          <w:sz w:val="24"/>
          <w:szCs w:val="24"/>
        </w:rPr>
        <w:t xml:space="preserve">no puede tomarse como una opinión o juicio de valor </w:t>
      </w:r>
      <w:r>
        <w:rPr>
          <w:rFonts w:ascii="Arial" w:eastAsia="Arial" w:hAnsi="Arial" w:cs="Arial"/>
          <w:sz w:val="24"/>
          <w:szCs w:val="24"/>
        </w:rPr>
        <w:t xml:space="preserve">por parte de la denunciada, ya que al tratarse de una aseveración, es decir, de un hecho cierto, implica que estos puedan ser comprobados de manera objetiva, de ahí la exigencia de contar con elementos mínimos que sustenten su imputación. Además, </w:t>
      </w:r>
      <w:r>
        <w:rPr>
          <w:rFonts w:ascii="Arial" w:eastAsia="Arial" w:hAnsi="Arial" w:cs="Arial"/>
          <w:color w:val="000000"/>
          <w:sz w:val="24"/>
          <w:szCs w:val="24"/>
        </w:rPr>
        <w:t xml:space="preserve">tal expresión </w:t>
      </w:r>
      <w:r>
        <w:rPr>
          <w:rFonts w:ascii="Arial" w:eastAsia="Arial" w:hAnsi="Arial" w:cs="Arial"/>
          <w:b/>
          <w:color w:val="000000"/>
          <w:sz w:val="24"/>
          <w:szCs w:val="24"/>
        </w:rPr>
        <w:t>contiene un carácter sensible</w:t>
      </w:r>
      <w:r>
        <w:rPr>
          <w:rFonts w:ascii="Arial" w:eastAsia="Arial" w:hAnsi="Arial" w:cs="Arial"/>
          <w:color w:val="000000"/>
          <w:sz w:val="24"/>
          <w:szCs w:val="24"/>
        </w:rPr>
        <w:t xml:space="preserve"> para la ciudadanía que, de no resultar ciert</w:t>
      </w:r>
      <w:r>
        <w:rPr>
          <w:rFonts w:ascii="Arial" w:eastAsia="Arial" w:hAnsi="Arial" w:cs="Arial"/>
          <w:sz w:val="24"/>
          <w:szCs w:val="24"/>
        </w:rPr>
        <w:t>o</w:t>
      </w:r>
      <w:r>
        <w:rPr>
          <w:rFonts w:ascii="Arial" w:eastAsia="Arial" w:hAnsi="Arial" w:cs="Arial"/>
          <w:color w:val="000000"/>
          <w:sz w:val="24"/>
          <w:szCs w:val="24"/>
        </w:rPr>
        <w:t xml:space="preserve"> tal </w:t>
      </w:r>
      <w:r>
        <w:rPr>
          <w:rFonts w:ascii="Arial" w:eastAsia="Arial" w:hAnsi="Arial" w:cs="Arial"/>
          <w:sz w:val="24"/>
          <w:szCs w:val="24"/>
        </w:rPr>
        <w:t>dato</w:t>
      </w:r>
      <w:r>
        <w:rPr>
          <w:rFonts w:ascii="Arial" w:eastAsia="Arial" w:hAnsi="Arial" w:cs="Arial"/>
          <w:color w:val="000000"/>
          <w:sz w:val="24"/>
          <w:szCs w:val="24"/>
        </w:rPr>
        <w:t xml:space="preserve">, generaría una falsa percepción a </w:t>
      </w:r>
      <w:r>
        <w:rPr>
          <w:rFonts w:ascii="Arial" w:eastAsia="Arial" w:hAnsi="Arial" w:cs="Arial"/>
          <w:sz w:val="24"/>
          <w:szCs w:val="24"/>
        </w:rPr>
        <w:t>partir</w:t>
      </w:r>
      <w:r>
        <w:rPr>
          <w:rFonts w:ascii="Arial" w:eastAsia="Arial" w:hAnsi="Arial" w:cs="Arial"/>
          <w:color w:val="000000"/>
          <w:sz w:val="24"/>
          <w:szCs w:val="24"/>
        </w:rPr>
        <w:t xml:space="preserve"> de la información errónea comentada. </w:t>
      </w:r>
    </w:p>
    <w:p w14:paraId="0127031C" w14:textId="77777777" w:rsidR="007E61D9" w:rsidRDefault="007E61D9" w:rsidP="0030651C">
      <w:pPr>
        <w:pStyle w:val="Sinespaciado"/>
        <w:rPr>
          <w:rFonts w:eastAsia="Arial"/>
        </w:rPr>
      </w:pPr>
    </w:p>
    <w:p w14:paraId="50AEE857" w14:textId="7E99D3B2" w:rsidR="007E61D9" w:rsidRDefault="00D65480">
      <w:pPr>
        <w:spacing w:line="360" w:lineRule="auto"/>
        <w:jc w:val="both"/>
        <w:rPr>
          <w:rFonts w:ascii="Arial" w:eastAsia="Arial" w:hAnsi="Arial" w:cs="Arial"/>
          <w:sz w:val="24"/>
          <w:szCs w:val="24"/>
        </w:rPr>
      </w:pPr>
      <w:r>
        <w:rPr>
          <w:rFonts w:ascii="Arial" w:eastAsia="Arial" w:hAnsi="Arial" w:cs="Arial"/>
          <w:sz w:val="24"/>
          <w:szCs w:val="24"/>
        </w:rPr>
        <w:t xml:space="preserve">Lo anterior se considera así, ya que el mensaje emitido por la denunciada tiene como finalidad crear un vínculo indisoluble entre la actuación de María Teresa Jiménez Esquivel y las enfermedades y muertes de la población de Aguascalientes causadas por el suministro de agua potable, lo cual involucra a la </w:t>
      </w:r>
      <w:r>
        <w:rPr>
          <w:rFonts w:ascii="Arial" w:eastAsia="Arial" w:hAnsi="Arial" w:cs="Arial"/>
          <w:b/>
          <w:sz w:val="24"/>
          <w:szCs w:val="24"/>
        </w:rPr>
        <w:t xml:space="preserve">salud </w:t>
      </w:r>
      <w:r>
        <w:rPr>
          <w:rFonts w:ascii="Arial" w:eastAsia="Arial" w:hAnsi="Arial" w:cs="Arial"/>
          <w:sz w:val="24"/>
          <w:szCs w:val="24"/>
        </w:rPr>
        <w:t xml:space="preserve">como un tema sensible que impacta de forma directa en el ánimo del electorado -misma ciudadanía que es receptora del mensaje electoral emitido por la candidata en cuestión-, por tanto, se considera que tales afirmaciones tienen un alto impacto para la opinión pública.    </w:t>
      </w:r>
    </w:p>
    <w:p w14:paraId="6E5B46E7" w14:textId="77777777" w:rsidR="0030651C" w:rsidRDefault="0030651C" w:rsidP="0030651C">
      <w:pPr>
        <w:pStyle w:val="Sinespaciado"/>
        <w:rPr>
          <w:rFonts w:eastAsia="Arial"/>
        </w:rPr>
      </w:pPr>
    </w:p>
    <w:p w14:paraId="61144106" w14:textId="77777777" w:rsidR="007E61D9" w:rsidRDefault="00D65480">
      <w:pPr>
        <w:spacing w:line="360" w:lineRule="auto"/>
        <w:jc w:val="both"/>
        <w:rPr>
          <w:rFonts w:ascii="Arial" w:eastAsia="Arial" w:hAnsi="Arial" w:cs="Arial"/>
          <w:sz w:val="24"/>
          <w:szCs w:val="24"/>
        </w:rPr>
      </w:pPr>
      <w:r>
        <w:rPr>
          <w:rFonts w:ascii="Arial" w:eastAsia="Arial" w:hAnsi="Arial" w:cs="Arial"/>
          <w:sz w:val="24"/>
          <w:szCs w:val="24"/>
        </w:rPr>
        <w:lastRenderedPageBreak/>
        <w:t xml:space="preserve">Lo anterior no debe entenderse como una restricción a la crítica sobre las gestiones públicas de su contendiente, pues esta autoridad advierte que la candidata Nora Ruvalcaba Gámez sustenta su afirmación en que </w:t>
      </w:r>
      <w:r>
        <w:rPr>
          <w:rFonts w:ascii="Arial" w:eastAsia="Arial" w:hAnsi="Arial" w:cs="Arial"/>
          <w:i/>
          <w:sz w:val="24"/>
          <w:szCs w:val="24"/>
        </w:rPr>
        <w:t>Teresa Jiménez</w:t>
      </w:r>
      <w:r>
        <w:rPr>
          <w:rFonts w:ascii="Arial" w:eastAsia="Arial" w:hAnsi="Arial" w:cs="Arial"/>
          <w:sz w:val="24"/>
          <w:szCs w:val="24"/>
        </w:rPr>
        <w:t xml:space="preserve"> realizó una mala gestión con la empresa concesionaria de agua potable en el estado -cuestión que sí se encuentra permitida ya que abona al debate político-, sino que este órgano jurisdiccional estima que la restricción en cuestión parte de la imputación de un hecho falso en perjuicio de la denunciante, sin contar con un elemento mínimo de veracidad para sostener tal manifestación y, además, de que se involucra un tema sensible para la opinión pública y una sociedad democrática -salud pública-, con fines meramente electorales. De ahí que se estime que la candidata Nora Ruvalcaba Gámez, rebasó el límite permitido a la crítica del ejercicio público de la denunciante.</w:t>
      </w:r>
    </w:p>
    <w:p w14:paraId="610F6C4D" w14:textId="77777777" w:rsidR="007E61D9" w:rsidRDefault="007E61D9" w:rsidP="0030651C">
      <w:pPr>
        <w:pStyle w:val="Sinespaciado"/>
        <w:rPr>
          <w:rFonts w:eastAsia="Arial"/>
        </w:rPr>
      </w:pPr>
    </w:p>
    <w:p w14:paraId="27BAC01C" w14:textId="77777777" w:rsidR="007E61D9" w:rsidRDefault="00D65480">
      <w:pPr>
        <w:spacing w:line="360" w:lineRule="auto"/>
        <w:jc w:val="both"/>
        <w:rPr>
          <w:rFonts w:ascii="Arial" w:eastAsia="Arial" w:hAnsi="Arial" w:cs="Arial"/>
          <w:sz w:val="24"/>
          <w:szCs w:val="24"/>
        </w:rPr>
      </w:pPr>
      <w:r>
        <w:rPr>
          <w:rFonts w:ascii="Arial" w:eastAsia="Arial" w:hAnsi="Arial" w:cs="Arial"/>
          <w:sz w:val="24"/>
          <w:szCs w:val="24"/>
        </w:rPr>
        <w:t xml:space="preserve">Ante ello, la condicionante relativa a que la expresión denunciada hubiese tenido un </w:t>
      </w:r>
      <w:r>
        <w:rPr>
          <w:rFonts w:ascii="Arial" w:eastAsia="Arial" w:hAnsi="Arial" w:cs="Arial"/>
          <w:b/>
          <w:sz w:val="24"/>
          <w:szCs w:val="24"/>
        </w:rPr>
        <w:t>impacto en un proceso electoral</w:t>
      </w:r>
      <w:r>
        <w:rPr>
          <w:rFonts w:ascii="Arial" w:eastAsia="Arial" w:hAnsi="Arial" w:cs="Arial"/>
          <w:sz w:val="24"/>
          <w:szCs w:val="24"/>
        </w:rPr>
        <w:t xml:space="preserve">, también se actualiza porque la parte denunciada participa como candidata a la gubernatura por el partido político Morena y, por otra, la parte denunciante contiende para el mismo cargo por la coalición “Va por Aguascalientes”. Asimismo, </w:t>
      </w:r>
      <w:r>
        <w:rPr>
          <w:rFonts w:ascii="Arial" w:eastAsia="Arial" w:hAnsi="Arial" w:cs="Arial"/>
          <w:b/>
          <w:sz w:val="24"/>
          <w:szCs w:val="24"/>
        </w:rPr>
        <w:t>la expresión denunciada</w:t>
      </w:r>
      <w:r>
        <w:rPr>
          <w:rFonts w:ascii="Arial" w:eastAsia="Arial" w:hAnsi="Arial" w:cs="Arial"/>
          <w:sz w:val="24"/>
          <w:szCs w:val="24"/>
        </w:rPr>
        <w:t xml:space="preserve"> se trata de la emisión de un </w:t>
      </w:r>
      <w:r>
        <w:rPr>
          <w:rFonts w:ascii="Arial" w:eastAsia="Arial" w:hAnsi="Arial" w:cs="Arial"/>
          <w:b/>
          <w:sz w:val="24"/>
          <w:szCs w:val="24"/>
        </w:rPr>
        <w:t>mensaje de carácter electoral</w:t>
      </w:r>
      <w:r>
        <w:rPr>
          <w:rFonts w:ascii="Arial" w:eastAsia="Arial" w:hAnsi="Arial" w:cs="Arial"/>
          <w:sz w:val="24"/>
          <w:szCs w:val="24"/>
        </w:rPr>
        <w:t xml:space="preserve">, que tiene como propósito disminuir adeptos en perjuicio de la candidata postulada por la coalición en comento. </w:t>
      </w:r>
    </w:p>
    <w:p w14:paraId="4268A87F" w14:textId="77777777" w:rsidR="007E61D9" w:rsidRDefault="007E61D9" w:rsidP="0030651C">
      <w:pPr>
        <w:pStyle w:val="Sinespaciado"/>
        <w:rPr>
          <w:rFonts w:eastAsia="Arial"/>
        </w:rPr>
      </w:pPr>
    </w:p>
    <w:p w14:paraId="4414DE10" w14:textId="77777777" w:rsidR="007E61D9" w:rsidRDefault="00D65480">
      <w:pPr>
        <w:spacing w:line="360" w:lineRule="auto"/>
        <w:jc w:val="both"/>
        <w:rPr>
          <w:rFonts w:ascii="Arial" w:eastAsia="Arial" w:hAnsi="Arial" w:cs="Arial"/>
          <w:sz w:val="24"/>
          <w:szCs w:val="24"/>
        </w:rPr>
      </w:pPr>
      <w:r>
        <w:rPr>
          <w:rFonts w:ascii="Arial" w:eastAsia="Arial" w:hAnsi="Arial" w:cs="Arial"/>
          <w:sz w:val="24"/>
          <w:szCs w:val="24"/>
        </w:rPr>
        <w:t xml:space="preserve">Es decir, que la frase no se derivó de un entrevista o conversación común, sino que del contexto en el cual surgió el mensaje fue de índole de propaganda electoral </w:t>
      </w:r>
      <w:r>
        <w:rPr>
          <w:rFonts w:ascii="Arial" w:eastAsia="Arial" w:hAnsi="Arial" w:cs="Arial"/>
          <w:b/>
          <w:sz w:val="24"/>
          <w:szCs w:val="24"/>
        </w:rPr>
        <w:t>a fin de incidir en la percepción de la ciudadanía</w:t>
      </w:r>
      <w:r>
        <w:rPr>
          <w:rFonts w:ascii="Arial" w:eastAsia="Arial" w:hAnsi="Arial" w:cs="Arial"/>
          <w:sz w:val="24"/>
          <w:szCs w:val="24"/>
        </w:rPr>
        <w:t xml:space="preserve">, en cuanto a la temática del agua y las acciones u omisiones desplegadas por la denunciante, por lo cual es dable asumir que sí existió un impacto en el proceso electoral. </w:t>
      </w:r>
    </w:p>
    <w:p w14:paraId="6F97E20D" w14:textId="77777777" w:rsidR="007E61D9" w:rsidRDefault="007E61D9" w:rsidP="0030651C">
      <w:pPr>
        <w:pStyle w:val="Sinespaciado"/>
        <w:rPr>
          <w:rFonts w:eastAsia="Arial"/>
        </w:rPr>
      </w:pPr>
    </w:p>
    <w:p w14:paraId="30C80F8C" w14:textId="77777777" w:rsidR="007E61D9" w:rsidRDefault="00D65480">
      <w:pPr>
        <w:spacing w:line="360" w:lineRule="auto"/>
        <w:jc w:val="both"/>
        <w:rPr>
          <w:rFonts w:ascii="Arial" w:eastAsia="Arial" w:hAnsi="Arial" w:cs="Arial"/>
          <w:color w:val="000000"/>
          <w:sz w:val="24"/>
          <w:szCs w:val="24"/>
        </w:rPr>
      </w:pPr>
      <w:r>
        <w:rPr>
          <w:rFonts w:ascii="Arial" w:eastAsia="Arial" w:hAnsi="Arial" w:cs="Arial"/>
          <w:sz w:val="24"/>
          <w:szCs w:val="24"/>
        </w:rPr>
        <w:t xml:space="preserve">De ahí que, a criterio de esta autoridad jurisdiccional, se trató de una expresión directa sobre un hecho de gran relevancia por la naturaleza de la información que contiene, el cual se dirigió la candidata cuestionada, sin que existan mayores elementos </w:t>
      </w:r>
      <w:r>
        <w:rPr>
          <w:rFonts w:ascii="Arial" w:eastAsia="Arial" w:hAnsi="Arial" w:cs="Arial"/>
          <w:color w:val="000000"/>
          <w:sz w:val="24"/>
          <w:szCs w:val="24"/>
        </w:rPr>
        <w:t>que permitan asumir que la imputación tuvo un sentido distinto al abordado por esta autoridad en la presente resolución, tomando en cuenta que la parte denunciada no controvierte el sentido y alcance de su expresión, sino que sus planteamientos están encaminados a demostrar que se trató de una expresión permitida en el contexto del debate político. </w:t>
      </w:r>
    </w:p>
    <w:p w14:paraId="06094D66" w14:textId="77777777" w:rsidR="007E61D9" w:rsidRDefault="007E61D9" w:rsidP="0030651C">
      <w:pPr>
        <w:pStyle w:val="Sinespaciado"/>
        <w:rPr>
          <w:rFonts w:eastAsia="Arial"/>
        </w:rPr>
      </w:pPr>
    </w:p>
    <w:p w14:paraId="2DEAE5DF" w14:textId="77777777" w:rsidR="007E61D9" w:rsidRDefault="00D65480">
      <w:pPr>
        <w:spacing w:line="360" w:lineRule="auto"/>
        <w:jc w:val="both"/>
        <w:rPr>
          <w:rFonts w:ascii="Arial" w:eastAsia="Arial" w:hAnsi="Arial" w:cs="Arial"/>
          <w:sz w:val="24"/>
          <w:szCs w:val="24"/>
        </w:rPr>
      </w:pPr>
      <w:r>
        <w:rPr>
          <w:rFonts w:ascii="Arial" w:eastAsia="Arial" w:hAnsi="Arial" w:cs="Arial"/>
          <w:color w:val="000000"/>
          <w:sz w:val="24"/>
          <w:szCs w:val="24"/>
        </w:rPr>
        <w:t xml:space="preserve">Finalmente, en lo que respecta al </w:t>
      </w:r>
      <w:r>
        <w:rPr>
          <w:rFonts w:ascii="Arial" w:eastAsia="Arial" w:hAnsi="Arial" w:cs="Arial"/>
          <w:b/>
          <w:i/>
          <w:color w:val="000000"/>
          <w:sz w:val="24"/>
          <w:szCs w:val="24"/>
        </w:rPr>
        <w:t xml:space="preserve">c) </w:t>
      </w:r>
      <w:r>
        <w:rPr>
          <w:rFonts w:ascii="Arial" w:eastAsia="Arial" w:hAnsi="Arial" w:cs="Arial"/>
          <w:b/>
          <w:color w:val="000000"/>
          <w:sz w:val="24"/>
          <w:szCs w:val="24"/>
        </w:rPr>
        <w:t>elemento subjetivo</w:t>
      </w:r>
      <w:r>
        <w:rPr>
          <w:rFonts w:ascii="Arial" w:eastAsia="Arial" w:hAnsi="Arial" w:cs="Arial"/>
          <w:color w:val="000000"/>
          <w:sz w:val="24"/>
          <w:szCs w:val="24"/>
        </w:rPr>
        <w:t xml:space="preserve">, igualmente </w:t>
      </w:r>
      <w:r>
        <w:rPr>
          <w:rFonts w:ascii="Arial" w:eastAsia="Arial" w:hAnsi="Arial" w:cs="Arial"/>
          <w:b/>
          <w:color w:val="000000"/>
          <w:sz w:val="24"/>
          <w:szCs w:val="24"/>
        </w:rPr>
        <w:t>se acreditó</w:t>
      </w:r>
      <w:r>
        <w:rPr>
          <w:rFonts w:ascii="Arial" w:eastAsia="Arial" w:hAnsi="Arial" w:cs="Arial"/>
          <w:color w:val="000000"/>
          <w:sz w:val="24"/>
          <w:szCs w:val="24"/>
        </w:rPr>
        <w:t xml:space="preserve">, porque </w:t>
      </w:r>
      <w:r>
        <w:rPr>
          <w:rFonts w:ascii="Arial" w:eastAsia="Arial" w:hAnsi="Arial" w:cs="Arial"/>
          <w:b/>
          <w:color w:val="000000"/>
          <w:sz w:val="24"/>
          <w:szCs w:val="24"/>
        </w:rPr>
        <w:t>la parte denunciada omitió -por completo- ofrecer alguna prueba en la que sustentara la expresión realizada</w:t>
      </w:r>
      <w:r>
        <w:rPr>
          <w:rFonts w:ascii="Arial" w:eastAsia="Arial" w:hAnsi="Arial" w:cs="Arial"/>
          <w:color w:val="000000"/>
          <w:sz w:val="24"/>
          <w:szCs w:val="24"/>
        </w:rPr>
        <w:t xml:space="preserve">, es decir, que cuando fue </w:t>
      </w:r>
      <w:proofErr w:type="spellStart"/>
      <w:r>
        <w:rPr>
          <w:rFonts w:ascii="Arial" w:eastAsia="Arial" w:hAnsi="Arial" w:cs="Arial"/>
          <w:color w:val="000000"/>
          <w:sz w:val="24"/>
          <w:szCs w:val="24"/>
        </w:rPr>
        <w:t>emplazada</w:t>
      </w:r>
      <w:proofErr w:type="spellEnd"/>
      <w:r>
        <w:rPr>
          <w:rFonts w:ascii="Arial" w:eastAsia="Arial" w:hAnsi="Arial" w:cs="Arial"/>
          <w:color w:val="000000"/>
          <w:sz w:val="24"/>
          <w:szCs w:val="24"/>
        </w:rPr>
        <w:t xml:space="preserve"> por la autoridad administrativa y, en su momento, compareció a la audiencia para desahogar las pruebas y emitir alegatos, únicamente ofreció como medios de prueba la instrumental de actuaciones y la </w:t>
      </w:r>
      <w:proofErr w:type="spellStart"/>
      <w:r>
        <w:rPr>
          <w:rFonts w:ascii="Arial" w:eastAsia="Arial" w:hAnsi="Arial" w:cs="Arial"/>
          <w:color w:val="000000"/>
          <w:sz w:val="24"/>
          <w:szCs w:val="24"/>
        </w:rPr>
        <w:t>presuncional</w:t>
      </w:r>
      <w:proofErr w:type="spellEnd"/>
      <w:r>
        <w:rPr>
          <w:rFonts w:ascii="Arial" w:eastAsia="Arial" w:hAnsi="Arial" w:cs="Arial"/>
          <w:color w:val="000000"/>
          <w:sz w:val="24"/>
          <w:szCs w:val="24"/>
        </w:rPr>
        <w:t xml:space="preserve"> </w:t>
      </w:r>
      <w:r>
        <w:rPr>
          <w:rFonts w:ascii="Arial" w:eastAsia="Arial" w:hAnsi="Arial" w:cs="Arial"/>
          <w:color w:val="000000"/>
          <w:sz w:val="24"/>
          <w:szCs w:val="24"/>
        </w:rPr>
        <w:lastRenderedPageBreak/>
        <w:t>en su doble aspecto, legal y humana, lo cual, implica la ausencia total de material probatorio que, en su caso, hubiese motivado la emisión de la expresión denunciada. </w:t>
      </w:r>
    </w:p>
    <w:p w14:paraId="27816F1C" w14:textId="77777777" w:rsidR="007E61D9" w:rsidRDefault="007E61D9" w:rsidP="0030651C">
      <w:pPr>
        <w:pStyle w:val="Sinespaciado"/>
        <w:rPr>
          <w:rFonts w:eastAsia="Arial"/>
        </w:rPr>
      </w:pPr>
    </w:p>
    <w:p w14:paraId="2B904982" w14:textId="77777777" w:rsidR="007E61D9" w:rsidRDefault="00D65480">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En consecuencia, a criterio de esta autoridad jurisdiccional, se considera que el hecho de que la candidata denunciada calumniara un hecho con un grado alto de sensibilidad en perjuicio de la candidata postulada por la coalición </w:t>
      </w:r>
      <w:r>
        <w:rPr>
          <w:rFonts w:ascii="Arial" w:eastAsia="Arial" w:hAnsi="Arial" w:cs="Arial"/>
          <w:sz w:val="24"/>
          <w:szCs w:val="24"/>
        </w:rPr>
        <w:t>“Va por Aguascalientes”</w:t>
      </w:r>
      <w:r>
        <w:rPr>
          <w:rFonts w:ascii="Arial" w:eastAsia="Arial" w:hAnsi="Arial" w:cs="Arial"/>
          <w:color w:val="000000"/>
          <w:sz w:val="24"/>
          <w:szCs w:val="24"/>
        </w:rPr>
        <w:t xml:space="preserve">, sin contar con sustento fáctico alguno, implicó que se evidenciara una </w:t>
      </w:r>
      <w:r>
        <w:rPr>
          <w:rFonts w:ascii="Arial" w:eastAsia="Arial" w:hAnsi="Arial" w:cs="Arial"/>
          <w:b/>
          <w:color w:val="000000"/>
          <w:sz w:val="24"/>
          <w:szCs w:val="24"/>
        </w:rPr>
        <w:t>intención maliciosa de afectar</w:t>
      </w:r>
      <w:r>
        <w:rPr>
          <w:rFonts w:ascii="Arial" w:eastAsia="Arial" w:hAnsi="Arial" w:cs="Arial"/>
          <w:b/>
          <w:sz w:val="24"/>
          <w:szCs w:val="24"/>
        </w:rPr>
        <w:t xml:space="preserve"> a la parte denunciante</w:t>
      </w:r>
      <w:r>
        <w:rPr>
          <w:rFonts w:ascii="Arial" w:eastAsia="Arial" w:hAnsi="Arial" w:cs="Arial"/>
          <w:b/>
          <w:color w:val="000000"/>
          <w:sz w:val="24"/>
          <w:szCs w:val="24"/>
        </w:rPr>
        <w:t xml:space="preserve"> sin razón</w:t>
      </w:r>
      <w:r>
        <w:rPr>
          <w:rFonts w:ascii="Arial" w:eastAsia="Arial" w:hAnsi="Arial" w:cs="Arial"/>
          <w:color w:val="000000"/>
          <w:sz w:val="24"/>
          <w:szCs w:val="24"/>
        </w:rPr>
        <w:t>, es decir, que se realizó con la única intención de dañar la imagen de tal candidata,</w:t>
      </w:r>
      <w:r>
        <w:rPr>
          <w:rFonts w:ascii="Arial" w:eastAsia="Arial" w:hAnsi="Arial" w:cs="Arial"/>
          <w:b/>
          <w:color w:val="000000"/>
          <w:sz w:val="24"/>
          <w:szCs w:val="24"/>
        </w:rPr>
        <w:t xml:space="preserve"> a sabiendas de que ello era falso</w:t>
      </w:r>
      <w:r>
        <w:rPr>
          <w:rFonts w:ascii="Arial" w:eastAsia="Arial" w:hAnsi="Arial" w:cs="Arial"/>
          <w:color w:val="000000"/>
          <w:sz w:val="24"/>
          <w:szCs w:val="24"/>
        </w:rPr>
        <w:t>. </w:t>
      </w:r>
    </w:p>
    <w:p w14:paraId="5960CCE1" w14:textId="77777777" w:rsidR="007E61D9" w:rsidRDefault="007E61D9" w:rsidP="0030651C">
      <w:pPr>
        <w:pStyle w:val="Sinespaciado"/>
        <w:rPr>
          <w:rFonts w:eastAsia="Arial"/>
        </w:rPr>
      </w:pPr>
    </w:p>
    <w:p w14:paraId="71A0A69B" w14:textId="77777777" w:rsidR="007E61D9" w:rsidRDefault="00D65480">
      <w:pPr>
        <w:spacing w:line="360" w:lineRule="auto"/>
        <w:jc w:val="both"/>
        <w:rPr>
          <w:rFonts w:ascii="Arial" w:eastAsia="Arial" w:hAnsi="Arial" w:cs="Arial"/>
          <w:sz w:val="24"/>
          <w:szCs w:val="24"/>
        </w:rPr>
      </w:pPr>
      <w:r>
        <w:rPr>
          <w:rFonts w:ascii="Arial" w:eastAsia="Arial" w:hAnsi="Arial" w:cs="Arial"/>
          <w:sz w:val="24"/>
          <w:szCs w:val="24"/>
        </w:rPr>
        <w:t xml:space="preserve">Por tanto, este órgano jurisdiccional estima que tal situación no se encuentra permitida, ya que, ha sido criterio del máximo tribunal, que la difusión de propaganda política o electoral que exprese hechos falsos con el objetivo de engañar al electorado respecto de las supuestas acciones de uno de las o los contendientes, impacta gravemente en la percepción del electorado y evidencia la intención de viciar la voluntad de la ciudadanía en perjuicio de la libertad y autenticidad del sufragio. </w:t>
      </w:r>
    </w:p>
    <w:p w14:paraId="3B248477" w14:textId="77777777" w:rsidR="007E61D9" w:rsidRDefault="007E61D9" w:rsidP="0030651C">
      <w:pPr>
        <w:pStyle w:val="Sinespaciado"/>
        <w:rPr>
          <w:rFonts w:eastAsia="Arial"/>
        </w:rPr>
      </w:pPr>
    </w:p>
    <w:p w14:paraId="02FAA253" w14:textId="77777777" w:rsidR="007E61D9" w:rsidRDefault="00D65480">
      <w:pPr>
        <w:spacing w:line="360" w:lineRule="auto"/>
        <w:jc w:val="both"/>
        <w:rPr>
          <w:rFonts w:ascii="Arial" w:eastAsia="Arial" w:hAnsi="Arial" w:cs="Arial"/>
          <w:sz w:val="24"/>
          <w:szCs w:val="24"/>
        </w:rPr>
      </w:pPr>
      <w:r>
        <w:rPr>
          <w:rFonts w:ascii="Arial" w:eastAsia="Arial" w:hAnsi="Arial" w:cs="Arial"/>
          <w:sz w:val="24"/>
          <w:szCs w:val="24"/>
        </w:rPr>
        <w:t xml:space="preserve">Lo anterior, ya que el requisito de veracidad que se exige a los sujetos políticos implica una </w:t>
      </w:r>
      <w:r>
        <w:rPr>
          <w:rFonts w:ascii="Arial" w:eastAsia="Arial" w:hAnsi="Arial" w:cs="Arial"/>
          <w:b/>
          <w:sz w:val="24"/>
          <w:szCs w:val="24"/>
        </w:rPr>
        <w:t>condición mínima</w:t>
      </w:r>
      <w:r>
        <w:rPr>
          <w:rFonts w:ascii="Arial" w:eastAsia="Arial" w:hAnsi="Arial" w:cs="Arial"/>
          <w:sz w:val="24"/>
          <w:szCs w:val="24"/>
        </w:rPr>
        <w:t xml:space="preserve"> </w:t>
      </w:r>
      <w:r>
        <w:rPr>
          <w:rFonts w:ascii="Arial" w:eastAsia="Arial" w:hAnsi="Arial" w:cs="Arial"/>
          <w:b/>
          <w:sz w:val="24"/>
          <w:szCs w:val="24"/>
        </w:rPr>
        <w:t xml:space="preserve">de que la información que difundan en su propaganda electoral esté respaldada </w:t>
      </w:r>
      <w:r>
        <w:rPr>
          <w:rFonts w:ascii="Arial" w:eastAsia="Arial" w:hAnsi="Arial" w:cs="Arial"/>
          <w:sz w:val="24"/>
          <w:szCs w:val="24"/>
        </w:rPr>
        <w:t>por un ejercicio razonable de investigación y comprobación de su afirmación en la realidad, en virtud de la función que deben cumplir como entidades de interés público de garantizar el ejercicio libre e informado de la ciudadanía.</w:t>
      </w:r>
    </w:p>
    <w:p w14:paraId="6431FC81" w14:textId="77777777" w:rsidR="007E61D9" w:rsidRDefault="007E61D9" w:rsidP="0030651C">
      <w:pPr>
        <w:pStyle w:val="Sinespaciado"/>
        <w:rPr>
          <w:rFonts w:eastAsia="Arial"/>
        </w:rPr>
      </w:pPr>
    </w:p>
    <w:p w14:paraId="6CB0BD1A" w14:textId="77777777" w:rsidR="007E61D9" w:rsidRDefault="00D65480">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Asimismo, es conveniente asumir que el estándar probatorio que se exigiría en este asunto a la parte denunciante para haber realizado tal expresión, en todo caso sería menor, a diferencia de cuando se trata de la imputación de delitos, es decir, no se le exigiría alguna constancia sobre una determinación por parte de una autoridad ministerial o jurisdiccional que haga referencia al hecho atribuido. </w:t>
      </w:r>
    </w:p>
    <w:p w14:paraId="53536FED" w14:textId="77777777" w:rsidR="007E61D9" w:rsidRDefault="007E61D9" w:rsidP="0030651C">
      <w:pPr>
        <w:pStyle w:val="Sinespaciado"/>
        <w:rPr>
          <w:rFonts w:eastAsia="Arial"/>
        </w:rPr>
      </w:pPr>
    </w:p>
    <w:p w14:paraId="42F9BD13" w14:textId="77777777" w:rsidR="007E61D9" w:rsidRDefault="00D65480">
      <w:pPr>
        <w:spacing w:line="360" w:lineRule="auto"/>
        <w:jc w:val="both"/>
        <w:rPr>
          <w:rFonts w:ascii="Arial" w:eastAsia="Arial" w:hAnsi="Arial" w:cs="Arial"/>
          <w:b/>
          <w:sz w:val="24"/>
          <w:szCs w:val="24"/>
        </w:rPr>
      </w:pPr>
      <w:r>
        <w:rPr>
          <w:rFonts w:ascii="Arial" w:eastAsia="Arial" w:hAnsi="Arial" w:cs="Arial"/>
          <w:color w:val="000000"/>
          <w:sz w:val="24"/>
          <w:szCs w:val="24"/>
        </w:rPr>
        <w:t xml:space="preserve">Esto se debe a que en el presente asunto hubiese sido suficiente </w:t>
      </w:r>
      <w:r>
        <w:rPr>
          <w:rFonts w:ascii="Arial" w:eastAsia="Arial" w:hAnsi="Arial" w:cs="Arial"/>
          <w:sz w:val="24"/>
          <w:szCs w:val="24"/>
        </w:rPr>
        <w:t>que</w:t>
      </w:r>
      <w:r>
        <w:rPr>
          <w:rFonts w:ascii="Arial" w:eastAsia="Arial" w:hAnsi="Arial" w:cs="Arial"/>
          <w:color w:val="000000"/>
          <w:sz w:val="24"/>
          <w:szCs w:val="24"/>
        </w:rPr>
        <w:t xml:space="preserve"> se aportar</w:t>
      </w:r>
      <w:r>
        <w:rPr>
          <w:rFonts w:ascii="Arial" w:eastAsia="Arial" w:hAnsi="Arial" w:cs="Arial"/>
          <w:sz w:val="24"/>
          <w:szCs w:val="24"/>
        </w:rPr>
        <w:t>a</w:t>
      </w:r>
      <w:r>
        <w:rPr>
          <w:rFonts w:ascii="Arial" w:eastAsia="Arial" w:hAnsi="Arial" w:cs="Arial"/>
          <w:color w:val="000000"/>
          <w:sz w:val="24"/>
          <w:szCs w:val="24"/>
        </w:rPr>
        <w:t xml:space="preserve">n notas periodísticas o </w:t>
      </w:r>
      <w:r>
        <w:rPr>
          <w:rFonts w:ascii="Arial" w:eastAsia="Arial" w:hAnsi="Arial" w:cs="Arial"/>
          <w:sz w:val="24"/>
          <w:szCs w:val="24"/>
        </w:rPr>
        <w:t>estudios de investigación al respecto</w:t>
      </w:r>
      <w:r>
        <w:rPr>
          <w:rFonts w:ascii="Arial" w:eastAsia="Arial" w:hAnsi="Arial" w:cs="Arial"/>
          <w:color w:val="000000"/>
          <w:sz w:val="24"/>
          <w:szCs w:val="24"/>
        </w:rPr>
        <w:t xml:space="preserve">, no obstante, como se adelantó, la parte cuestionada omitió aportar sustento probatorio que le permitiera justificar tal imputación. </w:t>
      </w:r>
      <w:r>
        <w:rPr>
          <w:rFonts w:ascii="Arial" w:eastAsia="Arial" w:hAnsi="Arial" w:cs="Arial"/>
          <w:sz w:val="24"/>
          <w:szCs w:val="24"/>
        </w:rPr>
        <w:t>Así que el hecho de no actuar con mayor diligencia y cuidado para verificar la expresión cuestionada que, a su vez, tiene un carácter sensible tanto para la sociedad como para las y los electores, generó una afectación de orden público.</w:t>
      </w:r>
    </w:p>
    <w:p w14:paraId="01D763EA" w14:textId="77777777" w:rsidR="007E61D9" w:rsidRDefault="007E61D9" w:rsidP="0030651C">
      <w:pPr>
        <w:pStyle w:val="Sinespaciado"/>
        <w:rPr>
          <w:rFonts w:eastAsia="Arial"/>
        </w:rPr>
      </w:pPr>
    </w:p>
    <w:p w14:paraId="3F20AB99" w14:textId="77777777" w:rsidR="007E61D9" w:rsidRDefault="00D65480">
      <w:pPr>
        <w:spacing w:line="360" w:lineRule="auto"/>
        <w:jc w:val="both"/>
        <w:rPr>
          <w:rFonts w:ascii="Arial" w:eastAsia="Arial" w:hAnsi="Arial" w:cs="Arial"/>
          <w:sz w:val="24"/>
          <w:szCs w:val="24"/>
        </w:rPr>
      </w:pPr>
      <w:r>
        <w:rPr>
          <w:rFonts w:ascii="Arial" w:eastAsia="Arial" w:hAnsi="Arial" w:cs="Arial"/>
          <w:sz w:val="24"/>
          <w:szCs w:val="24"/>
        </w:rPr>
        <w:t xml:space="preserve">Dicho en otras palabras, ante la gravedad de las acusaciones, la candidata denunciada tenía </w:t>
      </w:r>
      <w:r>
        <w:rPr>
          <w:rFonts w:ascii="Arial" w:eastAsia="Arial" w:hAnsi="Arial" w:cs="Arial"/>
          <w:b/>
          <w:sz w:val="24"/>
          <w:szCs w:val="24"/>
        </w:rPr>
        <w:t>el deber de actuar con un mayor grado de diligencia</w:t>
      </w:r>
      <w:r>
        <w:rPr>
          <w:rFonts w:ascii="Arial" w:eastAsia="Arial" w:hAnsi="Arial" w:cs="Arial"/>
          <w:sz w:val="24"/>
          <w:szCs w:val="24"/>
        </w:rPr>
        <w:t xml:space="preserve"> en cuanto a las afirmaciones o expresiones que realizó, a fin considerar el posible impacto que tales expresiones pudiesen tener en el electorado. </w:t>
      </w:r>
    </w:p>
    <w:p w14:paraId="6363F123" w14:textId="77777777" w:rsidR="007E61D9" w:rsidRDefault="007E61D9" w:rsidP="0030651C">
      <w:pPr>
        <w:pStyle w:val="Sinespaciado"/>
        <w:rPr>
          <w:rFonts w:eastAsia="Arial"/>
        </w:rPr>
      </w:pPr>
    </w:p>
    <w:p w14:paraId="0C26B36B" w14:textId="77777777" w:rsidR="007E61D9" w:rsidRDefault="00D65480">
      <w:pPr>
        <w:spacing w:line="360" w:lineRule="auto"/>
        <w:jc w:val="both"/>
        <w:rPr>
          <w:rFonts w:ascii="Arial" w:eastAsia="Arial" w:hAnsi="Arial" w:cs="Arial"/>
          <w:sz w:val="24"/>
          <w:szCs w:val="24"/>
        </w:rPr>
      </w:pPr>
      <w:r>
        <w:rPr>
          <w:rFonts w:ascii="Arial" w:eastAsia="Arial" w:hAnsi="Arial" w:cs="Arial"/>
          <w:sz w:val="24"/>
          <w:szCs w:val="24"/>
        </w:rPr>
        <w:t xml:space="preserve">Ello surgió a partir de que la candidata denunciada difundió </w:t>
      </w:r>
      <w:r>
        <w:rPr>
          <w:rFonts w:ascii="Arial" w:eastAsia="Arial" w:hAnsi="Arial" w:cs="Arial"/>
          <w:b/>
          <w:sz w:val="24"/>
          <w:szCs w:val="24"/>
        </w:rPr>
        <w:t>información inexacta</w:t>
      </w:r>
      <w:r>
        <w:rPr>
          <w:rFonts w:ascii="Arial" w:eastAsia="Arial" w:hAnsi="Arial" w:cs="Arial"/>
          <w:sz w:val="24"/>
          <w:szCs w:val="24"/>
        </w:rPr>
        <w:t xml:space="preserve"> con el propósito de imputar a la candidata de la coalición, la comisión de un hecho grave para la percepción de la ciudadanía con el ánimo de </w:t>
      </w:r>
      <w:r>
        <w:rPr>
          <w:rFonts w:ascii="Arial" w:eastAsia="Arial" w:hAnsi="Arial" w:cs="Arial"/>
          <w:b/>
          <w:sz w:val="24"/>
          <w:szCs w:val="24"/>
        </w:rPr>
        <w:t>causar un daño a su imagen frente al electorado</w:t>
      </w:r>
      <w:r>
        <w:rPr>
          <w:rFonts w:ascii="Arial" w:eastAsia="Arial" w:hAnsi="Arial" w:cs="Arial"/>
          <w:sz w:val="24"/>
          <w:szCs w:val="24"/>
        </w:rPr>
        <w:t xml:space="preserve"> y, como consecuencia, influir en las preferencias electorales, lo que demuestra que se </w:t>
      </w:r>
      <w:r>
        <w:rPr>
          <w:rFonts w:ascii="Arial" w:eastAsia="Arial" w:hAnsi="Arial" w:cs="Arial"/>
          <w:b/>
          <w:sz w:val="24"/>
          <w:szCs w:val="24"/>
        </w:rPr>
        <w:t>realizó con</w:t>
      </w:r>
      <w:r>
        <w:rPr>
          <w:rFonts w:ascii="Arial" w:eastAsia="Arial" w:hAnsi="Arial" w:cs="Arial"/>
          <w:sz w:val="24"/>
          <w:szCs w:val="24"/>
        </w:rPr>
        <w:t xml:space="preserve"> cierta </w:t>
      </w:r>
      <w:r>
        <w:rPr>
          <w:rFonts w:ascii="Arial" w:eastAsia="Arial" w:hAnsi="Arial" w:cs="Arial"/>
          <w:b/>
          <w:sz w:val="24"/>
          <w:szCs w:val="24"/>
        </w:rPr>
        <w:t>despreocupación</w:t>
      </w:r>
      <w:r>
        <w:rPr>
          <w:rFonts w:ascii="Arial" w:eastAsia="Arial" w:hAnsi="Arial" w:cs="Arial"/>
          <w:sz w:val="24"/>
          <w:szCs w:val="24"/>
        </w:rPr>
        <w:t>.</w:t>
      </w:r>
    </w:p>
    <w:p w14:paraId="43BDD255" w14:textId="77777777" w:rsidR="007E61D9" w:rsidRDefault="007E61D9">
      <w:pPr>
        <w:pBdr>
          <w:top w:val="nil"/>
          <w:left w:val="nil"/>
          <w:bottom w:val="nil"/>
          <w:right w:val="nil"/>
          <w:between w:val="nil"/>
        </w:pBdr>
        <w:jc w:val="both"/>
        <w:rPr>
          <w:rFonts w:ascii="Arial" w:eastAsia="Arial" w:hAnsi="Arial" w:cs="Arial"/>
          <w:color w:val="000000"/>
          <w:sz w:val="24"/>
          <w:szCs w:val="24"/>
        </w:rPr>
      </w:pPr>
    </w:p>
    <w:p w14:paraId="643AE523" w14:textId="77777777" w:rsidR="007E61D9" w:rsidRDefault="00D65480">
      <w:pPr>
        <w:spacing w:line="360" w:lineRule="auto"/>
        <w:jc w:val="both"/>
        <w:rPr>
          <w:rFonts w:ascii="Arial" w:eastAsia="Arial" w:hAnsi="Arial" w:cs="Arial"/>
          <w:sz w:val="24"/>
          <w:szCs w:val="24"/>
        </w:rPr>
      </w:pPr>
      <w:r>
        <w:rPr>
          <w:rFonts w:ascii="Arial" w:eastAsia="Arial" w:hAnsi="Arial" w:cs="Arial"/>
          <w:sz w:val="24"/>
          <w:szCs w:val="24"/>
        </w:rPr>
        <w:t xml:space="preserve">Lo anterior fue así, porque si bien la SCJN sostiene que en el marco del debate político las expresiones dirigidas a figuras públicas se encuentran protegidas por el derecho a la libertad de expresión y, por tanto, revisten una especial protección, no obstante, también es que </w:t>
      </w:r>
      <w:r>
        <w:rPr>
          <w:rFonts w:ascii="Arial" w:eastAsia="Arial" w:hAnsi="Arial" w:cs="Arial"/>
          <w:b/>
          <w:sz w:val="24"/>
          <w:szCs w:val="24"/>
        </w:rPr>
        <w:t>tal libertad no es absoluta ni ilimitada</w:t>
      </w:r>
      <w:r>
        <w:rPr>
          <w:rFonts w:ascii="Arial" w:eastAsia="Arial" w:hAnsi="Arial" w:cs="Arial"/>
          <w:sz w:val="24"/>
          <w:szCs w:val="24"/>
        </w:rPr>
        <w:t xml:space="preserve">, pues el honor y la reputación de quienes ostenten alguna candidatura son bienes jurídicos que debe protegerse cuando sean objeto de </w:t>
      </w:r>
      <w:r>
        <w:rPr>
          <w:rFonts w:ascii="Arial" w:eastAsia="Arial" w:hAnsi="Arial" w:cs="Arial"/>
          <w:b/>
          <w:sz w:val="24"/>
          <w:szCs w:val="24"/>
        </w:rPr>
        <w:t>ataques injustificados</w:t>
      </w:r>
      <w:r>
        <w:rPr>
          <w:rFonts w:ascii="Arial" w:eastAsia="Arial" w:hAnsi="Arial" w:cs="Arial"/>
          <w:sz w:val="24"/>
          <w:szCs w:val="24"/>
        </w:rPr>
        <w:t>, a través de mecanismos idóneos que no generen una inhibición o autocensura dentro de la contienda, ya que la imagen y reputación de las y los candidatos en el contexto de un proceso electoral es de suma relevancia para incidir en la perspectiva de las y los electores. </w:t>
      </w:r>
    </w:p>
    <w:p w14:paraId="42755CE3" w14:textId="77777777" w:rsidR="007E61D9" w:rsidRDefault="007E61D9" w:rsidP="00000B6B">
      <w:pPr>
        <w:pStyle w:val="Sinespaciado"/>
        <w:rPr>
          <w:rFonts w:eastAsia="Arial"/>
        </w:rPr>
      </w:pPr>
    </w:p>
    <w:p w14:paraId="2B793CE5" w14:textId="77777777" w:rsidR="007E61D9" w:rsidRDefault="00D65480">
      <w:pPr>
        <w:spacing w:line="360" w:lineRule="auto"/>
        <w:jc w:val="both"/>
        <w:rPr>
          <w:rFonts w:ascii="Arial" w:eastAsia="Arial" w:hAnsi="Arial" w:cs="Arial"/>
          <w:sz w:val="24"/>
          <w:szCs w:val="24"/>
        </w:rPr>
      </w:pPr>
      <w:r>
        <w:rPr>
          <w:rFonts w:ascii="Arial" w:eastAsia="Arial" w:hAnsi="Arial" w:cs="Arial"/>
          <w:sz w:val="24"/>
          <w:szCs w:val="24"/>
        </w:rPr>
        <w:t xml:space="preserve">Por su parte, la Sala Superior sostuvo que cuando se realice </w:t>
      </w:r>
      <w:r>
        <w:rPr>
          <w:rFonts w:ascii="Arial" w:eastAsia="Arial" w:hAnsi="Arial" w:cs="Arial"/>
          <w:b/>
          <w:sz w:val="24"/>
          <w:szCs w:val="24"/>
        </w:rPr>
        <w:t>un análisis de ponderación</w:t>
      </w:r>
      <w:r>
        <w:rPr>
          <w:rFonts w:ascii="Arial" w:eastAsia="Arial" w:hAnsi="Arial" w:cs="Arial"/>
          <w:sz w:val="24"/>
          <w:szCs w:val="24"/>
        </w:rPr>
        <w:t xml:space="preserve"> entre la </w:t>
      </w:r>
      <w:r>
        <w:rPr>
          <w:rFonts w:ascii="Arial" w:eastAsia="Arial" w:hAnsi="Arial" w:cs="Arial"/>
          <w:b/>
          <w:sz w:val="24"/>
          <w:szCs w:val="24"/>
        </w:rPr>
        <w:t>libertad de expresión</w:t>
      </w:r>
      <w:r>
        <w:rPr>
          <w:rFonts w:ascii="Arial" w:eastAsia="Arial" w:hAnsi="Arial" w:cs="Arial"/>
          <w:sz w:val="24"/>
          <w:szCs w:val="24"/>
        </w:rPr>
        <w:t xml:space="preserve"> en el debate político y el </w:t>
      </w:r>
      <w:r>
        <w:rPr>
          <w:rFonts w:ascii="Arial" w:eastAsia="Arial" w:hAnsi="Arial" w:cs="Arial"/>
          <w:b/>
          <w:sz w:val="24"/>
          <w:szCs w:val="24"/>
        </w:rPr>
        <w:t>derecho a la honra y buena reputación</w:t>
      </w:r>
      <w:r>
        <w:rPr>
          <w:rFonts w:ascii="Arial" w:eastAsia="Arial" w:hAnsi="Arial" w:cs="Arial"/>
          <w:sz w:val="24"/>
          <w:szCs w:val="24"/>
        </w:rPr>
        <w:t xml:space="preserve"> de las y los candidatos, debe resolverse en favor del bien tutelado en la norma constitucional que prohíbe la propaganda política o electoral de carácter calumnioso.</w:t>
      </w:r>
      <w:r>
        <w:rPr>
          <w:rFonts w:ascii="Arial" w:eastAsia="Arial" w:hAnsi="Arial" w:cs="Arial"/>
          <w:sz w:val="24"/>
          <w:szCs w:val="24"/>
          <w:vertAlign w:val="superscript"/>
        </w:rPr>
        <w:footnoteReference w:id="13"/>
      </w:r>
      <w:r>
        <w:rPr>
          <w:rFonts w:ascii="Arial" w:eastAsia="Arial" w:hAnsi="Arial" w:cs="Arial"/>
          <w:sz w:val="24"/>
          <w:szCs w:val="24"/>
        </w:rPr>
        <w:t xml:space="preserve"> Esto se generó, pues, como ya se comentó, en respuesta a las expresiones denunciadas, que </w:t>
      </w:r>
      <w:r>
        <w:rPr>
          <w:rFonts w:ascii="Arial" w:eastAsia="Arial" w:hAnsi="Arial" w:cs="Arial"/>
          <w:b/>
          <w:sz w:val="24"/>
          <w:szCs w:val="24"/>
        </w:rPr>
        <w:t xml:space="preserve">imputan sin fundamento </w:t>
      </w:r>
      <w:r>
        <w:rPr>
          <w:rFonts w:ascii="Arial" w:eastAsia="Arial" w:hAnsi="Arial" w:cs="Arial"/>
          <w:sz w:val="24"/>
          <w:szCs w:val="24"/>
        </w:rPr>
        <w:t xml:space="preserve">un </w:t>
      </w:r>
      <w:r>
        <w:rPr>
          <w:rFonts w:ascii="Arial" w:eastAsia="Arial" w:hAnsi="Arial" w:cs="Arial"/>
          <w:b/>
          <w:sz w:val="24"/>
          <w:szCs w:val="24"/>
        </w:rPr>
        <w:t>hecho de alto impacto social</w:t>
      </w:r>
      <w:r>
        <w:rPr>
          <w:rFonts w:ascii="Arial" w:eastAsia="Arial" w:hAnsi="Arial" w:cs="Arial"/>
          <w:sz w:val="24"/>
          <w:szCs w:val="24"/>
        </w:rPr>
        <w:t xml:space="preserve">, que </w:t>
      </w:r>
      <w:r>
        <w:rPr>
          <w:rFonts w:ascii="Arial" w:eastAsia="Arial" w:hAnsi="Arial" w:cs="Arial"/>
          <w:b/>
          <w:sz w:val="24"/>
          <w:szCs w:val="24"/>
        </w:rPr>
        <w:t>afectó tales prerrogativas</w:t>
      </w:r>
      <w:r>
        <w:rPr>
          <w:rFonts w:ascii="Arial" w:eastAsia="Arial" w:hAnsi="Arial" w:cs="Arial"/>
          <w:sz w:val="24"/>
          <w:szCs w:val="24"/>
        </w:rPr>
        <w:t xml:space="preserve"> y, en consecuencia, la </w:t>
      </w:r>
      <w:r>
        <w:rPr>
          <w:rFonts w:ascii="Arial" w:eastAsia="Arial" w:hAnsi="Arial" w:cs="Arial"/>
          <w:b/>
          <w:sz w:val="24"/>
          <w:szCs w:val="24"/>
        </w:rPr>
        <w:t>percepción pública del electorado</w:t>
      </w:r>
      <w:r>
        <w:rPr>
          <w:rFonts w:ascii="Arial" w:eastAsia="Arial" w:hAnsi="Arial" w:cs="Arial"/>
          <w:sz w:val="24"/>
          <w:szCs w:val="24"/>
        </w:rPr>
        <w:t xml:space="preserve">. </w:t>
      </w:r>
    </w:p>
    <w:p w14:paraId="6521DB28" w14:textId="77777777" w:rsidR="007E61D9" w:rsidRDefault="007E61D9" w:rsidP="0030651C">
      <w:pPr>
        <w:pStyle w:val="Sinespaciado"/>
        <w:rPr>
          <w:rFonts w:eastAsia="Arial"/>
        </w:rPr>
      </w:pPr>
    </w:p>
    <w:p w14:paraId="5EE16FB0" w14:textId="77777777" w:rsidR="007E61D9" w:rsidRDefault="00D65480">
      <w:pPr>
        <w:spacing w:line="360" w:lineRule="auto"/>
        <w:jc w:val="both"/>
        <w:rPr>
          <w:rFonts w:ascii="Arial" w:eastAsia="Arial" w:hAnsi="Arial" w:cs="Arial"/>
          <w:sz w:val="24"/>
          <w:szCs w:val="24"/>
        </w:rPr>
      </w:pPr>
      <w:r>
        <w:rPr>
          <w:rFonts w:ascii="Arial" w:eastAsia="Arial" w:hAnsi="Arial" w:cs="Arial"/>
          <w:sz w:val="24"/>
          <w:szCs w:val="24"/>
        </w:rPr>
        <w:t>Además, tal prohibición también surge ante la necesidad de que la ciudadanía cuente con información y elementos veraces respecto del actuar de las candidaturas contendientes, ya que ello permite que el electorado sea capaz de deliberar activa y abiertamente sobre los asuntos de interés público y, por tanto, pueda emitir su voto de manera libre e informada. Al respecto, la Sala Superior ha sostenido que, si bien no puede condicionarse a las y los actores políticos a que toda la información que difundan sea veraz, lo cierto es que las autoridades electorales pueden adoptar medidas sancionatorias respecto de la información que se alegue falsa o carente de sustento y que haya sido difundida con la finalidad de impactar en la contienda electoral, con el objetivo de privilegiar el derecho a la información de la ciudadanía.</w:t>
      </w:r>
      <w:r>
        <w:rPr>
          <w:rFonts w:ascii="Arial" w:eastAsia="Arial" w:hAnsi="Arial" w:cs="Arial"/>
          <w:sz w:val="24"/>
          <w:szCs w:val="24"/>
          <w:vertAlign w:val="superscript"/>
        </w:rPr>
        <w:footnoteReference w:id="14"/>
      </w:r>
      <w:r>
        <w:rPr>
          <w:rFonts w:ascii="Arial" w:eastAsia="Arial" w:hAnsi="Arial" w:cs="Arial"/>
          <w:sz w:val="24"/>
          <w:szCs w:val="24"/>
        </w:rPr>
        <w:t xml:space="preserve"> </w:t>
      </w:r>
    </w:p>
    <w:p w14:paraId="09868AD5" w14:textId="77777777" w:rsidR="007E61D9" w:rsidRDefault="007E61D9" w:rsidP="0030651C">
      <w:pPr>
        <w:pStyle w:val="Sinespaciado"/>
        <w:rPr>
          <w:rFonts w:eastAsia="Arial"/>
        </w:rPr>
      </w:pPr>
    </w:p>
    <w:p w14:paraId="0988C355" w14:textId="77777777" w:rsidR="007E61D9" w:rsidRDefault="00D65480">
      <w:pPr>
        <w:spacing w:line="360" w:lineRule="auto"/>
        <w:jc w:val="both"/>
        <w:rPr>
          <w:rFonts w:ascii="Arial" w:eastAsia="Arial" w:hAnsi="Arial" w:cs="Arial"/>
          <w:sz w:val="24"/>
          <w:szCs w:val="24"/>
        </w:rPr>
      </w:pPr>
      <w:r>
        <w:rPr>
          <w:rFonts w:ascii="Arial" w:eastAsia="Arial" w:hAnsi="Arial" w:cs="Arial"/>
          <w:color w:val="000000"/>
          <w:sz w:val="24"/>
          <w:szCs w:val="24"/>
        </w:rPr>
        <w:t xml:space="preserve">Por lo cual, es necesario considerar que, ante un análisis de ponderación entre </w:t>
      </w:r>
      <w:r>
        <w:rPr>
          <w:rFonts w:ascii="Arial" w:eastAsia="Arial" w:hAnsi="Arial" w:cs="Arial"/>
          <w:sz w:val="24"/>
          <w:szCs w:val="24"/>
        </w:rPr>
        <w:t xml:space="preserve">los </w:t>
      </w:r>
      <w:r>
        <w:rPr>
          <w:rFonts w:ascii="Arial" w:eastAsia="Arial" w:hAnsi="Arial" w:cs="Arial"/>
          <w:color w:val="000000"/>
          <w:sz w:val="24"/>
          <w:szCs w:val="24"/>
        </w:rPr>
        <w:t xml:space="preserve">derechos a la libertad de expresión en el debate político y el derecho a la buena imagen y reputación </w:t>
      </w:r>
      <w:r>
        <w:rPr>
          <w:rFonts w:ascii="Arial" w:eastAsia="Arial" w:hAnsi="Arial" w:cs="Arial"/>
          <w:color w:val="000000"/>
          <w:sz w:val="24"/>
          <w:szCs w:val="24"/>
        </w:rPr>
        <w:lastRenderedPageBreak/>
        <w:t>de los institutos políticos frente a la ciudadanía y, a s</w:t>
      </w:r>
      <w:r>
        <w:rPr>
          <w:rFonts w:ascii="Arial" w:eastAsia="Arial" w:hAnsi="Arial" w:cs="Arial"/>
          <w:sz w:val="24"/>
          <w:szCs w:val="24"/>
        </w:rPr>
        <w:t>u vez, del derecho constitucional del electorado a emitir un voto libre e informado</w:t>
      </w:r>
      <w:r>
        <w:rPr>
          <w:rFonts w:ascii="Arial" w:eastAsia="Arial" w:hAnsi="Arial" w:cs="Arial"/>
          <w:color w:val="000000"/>
          <w:sz w:val="24"/>
          <w:szCs w:val="24"/>
        </w:rPr>
        <w:t xml:space="preserve">, </w:t>
      </w:r>
      <w:r>
        <w:rPr>
          <w:rFonts w:ascii="Arial" w:eastAsia="Arial" w:hAnsi="Arial" w:cs="Arial"/>
          <w:b/>
          <w:color w:val="000000"/>
          <w:sz w:val="24"/>
          <w:szCs w:val="24"/>
        </w:rPr>
        <w:t xml:space="preserve">debe resolverse en favor de </w:t>
      </w:r>
      <w:r>
        <w:rPr>
          <w:rFonts w:ascii="Arial" w:eastAsia="Arial" w:hAnsi="Arial" w:cs="Arial"/>
          <w:b/>
          <w:sz w:val="24"/>
          <w:szCs w:val="24"/>
        </w:rPr>
        <w:t>estos últimos</w:t>
      </w:r>
      <w:r>
        <w:rPr>
          <w:rFonts w:ascii="Arial" w:eastAsia="Arial" w:hAnsi="Arial" w:cs="Arial"/>
          <w:color w:val="000000"/>
          <w:sz w:val="24"/>
          <w:szCs w:val="24"/>
        </w:rPr>
        <w:t xml:space="preserve">, </w:t>
      </w:r>
      <w:proofErr w:type="gramStart"/>
      <w:r>
        <w:rPr>
          <w:rFonts w:ascii="Arial" w:eastAsia="Arial" w:hAnsi="Arial" w:cs="Arial"/>
          <w:sz w:val="24"/>
          <w:szCs w:val="24"/>
        </w:rPr>
        <w:t>y</w:t>
      </w:r>
      <w:proofErr w:type="gramEnd"/>
      <w:r>
        <w:rPr>
          <w:rFonts w:ascii="Arial" w:eastAsia="Arial" w:hAnsi="Arial" w:cs="Arial"/>
          <w:sz w:val="24"/>
          <w:szCs w:val="24"/>
        </w:rPr>
        <w:t xml:space="preserve"> por tanto, </w:t>
      </w:r>
      <w:r>
        <w:rPr>
          <w:rFonts w:ascii="Arial" w:eastAsia="Arial" w:hAnsi="Arial" w:cs="Arial"/>
          <w:color w:val="000000"/>
          <w:sz w:val="24"/>
          <w:szCs w:val="24"/>
        </w:rPr>
        <w:t>proh</w:t>
      </w:r>
      <w:r>
        <w:rPr>
          <w:rFonts w:ascii="Arial" w:eastAsia="Arial" w:hAnsi="Arial" w:cs="Arial"/>
          <w:sz w:val="24"/>
          <w:szCs w:val="24"/>
        </w:rPr>
        <w:t>ibir</w:t>
      </w:r>
      <w:r>
        <w:rPr>
          <w:rFonts w:ascii="Arial" w:eastAsia="Arial" w:hAnsi="Arial" w:cs="Arial"/>
          <w:color w:val="000000"/>
          <w:sz w:val="24"/>
          <w:szCs w:val="24"/>
        </w:rPr>
        <w:t xml:space="preserve"> la difusión de propaganda política o electoral de carácter calumnioso</w:t>
      </w:r>
      <w:r>
        <w:rPr>
          <w:rFonts w:ascii="Arial" w:eastAsia="Arial" w:hAnsi="Arial" w:cs="Arial"/>
          <w:sz w:val="24"/>
          <w:szCs w:val="24"/>
        </w:rPr>
        <w:t>.</w:t>
      </w:r>
    </w:p>
    <w:p w14:paraId="5EBA3EF6" w14:textId="77777777" w:rsidR="007E61D9" w:rsidRPr="0030651C" w:rsidRDefault="007E61D9" w:rsidP="0030651C">
      <w:pPr>
        <w:pStyle w:val="Sinespaciado"/>
        <w:rPr>
          <w:rFonts w:eastAsia="Arial"/>
        </w:rPr>
      </w:pPr>
    </w:p>
    <w:p w14:paraId="2A0E4E37" w14:textId="77777777" w:rsidR="007E61D9" w:rsidRDefault="00D65480">
      <w:pPr>
        <w:spacing w:line="360" w:lineRule="auto"/>
        <w:jc w:val="both"/>
        <w:rPr>
          <w:rFonts w:ascii="Arial" w:eastAsia="Arial" w:hAnsi="Arial" w:cs="Arial"/>
          <w:sz w:val="24"/>
          <w:szCs w:val="24"/>
        </w:rPr>
      </w:pPr>
      <w:r>
        <w:rPr>
          <w:rFonts w:ascii="Arial" w:eastAsia="Arial" w:hAnsi="Arial" w:cs="Arial"/>
          <w:color w:val="000000"/>
          <w:sz w:val="24"/>
          <w:szCs w:val="24"/>
        </w:rPr>
        <w:t xml:space="preserve">Ante ello, es posible concluir que las autoridades electorales, en el ámbito de sus atribuciones y competencias, </w:t>
      </w:r>
      <w:r>
        <w:rPr>
          <w:rFonts w:ascii="Arial" w:eastAsia="Arial" w:hAnsi="Arial" w:cs="Arial"/>
          <w:b/>
          <w:color w:val="000000"/>
          <w:sz w:val="24"/>
          <w:szCs w:val="24"/>
        </w:rPr>
        <w:t xml:space="preserve">cuentan con la facultad de limitar la libertad de expresión cuando se pretende proteger la imputación de delitos que calumnien </w:t>
      </w:r>
      <w:r>
        <w:rPr>
          <w:rFonts w:ascii="Arial" w:eastAsia="Arial" w:hAnsi="Arial" w:cs="Arial"/>
          <w:color w:val="000000"/>
          <w:sz w:val="24"/>
          <w:szCs w:val="24"/>
        </w:rPr>
        <w:t>a los y las candidatas, a fin de evitar una incidencia en el voto informado de las y los electores que participan en un proceso comicial. </w:t>
      </w:r>
    </w:p>
    <w:p w14:paraId="01DB6E93" w14:textId="77777777" w:rsidR="007E61D9" w:rsidRPr="0030651C" w:rsidRDefault="007E61D9" w:rsidP="0030651C">
      <w:pPr>
        <w:pStyle w:val="Sinespaciado"/>
        <w:rPr>
          <w:rFonts w:eastAsia="Arial"/>
        </w:rPr>
      </w:pPr>
    </w:p>
    <w:p w14:paraId="5A2DA1AB" w14:textId="62546EF1" w:rsidR="007E61D9" w:rsidRDefault="00D65480">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De ahí que, como se adelantó, en el caso </w:t>
      </w:r>
      <w:r>
        <w:rPr>
          <w:rFonts w:ascii="Arial" w:eastAsia="Arial" w:hAnsi="Arial" w:cs="Arial"/>
          <w:b/>
          <w:color w:val="000000"/>
          <w:sz w:val="24"/>
          <w:szCs w:val="24"/>
        </w:rPr>
        <w:t xml:space="preserve">quedó acreditada la existencia de calumnia </w:t>
      </w:r>
      <w:r>
        <w:rPr>
          <w:rFonts w:ascii="Arial" w:eastAsia="Arial" w:hAnsi="Arial" w:cs="Arial"/>
          <w:color w:val="000000"/>
          <w:sz w:val="24"/>
          <w:szCs w:val="24"/>
        </w:rPr>
        <w:t>en perjuicio de la candidata denunciante. </w:t>
      </w:r>
    </w:p>
    <w:p w14:paraId="5C310A29" w14:textId="605FB556" w:rsidR="00000B6B" w:rsidRDefault="00000B6B" w:rsidP="00000B6B">
      <w:pPr>
        <w:pStyle w:val="Sinespaciado"/>
        <w:rPr>
          <w:rFonts w:eastAsia="Arial"/>
        </w:rPr>
      </w:pPr>
    </w:p>
    <w:p w14:paraId="50B8E528" w14:textId="5656C28E" w:rsidR="00000B6B" w:rsidRPr="00000B6B" w:rsidRDefault="00000B6B" w:rsidP="00000B6B">
      <w:pPr>
        <w:spacing w:line="360" w:lineRule="auto"/>
        <w:jc w:val="both"/>
        <w:rPr>
          <w:rFonts w:ascii="Arial" w:eastAsia="Arial" w:hAnsi="Arial" w:cs="Arial"/>
          <w:sz w:val="24"/>
          <w:szCs w:val="24"/>
        </w:rPr>
      </w:pPr>
      <w:r>
        <w:rPr>
          <w:rFonts w:ascii="Arial" w:eastAsia="Arial" w:hAnsi="Arial" w:cs="Arial"/>
          <w:sz w:val="24"/>
          <w:szCs w:val="24"/>
        </w:rPr>
        <w:t>Ahora bien, e</w:t>
      </w:r>
      <w:r w:rsidRPr="00000B6B">
        <w:rPr>
          <w:rFonts w:ascii="Arial" w:eastAsia="Arial" w:hAnsi="Arial" w:cs="Arial"/>
          <w:sz w:val="24"/>
          <w:szCs w:val="24"/>
        </w:rPr>
        <w:t xml:space="preserve">n atención a la pretensión </w:t>
      </w:r>
      <w:proofErr w:type="gramStart"/>
      <w:r w:rsidRPr="00000B6B">
        <w:rPr>
          <w:rFonts w:ascii="Arial" w:eastAsia="Arial" w:hAnsi="Arial" w:cs="Arial"/>
          <w:sz w:val="24"/>
          <w:szCs w:val="24"/>
        </w:rPr>
        <w:t>del promovente encaminada</w:t>
      </w:r>
      <w:proofErr w:type="gramEnd"/>
      <w:r w:rsidRPr="00000B6B">
        <w:rPr>
          <w:rFonts w:ascii="Arial" w:eastAsia="Arial" w:hAnsi="Arial" w:cs="Arial"/>
          <w:sz w:val="24"/>
          <w:szCs w:val="24"/>
        </w:rPr>
        <w:t xml:space="preserve"> a demostrar que la calumnia es en perjuicio de la colación en su conjunto, debe tomarse en cuenta que el marco normativo en materia de calumnia establece como presupuesto procesal que para su presentación </w:t>
      </w:r>
      <w:r w:rsidRPr="00000B6B">
        <w:rPr>
          <w:rFonts w:ascii="Arial" w:eastAsia="Arial" w:hAnsi="Arial" w:cs="Arial"/>
          <w:b/>
          <w:bCs/>
          <w:sz w:val="24"/>
          <w:szCs w:val="24"/>
        </w:rPr>
        <w:t>debe comparecer la parte que se considera afectada</w:t>
      </w:r>
      <w:r w:rsidRPr="00000B6B">
        <w:rPr>
          <w:rFonts w:ascii="Arial" w:eastAsia="Arial" w:hAnsi="Arial" w:cs="Arial"/>
          <w:sz w:val="24"/>
          <w:szCs w:val="24"/>
        </w:rPr>
        <w:t xml:space="preserve">, por lo cual, en todo caso, debieron comparecer los partidos políticos coaligantes </w:t>
      </w:r>
      <w:r w:rsidRPr="00000B6B">
        <w:rPr>
          <w:rFonts w:ascii="Arial" w:eastAsia="Arial" w:hAnsi="Arial" w:cs="Arial"/>
          <w:b/>
          <w:bCs/>
          <w:sz w:val="24"/>
          <w:szCs w:val="24"/>
        </w:rPr>
        <w:t>en lo individual.</w:t>
      </w:r>
      <w:r w:rsidRPr="00000B6B">
        <w:rPr>
          <w:rFonts w:ascii="Arial" w:eastAsia="Arial" w:hAnsi="Arial" w:cs="Arial"/>
          <w:sz w:val="24"/>
          <w:szCs w:val="24"/>
        </w:rPr>
        <w:t xml:space="preserve"> </w:t>
      </w:r>
    </w:p>
    <w:p w14:paraId="20A40986" w14:textId="77777777" w:rsidR="00000B6B" w:rsidRDefault="00000B6B" w:rsidP="00000B6B">
      <w:pPr>
        <w:pStyle w:val="Sinespaciado"/>
        <w:rPr>
          <w:rFonts w:eastAsia="Arial"/>
        </w:rPr>
      </w:pPr>
    </w:p>
    <w:p w14:paraId="603C028D" w14:textId="5972B559" w:rsidR="00000B6B" w:rsidRPr="00000B6B" w:rsidRDefault="00000B6B" w:rsidP="00000B6B">
      <w:pPr>
        <w:spacing w:line="360" w:lineRule="auto"/>
        <w:jc w:val="both"/>
        <w:rPr>
          <w:rFonts w:ascii="Arial" w:eastAsia="Arial" w:hAnsi="Arial" w:cs="Arial"/>
          <w:sz w:val="24"/>
          <w:szCs w:val="24"/>
        </w:rPr>
      </w:pPr>
      <w:r w:rsidRPr="00000B6B">
        <w:rPr>
          <w:rFonts w:ascii="Arial" w:eastAsia="Arial" w:hAnsi="Arial" w:cs="Arial"/>
          <w:sz w:val="24"/>
          <w:szCs w:val="24"/>
        </w:rPr>
        <w:t xml:space="preserve">Asimismo, debe tomarse en cuenta que la Sala Superior ha sostenido que los partidos políticos sí tienen legitimación activa para cuestionar la calumnia en contra de las candidaturas que postulan en atención al estrecho vínculo que existe entre estos. </w:t>
      </w:r>
    </w:p>
    <w:p w14:paraId="3CBD77BE" w14:textId="77777777" w:rsidR="00000B6B" w:rsidRPr="0030651C" w:rsidRDefault="00000B6B" w:rsidP="0030651C">
      <w:pPr>
        <w:pStyle w:val="Sinespaciado"/>
        <w:rPr>
          <w:rFonts w:eastAsia="Arial"/>
        </w:rPr>
      </w:pPr>
    </w:p>
    <w:p w14:paraId="52BC9A67" w14:textId="4CF3B6ED" w:rsidR="00000B6B" w:rsidRDefault="00000B6B" w:rsidP="00000B6B">
      <w:pPr>
        <w:spacing w:line="360" w:lineRule="auto"/>
        <w:jc w:val="both"/>
        <w:rPr>
          <w:rFonts w:ascii="Arial" w:eastAsia="Arial" w:hAnsi="Arial" w:cs="Arial"/>
          <w:sz w:val="24"/>
          <w:szCs w:val="24"/>
        </w:rPr>
      </w:pPr>
      <w:r w:rsidRPr="00000B6B">
        <w:rPr>
          <w:rFonts w:ascii="Arial" w:eastAsia="Arial" w:hAnsi="Arial" w:cs="Arial"/>
          <w:sz w:val="24"/>
          <w:szCs w:val="24"/>
        </w:rPr>
        <w:t>De ahí que no sea viable acreditar la calumnia en contra de la coalición en conjunto, sino que como se explicó, el análisis debe hacerse en lo individual, tal y como se aborda en el desarrollo de la presente resolución.</w:t>
      </w:r>
    </w:p>
    <w:p w14:paraId="239FF3AB" w14:textId="77777777" w:rsidR="007E61D9" w:rsidRDefault="007E61D9">
      <w:pPr>
        <w:jc w:val="both"/>
        <w:rPr>
          <w:rFonts w:ascii="Arial" w:eastAsia="Arial" w:hAnsi="Arial" w:cs="Arial"/>
          <w:sz w:val="24"/>
          <w:szCs w:val="24"/>
        </w:rPr>
      </w:pPr>
    </w:p>
    <w:p w14:paraId="4A53A9BB" w14:textId="77777777" w:rsidR="007E61D9" w:rsidRDefault="00D65480">
      <w:pPr>
        <w:numPr>
          <w:ilvl w:val="0"/>
          <w:numId w:val="3"/>
        </w:numPr>
        <w:pBdr>
          <w:top w:val="nil"/>
          <w:left w:val="nil"/>
          <w:bottom w:val="nil"/>
          <w:right w:val="nil"/>
          <w:between w:val="nil"/>
        </w:pBdr>
        <w:spacing w:after="280" w:line="360" w:lineRule="auto"/>
        <w:ind w:left="284" w:hanging="284"/>
        <w:jc w:val="both"/>
        <w:rPr>
          <w:rFonts w:ascii="Arial" w:eastAsia="Arial" w:hAnsi="Arial" w:cs="Arial"/>
          <w:b/>
          <w:color w:val="000000"/>
          <w:sz w:val="24"/>
          <w:szCs w:val="24"/>
        </w:rPr>
      </w:pPr>
      <w:r>
        <w:rPr>
          <w:rFonts w:ascii="Arial" w:eastAsia="Arial" w:hAnsi="Arial" w:cs="Arial"/>
          <w:b/>
          <w:color w:val="000000"/>
          <w:sz w:val="24"/>
          <w:szCs w:val="24"/>
          <w:u w:val="single"/>
        </w:rPr>
        <w:t>Responsabilidad de las partes involucradas</w:t>
      </w:r>
    </w:p>
    <w:p w14:paraId="06A35722" w14:textId="77777777" w:rsidR="007E61D9" w:rsidRDefault="00D6548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Este órgano jurisdiccional estima que: </w:t>
      </w:r>
      <w:r>
        <w:rPr>
          <w:rFonts w:ascii="Arial" w:eastAsia="Arial" w:hAnsi="Arial" w:cs="Arial"/>
          <w:b/>
          <w:i/>
          <w:sz w:val="24"/>
          <w:szCs w:val="24"/>
        </w:rPr>
        <w:t xml:space="preserve">a) </w:t>
      </w:r>
      <w:r>
        <w:rPr>
          <w:rFonts w:ascii="Arial" w:eastAsia="Arial" w:hAnsi="Arial" w:cs="Arial"/>
          <w:sz w:val="24"/>
          <w:szCs w:val="24"/>
        </w:rPr>
        <w:t xml:space="preserve">Norma Ruvalcaba Gámez, candidata a la gubernatura de esta entidad, por el partido Morena, vulneró lo dispuesto por el artículo 244, primer párrafo, fracción IV, del Código Electoral y, </w:t>
      </w:r>
      <w:r>
        <w:rPr>
          <w:rFonts w:ascii="Arial" w:eastAsia="Arial" w:hAnsi="Arial" w:cs="Arial"/>
          <w:b/>
          <w:i/>
          <w:sz w:val="24"/>
          <w:szCs w:val="24"/>
        </w:rPr>
        <w:t xml:space="preserve">b) </w:t>
      </w:r>
      <w:r>
        <w:rPr>
          <w:rFonts w:ascii="Arial" w:eastAsia="Arial" w:hAnsi="Arial" w:cs="Arial"/>
          <w:sz w:val="24"/>
          <w:szCs w:val="24"/>
        </w:rPr>
        <w:t>el partido político</w:t>
      </w:r>
      <w:r>
        <w:rPr>
          <w:rFonts w:ascii="Arial" w:eastAsia="Arial" w:hAnsi="Arial" w:cs="Arial"/>
          <w:b/>
          <w:i/>
          <w:sz w:val="24"/>
          <w:szCs w:val="24"/>
        </w:rPr>
        <w:t xml:space="preserve"> </w:t>
      </w:r>
      <w:r>
        <w:rPr>
          <w:rFonts w:ascii="Arial" w:eastAsia="Arial" w:hAnsi="Arial" w:cs="Arial"/>
          <w:sz w:val="24"/>
          <w:szCs w:val="24"/>
        </w:rPr>
        <w:t>Morena incumplió su deber de cuidado en cuanto a la conducta denunciada y, por tanto, vulneró el primer párrafo, inciso a), del artículo 25, de la Ley General de Partidos Políticos.</w:t>
      </w:r>
    </w:p>
    <w:p w14:paraId="435271EB" w14:textId="77777777" w:rsidR="007E61D9" w:rsidRDefault="00D65480">
      <w:pPr>
        <w:numPr>
          <w:ilvl w:val="0"/>
          <w:numId w:val="3"/>
        </w:numPr>
        <w:pBdr>
          <w:top w:val="nil"/>
          <w:left w:val="nil"/>
          <w:bottom w:val="nil"/>
          <w:right w:val="nil"/>
          <w:between w:val="nil"/>
        </w:pBdr>
        <w:spacing w:before="240" w:after="240" w:line="360" w:lineRule="auto"/>
        <w:ind w:left="284" w:hanging="284"/>
        <w:jc w:val="both"/>
        <w:rPr>
          <w:rFonts w:ascii="Arial" w:eastAsia="Arial" w:hAnsi="Arial" w:cs="Arial"/>
          <w:b/>
          <w:color w:val="000000"/>
          <w:sz w:val="24"/>
          <w:szCs w:val="24"/>
          <w:u w:val="single"/>
        </w:rPr>
      </w:pPr>
      <w:r>
        <w:rPr>
          <w:rFonts w:ascii="Arial" w:eastAsia="Arial" w:hAnsi="Arial" w:cs="Arial"/>
          <w:b/>
          <w:color w:val="000000"/>
          <w:sz w:val="24"/>
          <w:szCs w:val="24"/>
          <w:u w:val="single"/>
        </w:rPr>
        <w:t>Individualización de la sanción</w:t>
      </w:r>
    </w:p>
    <w:p w14:paraId="4CE9118C" w14:textId="77777777" w:rsidR="007E61D9" w:rsidRDefault="00D65480">
      <w:pPr>
        <w:spacing w:before="240" w:after="240" w:line="360" w:lineRule="auto"/>
        <w:jc w:val="both"/>
        <w:rPr>
          <w:rFonts w:ascii="Arial" w:eastAsia="Arial" w:hAnsi="Arial" w:cs="Arial"/>
          <w:sz w:val="40"/>
          <w:szCs w:val="40"/>
          <w:vertAlign w:val="superscript"/>
        </w:rPr>
      </w:pPr>
      <w:r>
        <w:rPr>
          <w:rFonts w:ascii="Arial" w:eastAsia="Arial" w:hAnsi="Arial" w:cs="Arial"/>
          <w:sz w:val="24"/>
          <w:szCs w:val="24"/>
        </w:rPr>
        <w:t xml:space="preserve">Una vez verificada la falta, procede determinar la clase de sanción que legalmente corresponda, tomando en cuenta lo dispuesto por el artículo 251, del Código Electoral, el cual establece que para la individualizar las sanciones, una vez que se tenga plenamente </w:t>
      </w:r>
      <w:r>
        <w:rPr>
          <w:rFonts w:ascii="Arial" w:eastAsia="Arial" w:hAnsi="Arial" w:cs="Arial"/>
          <w:sz w:val="24"/>
          <w:szCs w:val="24"/>
        </w:rPr>
        <w:lastRenderedPageBreak/>
        <w:t>acreditada la existencia de una infracción y su imputación, la autoridad deberá tomar en cuenta las circunstancias que rodearon la conducta que vulneró la norma.</w:t>
      </w:r>
      <w:r>
        <w:rPr>
          <w:rFonts w:ascii="Arial" w:eastAsia="Arial" w:hAnsi="Arial" w:cs="Arial"/>
          <w:sz w:val="24"/>
          <w:szCs w:val="24"/>
          <w:vertAlign w:val="superscript"/>
        </w:rPr>
        <w:footnoteReference w:id="15"/>
      </w:r>
    </w:p>
    <w:p w14:paraId="24530526" w14:textId="340E7979" w:rsidR="007E61D9" w:rsidRDefault="00D65480" w:rsidP="0030651C">
      <w:pPr>
        <w:spacing w:before="240" w:line="360" w:lineRule="auto"/>
        <w:jc w:val="both"/>
        <w:rPr>
          <w:rFonts w:ascii="Arial" w:eastAsia="Arial" w:hAnsi="Arial" w:cs="Arial"/>
          <w:sz w:val="24"/>
          <w:szCs w:val="24"/>
        </w:rPr>
      </w:pPr>
      <w:r>
        <w:rPr>
          <w:rFonts w:ascii="Arial" w:eastAsia="Arial" w:hAnsi="Arial" w:cs="Arial"/>
          <w:sz w:val="24"/>
          <w:szCs w:val="24"/>
        </w:rPr>
        <w:t>Por tanto, tomando en consideración los elementos objetivos y subjetivos que se acreditaron en la valoración de la presente sentencia, lo procedente es calificar debidamente la falta, valorando los siguientes elementos:</w:t>
      </w:r>
    </w:p>
    <w:p w14:paraId="2A56E6B8" w14:textId="77777777" w:rsidR="0030651C" w:rsidRDefault="0030651C" w:rsidP="0030651C">
      <w:pPr>
        <w:pStyle w:val="Sinespaciado"/>
        <w:rPr>
          <w:rFonts w:eastAsia="Arial"/>
        </w:rPr>
      </w:pPr>
    </w:p>
    <w:p w14:paraId="1FF93BC1" w14:textId="77777777" w:rsidR="007E61D9" w:rsidRDefault="00D65480" w:rsidP="0030651C">
      <w:pPr>
        <w:spacing w:after="240" w:line="360" w:lineRule="auto"/>
        <w:jc w:val="both"/>
        <w:rPr>
          <w:rFonts w:ascii="Arial" w:eastAsia="Arial" w:hAnsi="Arial" w:cs="Arial"/>
          <w:sz w:val="24"/>
          <w:szCs w:val="24"/>
        </w:rPr>
      </w:pPr>
      <w:r>
        <w:rPr>
          <w:rFonts w:ascii="Arial" w:eastAsia="Arial" w:hAnsi="Arial" w:cs="Arial"/>
          <w:b/>
          <w:i/>
          <w:sz w:val="24"/>
          <w:szCs w:val="24"/>
        </w:rPr>
        <w:t>i)</w:t>
      </w:r>
      <w:r>
        <w:rPr>
          <w:sz w:val="14"/>
          <w:szCs w:val="14"/>
        </w:rPr>
        <w:t xml:space="preserve">   </w:t>
      </w:r>
      <w:r>
        <w:rPr>
          <w:rFonts w:ascii="Arial" w:eastAsia="Arial" w:hAnsi="Arial" w:cs="Arial"/>
          <w:b/>
          <w:sz w:val="24"/>
          <w:szCs w:val="24"/>
        </w:rPr>
        <w:t xml:space="preserve">Bien jurídico tutelado. </w:t>
      </w:r>
      <w:r>
        <w:rPr>
          <w:rFonts w:ascii="Arial" w:eastAsia="Arial" w:hAnsi="Arial" w:cs="Arial"/>
          <w:sz w:val="24"/>
          <w:szCs w:val="24"/>
        </w:rPr>
        <w:t xml:space="preserve">El bien jurídico directamente tutelado en las normas constitucionales es proteger los vínculos y límites de los derechos fundamentales a la </w:t>
      </w:r>
      <w:r>
        <w:rPr>
          <w:rFonts w:ascii="Arial" w:eastAsia="Arial" w:hAnsi="Arial" w:cs="Arial"/>
          <w:b/>
          <w:sz w:val="24"/>
          <w:szCs w:val="24"/>
        </w:rPr>
        <w:t>libertad de expresión</w:t>
      </w:r>
      <w:r>
        <w:rPr>
          <w:rFonts w:ascii="Arial" w:eastAsia="Arial" w:hAnsi="Arial" w:cs="Arial"/>
          <w:sz w:val="24"/>
          <w:szCs w:val="24"/>
        </w:rPr>
        <w:t xml:space="preserve"> en relación con el </w:t>
      </w:r>
      <w:r>
        <w:rPr>
          <w:rFonts w:ascii="Arial" w:eastAsia="Arial" w:hAnsi="Arial" w:cs="Arial"/>
          <w:b/>
          <w:sz w:val="24"/>
          <w:szCs w:val="24"/>
        </w:rPr>
        <w:t>honor y reputación</w:t>
      </w:r>
      <w:r>
        <w:rPr>
          <w:rFonts w:ascii="Arial" w:eastAsia="Arial" w:hAnsi="Arial" w:cs="Arial"/>
          <w:sz w:val="24"/>
          <w:szCs w:val="24"/>
        </w:rPr>
        <w:t xml:space="preserve"> de los partidos políticos. Así como el principio de legalidad, que impone la prohibición de difundir propaganda política que calumnie a las personas.</w:t>
      </w:r>
    </w:p>
    <w:p w14:paraId="37761063" w14:textId="77777777" w:rsidR="007E61D9" w:rsidRDefault="00D65480">
      <w:pPr>
        <w:spacing w:before="240" w:after="240" w:line="360" w:lineRule="auto"/>
        <w:jc w:val="both"/>
        <w:rPr>
          <w:rFonts w:ascii="Arial" w:eastAsia="Arial" w:hAnsi="Arial" w:cs="Arial"/>
          <w:sz w:val="24"/>
          <w:szCs w:val="24"/>
        </w:rPr>
      </w:pP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b/>
          <w:sz w:val="24"/>
          <w:szCs w:val="24"/>
        </w:rPr>
        <w:t xml:space="preserve"> Singularidad o pluralidad de las faltas.</w:t>
      </w:r>
      <w:r>
        <w:rPr>
          <w:rFonts w:ascii="Arial" w:eastAsia="Arial" w:hAnsi="Arial" w:cs="Arial"/>
          <w:sz w:val="24"/>
          <w:szCs w:val="24"/>
        </w:rPr>
        <w:t xml:space="preserve"> La comisión de dicha conducta no puede considerarse como una pluralidad de infracciones o de faltas administrativas, pues se trató de una sola conducta (propaganda con contenido calumnioso).</w:t>
      </w:r>
    </w:p>
    <w:p w14:paraId="475F856C" w14:textId="77777777" w:rsidR="007E61D9" w:rsidRDefault="00D65480">
      <w:pPr>
        <w:spacing w:before="240" w:after="240" w:line="360" w:lineRule="auto"/>
        <w:jc w:val="both"/>
        <w:rPr>
          <w:rFonts w:ascii="Arial" w:eastAsia="Arial" w:hAnsi="Arial" w:cs="Arial"/>
          <w:b/>
          <w:sz w:val="24"/>
          <w:szCs w:val="24"/>
        </w:rPr>
      </w:pPr>
      <w:proofErr w:type="spellStart"/>
      <w:r>
        <w:rPr>
          <w:rFonts w:ascii="Arial" w:eastAsia="Arial" w:hAnsi="Arial" w:cs="Arial"/>
          <w:b/>
          <w:i/>
          <w:sz w:val="24"/>
          <w:szCs w:val="24"/>
        </w:rPr>
        <w:t>iii</w:t>
      </w:r>
      <w:proofErr w:type="spellEnd"/>
      <w:r>
        <w:rPr>
          <w:rFonts w:ascii="Arial" w:eastAsia="Arial" w:hAnsi="Arial" w:cs="Arial"/>
          <w:b/>
          <w:i/>
          <w:sz w:val="24"/>
          <w:szCs w:val="24"/>
        </w:rPr>
        <w:t>)</w:t>
      </w:r>
      <w:r>
        <w:rPr>
          <w:rFonts w:ascii="Arial" w:eastAsia="Arial" w:hAnsi="Arial" w:cs="Arial"/>
          <w:b/>
          <w:sz w:val="24"/>
          <w:szCs w:val="24"/>
        </w:rPr>
        <w:t xml:space="preserve"> Circunstancias de modo, tiempo y lugar:</w:t>
      </w:r>
    </w:p>
    <w:p w14:paraId="368E69CF" w14:textId="77777777" w:rsidR="007E61D9" w:rsidRDefault="00D65480">
      <w:pPr>
        <w:numPr>
          <w:ilvl w:val="0"/>
          <w:numId w:val="4"/>
        </w:numPr>
        <w:pBdr>
          <w:top w:val="nil"/>
          <w:left w:val="nil"/>
          <w:bottom w:val="nil"/>
          <w:right w:val="nil"/>
          <w:between w:val="nil"/>
        </w:pBdr>
        <w:spacing w:before="240" w:line="360" w:lineRule="auto"/>
        <w:ind w:left="426"/>
        <w:jc w:val="both"/>
        <w:rPr>
          <w:rFonts w:ascii="Arial" w:eastAsia="Arial" w:hAnsi="Arial" w:cs="Arial"/>
          <w:color w:val="000000"/>
          <w:sz w:val="24"/>
          <w:szCs w:val="24"/>
        </w:rPr>
      </w:pPr>
      <w:r>
        <w:rPr>
          <w:rFonts w:ascii="Arial" w:eastAsia="Arial" w:hAnsi="Arial" w:cs="Arial"/>
          <w:b/>
          <w:color w:val="000000"/>
          <w:sz w:val="24"/>
          <w:szCs w:val="24"/>
        </w:rPr>
        <w:t>Modo.</w:t>
      </w:r>
      <w:r>
        <w:rPr>
          <w:rFonts w:ascii="Arial" w:eastAsia="Arial" w:hAnsi="Arial" w:cs="Arial"/>
          <w:color w:val="000000"/>
          <w:sz w:val="24"/>
          <w:szCs w:val="24"/>
        </w:rPr>
        <w:t xml:space="preserve"> La irregularidad consistió en la difusión de un video con expresiones calumniosas a través de las </w:t>
      </w:r>
      <w:r>
        <w:rPr>
          <w:rFonts w:ascii="Arial" w:eastAsia="Arial" w:hAnsi="Arial" w:cs="Arial"/>
          <w:i/>
          <w:color w:val="000000"/>
          <w:sz w:val="24"/>
          <w:szCs w:val="24"/>
        </w:rPr>
        <w:t xml:space="preserve">fans page </w:t>
      </w:r>
      <w:r>
        <w:rPr>
          <w:rFonts w:ascii="Arial" w:eastAsia="Arial" w:hAnsi="Arial" w:cs="Arial"/>
          <w:color w:val="000000"/>
          <w:sz w:val="24"/>
          <w:szCs w:val="24"/>
        </w:rPr>
        <w:t>de Facebook y Twitter de la denunciada, de nombre “Nora Ruvalcaba”. Tal video tenía una duración de 1 minuto y 24 minutos.</w:t>
      </w:r>
    </w:p>
    <w:p w14:paraId="107E016B" w14:textId="77777777" w:rsidR="007E61D9" w:rsidRDefault="00D65480">
      <w:pPr>
        <w:numPr>
          <w:ilvl w:val="0"/>
          <w:numId w:val="4"/>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b/>
          <w:color w:val="000000"/>
          <w:sz w:val="24"/>
          <w:szCs w:val="24"/>
        </w:rPr>
        <w:t>Tiempo.</w:t>
      </w:r>
      <w:r>
        <w:rPr>
          <w:rFonts w:ascii="Arial" w:eastAsia="Arial" w:hAnsi="Arial" w:cs="Arial"/>
          <w:color w:val="000000"/>
          <w:sz w:val="24"/>
          <w:szCs w:val="24"/>
        </w:rPr>
        <w:t xml:space="preserve"> La conducta se realizó el 26 de abril, por tanto, a la fecha de publicación de la presente sentencia, el video denunciado ha estado veintidós días en la red, durante </w:t>
      </w:r>
      <w:r>
        <w:rPr>
          <w:rFonts w:ascii="Arial" w:eastAsia="Arial" w:hAnsi="Arial" w:cs="Arial"/>
          <w:b/>
          <w:color w:val="000000"/>
          <w:sz w:val="24"/>
          <w:szCs w:val="24"/>
        </w:rPr>
        <w:t xml:space="preserve">el periodo de campaña </w:t>
      </w:r>
      <w:r>
        <w:rPr>
          <w:rFonts w:ascii="Arial" w:eastAsia="Arial" w:hAnsi="Arial" w:cs="Arial"/>
          <w:color w:val="000000"/>
          <w:sz w:val="24"/>
          <w:szCs w:val="24"/>
        </w:rPr>
        <w:t>del proceso electoral local.</w:t>
      </w:r>
    </w:p>
    <w:p w14:paraId="4D0929D5" w14:textId="77777777" w:rsidR="007E61D9" w:rsidRDefault="00D65480">
      <w:pPr>
        <w:numPr>
          <w:ilvl w:val="0"/>
          <w:numId w:val="4"/>
        </w:numPr>
        <w:pBdr>
          <w:top w:val="nil"/>
          <w:left w:val="nil"/>
          <w:bottom w:val="nil"/>
          <w:right w:val="nil"/>
          <w:between w:val="nil"/>
        </w:pBdr>
        <w:spacing w:after="240" w:line="360" w:lineRule="auto"/>
        <w:ind w:left="426"/>
        <w:jc w:val="both"/>
        <w:rPr>
          <w:rFonts w:ascii="Arial" w:eastAsia="Arial" w:hAnsi="Arial" w:cs="Arial"/>
          <w:color w:val="000000"/>
          <w:sz w:val="24"/>
          <w:szCs w:val="24"/>
        </w:rPr>
      </w:pPr>
      <w:r>
        <w:rPr>
          <w:rFonts w:ascii="Arial" w:eastAsia="Arial" w:hAnsi="Arial" w:cs="Arial"/>
          <w:b/>
          <w:color w:val="000000"/>
          <w:sz w:val="24"/>
          <w:szCs w:val="24"/>
        </w:rPr>
        <w:t>Lugar.</w:t>
      </w:r>
      <w:r>
        <w:rPr>
          <w:rFonts w:ascii="Arial" w:eastAsia="Arial" w:hAnsi="Arial" w:cs="Arial"/>
          <w:color w:val="000000"/>
          <w:sz w:val="24"/>
          <w:szCs w:val="24"/>
        </w:rPr>
        <w:t xml:space="preserve"> La propaganda se transmitió a través de las redes sociales de Facebook y Twitter de la denunciada, de nombre “Nora Ruvalcaba”</w:t>
      </w:r>
    </w:p>
    <w:p w14:paraId="7396A08D" w14:textId="2DFFB639" w:rsidR="007E61D9" w:rsidRDefault="00D65480">
      <w:pPr>
        <w:spacing w:line="360" w:lineRule="auto"/>
        <w:jc w:val="both"/>
        <w:rPr>
          <w:rFonts w:ascii="Arial" w:eastAsia="Arial" w:hAnsi="Arial" w:cs="Arial"/>
          <w:sz w:val="24"/>
          <w:szCs w:val="24"/>
        </w:rPr>
      </w:pPr>
      <w:r>
        <w:rPr>
          <w:rFonts w:ascii="Arial" w:eastAsia="Arial" w:hAnsi="Arial" w:cs="Arial"/>
          <w:b/>
          <w:i/>
          <w:sz w:val="24"/>
          <w:szCs w:val="24"/>
        </w:rPr>
        <w:t>iv)</w:t>
      </w:r>
      <w:r>
        <w:rPr>
          <w:rFonts w:ascii="Arial" w:eastAsia="Arial" w:hAnsi="Arial" w:cs="Arial"/>
          <w:b/>
          <w:sz w:val="24"/>
          <w:szCs w:val="24"/>
        </w:rPr>
        <w:t xml:space="preserve"> Condiciones externas y medios de ejecución.</w:t>
      </w:r>
      <w:r>
        <w:rPr>
          <w:rFonts w:ascii="Arial" w:eastAsia="Arial" w:hAnsi="Arial" w:cs="Arial"/>
          <w:sz w:val="24"/>
          <w:szCs w:val="24"/>
        </w:rPr>
        <w:t xml:space="preserve"> La difusión del video con contenido calumnioso se realizó en el periodo de campaña dentro del PEL 2021-2022, a través de las redes sociales y plataformas digitales de la denunciada. La interacción que tales publicaciones</w:t>
      </w:r>
      <w:r w:rsidR="00B00135">
        <w:rPr>
          <w:rFonts w:ascii="Arial" w:eastAsia="Arial" w:hAnsi="Arial" w:cs="Arial"/>
          <w:sz w:val="24"/>
          <w:szCs w:val="24"/>
        </w:rPr>
        <w:t xml:space="preserve"> </w:t>
      </w:r>
      <w:r>
        <w:rPr>
          <w:rFonts w:ascii="Arial" w:eastAsia="Arial" w:hAnsi="Arial" w:cs="Arial"/>
          <w:sz w:val="24"/>
          <w:szCs w:val="24"/>
        </w:rPr>
        <w:t>tuvieron fueron las siguientes:</w:t>
      </w:r>
    </w:p>
    <w:p w14:paraId="749A28B2" w14:textId="77777777" w:rsidR="007E61D9" w:rsidRDefault="007E61D9">
      <w:pPr>
        <w:pBdr>
          <w:top w:val="nil"/>
          <w:left w:val="nil"/>
          <w:bottom w:val="nil"/>
          <w:right w:val="nil"/>
          <w:between w:val="nil"/>
        </w:pBdr>
        <w:rPr>
          <w:color w:val="000000"/>
        </w:rPr>
      </w:pPr>
    </w:p>
    <w:tbl>
      <w:tblPr>
        <w:tblStyle w:val="aff0"/>
        <w:tblW w:w="6090" w:type="dxa"/>
        <w:jc w:val="center"/>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3113"/>
        <w:gridCol w:w="2977"/>
      </w:tblGrid>
      <w:tr w:rsidR="007E61D9" w14:paraId="570E9194" w14:textId="77777777" w:rsidTr="007B3AEB">
        <w:trPr>
          <w:cnfStyle w:val="100000000000" w:firstRow="1" w:lastRow="0" w:firstColumn="0" w:lastColumn="0" w:oddVBand="0" w:evenVBand="0" w:oddHBand="0" w:evenHBand="0" w:firstRowFirstColumn="0" w:firstRowLastColumn="0" w:lastRowFirstColumn="0" w:lastRowLastColumn="0"/>
          <w:trHeight w:val="341"/>
          <w:jc w:val="center"/>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59182F05" w14:textId="77777777" w:rsidR="007E61D9" w:rsidRDefault="00D65480">
            <w:pPr>
              <w:jc w:val="center"/>
              <w:rPr>
                <w:rFonts w:ascii="Arial" w:eastAsia="Arial" w:hAnsi="Arial" w:cs="Arial"/>
                <w:color w:val="000000"/>
                <w:sz w:val="16"/>
                <w:szCs w:val="16"/>
              </w:rPr>
            </w:pPr>
            <w:r>
              <w:rPr>
                <w:rFonts w:ascii="Arial" w:eastAsia="Arial" w:hAnsi="Arial" w:cs="Arial"/>
                <w:color w:val="000000"/>
                <w:sz w:val="16"/>
                <w:szCs w:val="16"/>
              </w:rPr>
              <w:t>Red social y/o plataforma digital</w:t>
            </w:r>
          </w:p>
        </w:tc>
        <w:tc>
          <w:tcPr>
            <w:tcW w:w="2977" w:type="dxa"/>
            <w:vAlign w:val="center"/>
          </w:tcPr>
          <w:p w14:paraId="0FD0C47C" w14:textId="77777777" w:rsidR="007E61D9" w:rsidRDefault="00D6548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6"/>
                <w:szCs w:val="16"/>
              </w:rPr>
            </w:pPr>
            <w:r>
              <w:rPr>
                <w:rFonts w:ascii="Arial" w:eastAsia="Arial" w:hAnsi="Arial" w:cs="Arial"/>
                <w:color w:val="000000"/>
                <w:sz w:val="16"/>
                <w:szCs w:val="16"/>
              </w:rPr>
              <w:t>Interacción</w:t>
            </w:r>
          </w:p>
        </w:tc>
      </w:tr>
      <w:tr w:rsidR="007E61D9" w14:paraId="3A8DF5A4" w14:textId="77777777" w:rsidTr="007B3AEB">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64F3AE02" w14:textId="77777777" w:rsidR="007E61D9" w:rsidRDefault="00D65480">
            <w:pPr>
              <w:jc w:val="center"/>
              <w:rPr>
                <w:rFonts w:ascii="Arial" w:eastAsia="Arial" w:hAnsi="Arial" w:cs="Arial"/>
                <w:sz w:val="16"/>
                <w:szCs w:val="16"/>
              </w:rPr>
            </w:pPr>
            <w:r>
              <w:rPr>
                <w:rFonts w:ascii="Arial" w:eastAsia="Arial" w:hAnsi="Arial" w:cs="Arial"/>
                <w:sz w:val="16"/>
                <w:szCs w:val="16"/>
              </w:rPr>
              <w:t>Facebook</w:t>
            </w:r>
          </w:p>
        </w:tc>
        <w:tc>
          <w:tcPr>
            <w:tcW w:w="2977" w:type="dxa"/>
            <w:vAlign w:val="center"/>
          </w:tcPr>
          <w:p w14:paraId="73677B5C" w14:textId="77777777" w:rsidR="007E61D9" w:rsidRDefault="00D65480">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919 reacciones</w:t>
            </w:r>
          </w:p>
          <w:p w14:paraId="63F46331" w14:textId="77777777" w:rsidR="007E61D9" w:rsidRDefault="00D65480">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216 comentarios</w:t>
            </w:r>
          </w:p>
          <w:p w14:paraId="318E48DC" w14:textId="77777777" w:rsidR="007E61D9" w:rsidRDefault="00D65480">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8.2 mil reproducciones</w:t>
            </w:r>
          </w:p>
        </w:tc>
      </w:tr>
      <w:tr w:rsidR="007E61D9" w14:paraId="6A55D675" w14:textId="77777777" w:rsidTr="007B3AEB">
        <w:trPr>
          <w:trHeight w:val="346"/>
          <w:jc w:val="center"/>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7315669F" w14:textId="77777777" w:rsidR="007E61D9" w:rsidRDefault="00D65480">
            <w:pPr>
              <w:jc w:val="center"/>
              <w:rPr>
                <w:rFonts w:ascii="Arial" w:eastAsia="Arial" w:hAnsi="Arial" w:cs="Arial"/>
                <w:sz w:val="16"/>
                <w:szCs w:val="16"/>
              </w:rPr>
            </w:pPr>
            <w:r>
              <w:rPr>
                <w:rFonts w:ascii="Arial" w:eastAsia="Arial" w:hAnsi="Arial" w:cs="Arial"/>
                <w:sz w:val="16"/>
                <w:szCs w:val="16"/>
              </w:rPr>
              <w:lastRenderedPageBreak/>
              <w:t>Twitter</w:t>
            </w:r>
          </w:p>
        </w:tc>
        <w:tc>
          <w:tcPr>
            <w:tcW w:w="2977" w:type="dxa"/>
            <w:vAlign w:val="center"/>
          </w:tcPr>
          <w:p w14:paraId="170EDDFF" w14:textId="77777777" w:rsidR="007E61D9" w:rsidRDefault="00D65480">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 xml:space="preserve">486 </w:t>
            </w:r>
            <w:proofErr w:type="spellStart"/>
            <w:r>
              <w:rPr>
                <w:rFonts w:ascii="Arial" w:eastAsia="Arial" w:hAnsi="Arial" w:cs="Arial"/>
                <w:sz w:val="16"/>
                <w:szCs w:val="16"/>
              </w:rPr>
              <w:t>Retweets</w:t>
            </w:r>
            <w:proofErr w:type="spellEnd"/>
          </w:p>
          <w:p w14:paraId="30673968" w14:textId="77777777" w:rsidR="007E61D9" w:rsidRDefault="00D65480">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32 tweets citados</w:t>
            </w:r>
          </w:p>
          <w:p w14:paraId="03122659" w14:textId="77777777" w:rsidR="007E61D9" w:rsidRDefault="00D65480">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888 me gusta</w:t>
            </w:r>
          </w:p>
        </w:tc>
      </w:tr>
    </w:tbl>
    <w:p w14:paraId="010C7660" w14:textId="77777777" w:rsidR="007E61D9" w:rsidRDefault="00D65480">
      <w:pPr>
        <w:spacing w:after="240" w:line="360" w:lineRule="auto"/>
        <w:jc w:val="both"/>
        <w:rPr>
          <w:rFonts w:ascii="Arial" w:eastAsia="Arial" w:hAnsi="Arial" w:cs="Arial"/>
          <w:sz w:val="24"/>
          <w:szCs w:val="24"/>
        </w:rPr>
      </w:pPr>
      <w:r>
        <w:rPr>
          <w:rFonts w:ascii="Arial" w:eastAsia="Arial" w:hAnsi="Arial" w:cs="Arial"/>
          <w:b/>
          <w:i/>
          <w:sz w:val="24"/>
          <w:szCs w:val="24"/>
        </w:rPr>
        <w:t>v)</w:t>
      </w:r>
      <w:r>
        <w:rPr>
          <w:rFonts w:ascii="Arial" w:eastAsia="Arial" w:hAnsi="Arial" w:cs="Arial"/>
          <w:b/>
          <w:sz w:val="24"/>
          <w:szCs w:val="24"/>
        </w:rPr>
        <w:t xml:space="preserve"> Beneficio o lucro.</w:t>
      </w:r>
      <w:r>
        <w:rPr>
          <w:rFonts w:ascii="Arial" w:eastAsia="Arial" w:hAnsi="Arial" w:cs="Arial"/>
          <w:sz w:val="24"/>
          <w:szCs w:val="24"/>
        </w:rPr>
        <w:t xml:space="preserve"> En el caso, de las constancias que obran en el expediente no se advierte que haya obtenido un lucro cuantificable con la realización de las conductas sancionadas; sin embargo, sí existió una violación al principio de legalidad en la contienda electoral al expresar manifestaciones calumniosas sin tener sustento alguno.</w:t>
      </w:r>
    </w:p>
    <w:p w14:paraId="5625FF70" w14:textId="77777777" w:rsidR="007E61D9" w:rsidRDefault="00D65480">
      <w:pPr>
        <w:spacing w:before="240" w:after="240" w:line="360" w:lineRule="auto"/>
        <w:jc w:val="both"/>
        <w:rPr>
          <w:rFonts w:ascii="Arial" w:eastAsia="Arial" w:hAnsi="Arial" w:cs="Arial"/>
          <w:sz w:val="24"/>
          <w:szCs w:val="24"/>
        </w:rPr>
      </w:pPr>
      <w:r>
        <w:rPr>
          <w:rFonts w:ascii="Arial" w:eastAsia="Arial" w:hAnsi="Arial" w:cs="Arial"/>
          <w:b/>
          <w:i/>
          <w:sz w:val="24"/>
          <w:szCs w:val="24"/>
        </w:rPr>
        <w:t>vi)</w:t>
      </w:r>
      <w:r>
        <w:rPr>
          <w:rFonts w:ascii="Arial" w:eastAsia="Arial" w:hAnsi="Arial" w:cs="Arial"/>
          <w:b/>
          <w:sz w:val="24"/>
          <w:szCs w:val="24"/>
        </w:rPr>
        <w:t xml:space="preserve"> Intencionalidad (comisión dolosa o culposa).</w:t>
      </w:r>
      <w:r>
        <w:rPr>
          <w:rFonts w:ascii="Arial" w:eastAsia="Arial" w:hAnsi="Arial" w:cs="Arial"/>
          <w:sz w:val="24"/>
          <w:szCs w:val="24"/>
        </w:rPr>
        <w:t xml:space="preserve"> Se encuentra acreditado que la candidata tuvo la intención de difundir el video que contenía expresiones calumniosas, con la finalidad de obtener un mejor posicionamiento durante el presente proceso electoral, a través de manifestaciones que constituyen imputaciones directas a los quejosos.</w:t>
      </w:r>
    </w:p>
    <w:p w14:paraId="0AC55F3B" w14:textId="77777777" w:rsidR="007E61D9" w:rsidRDefault="00D65480">
      <w:pPr>
        <w:spacing w:before="240" w:after="240" w:line="360" w:lineRule="auto"/>
        <w:jc w:val="both"/>
        <w:rPr>
          <w:rFonts w:ascii="Arial" w:eastAsia="Arial" w:hAnsi="Arial" w:cs="Arial"/>
          <w:sz w:val="24"/>
          <w:szCs w:val="24"/>
        </w:rPr>
      </w:pPr>
      <w:proofErr w:type="spellStart"/>
      <w:r>
        <w:rPr>
          <w:rFonts w:ascii="Arial" w:eastAsia="Arial" w:hAnsi="Arial" w:cs="Arial"/>
          <w:b/>
          <w:i/>
          <w:sz w:val="24"/>
          <w:szCs w:val="24"/>
        </w:rPr>
        <w:t>vii</w:t>
      </w:r>
      <w:proofErr w:type="spellEnd"/>
      <w:r>
        <w:rPr>
          <w:rFonts w:ascii="Arial" w:eastAsia="Arial" w:hAnsi="Arial" w:cs="Arial"/>
          <w:b/>
          <w:i/>
          <w:sz w:val="24"/>
          <w:szCs w:val="24"/>
        </w:rPr>
        <w:t>)</w:t>
      </w:r>
      <w:r>
        <w:rPr>
          <w:sz w:val="14"/>
          <w:szCs w:val="14"/>
        </w:rPr>
        <w:t xml:space="preserve"> </w:t>
      </w:r>
      <w:r>
        <w:rPr>
          <w:rFonts w:ascii="Arial" w:eastAsia="Arial" w:hAnsi="Arial" w:cs="Arial"/>
          <w:b/>
          <w:sz w:val="24"/>
          <w:szCs w:val="24"/>
        </w:rPr>
        <w:t>Reincidencia.</w:t>
      </w:r>
      <w:r>
        <w:rPr>
          <w:rFonts w:ascii="Arial" w:eastAsia="Arial" w:hAnsi="Arial" w:cs="Arial"/>
          <w:sz w:val="24"/>
          <w:szCs w:val="24"/>
        </w:rPr>
        <w:t xml:space="preserve"> De conformidad con el artículo 251, segundo párrafo, del Código Electoral se considerará reincidente, a quien haya sido declarado responsable del incumplimiento de alguna de las obligaciones a que se refiere la ley e incurre nuevamente en la misma conducta infractora.</w:t>
      </w:r>
    </w:p>
    <w:p w14:paraId="50E31CD2" w14:textId="77777777" w:rsidR="007E61D9" w:rsidRDefault="00D6548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Lo cual, no ocurre en el presente caso, ya que si bien, este órgano jurisdiccional ha emitido de manera previa diversas sentencias definitivas en las que se sanciona a la candidata denunciada por la misma infracción -calumnia- ello no es motivo suficiente para tomarlas en cuenta como una reincidencia, ya que para acreditar tal infracción, resulta necesario que tales sentencias hayan causado ejecutoria, cuestión que a la fecha en la que se emite la presente sentencia, no ocurre. </w:t>
      </w:r>
    </w:p>
    <w:p w14:paraId="33D57B95" w14:textId="77777777" w:rsidR="007E61D9" w:rsidRDefault="00D65480">
      <w:pPr>
        <w:spacing w:before="240" w:after="240" w:line="360" w:lineRule="auto"/>
        <w:jc w:val="both"/>
        <w:rPr>
          <w:rFonts w:ascii="Arial" w:eastAsia="Arial" w:hAnsi="Arial" w:cs="Arial"/>
          <w:sz w:val="24"/>
          <w:szCs w:val="24"/>
        </w:rPr>
      </w:pPr>
      <w:proofErr w:type="spellStart"/>
      <w:r>
        <w:rPr>
          <w:rFonts w:ascii="Arial" w:eastAsia="Arial" w:hAnsi="Arial" w:cs="Arial"/>
          <w:b/>
          <w:i/>
          <w:sz w:val="24"/>
          <w:szCs w:val="24"/>
        </w:rPr>
        <w:t>viii</w:t>
      </w:r>
      <w:proofErr w:type="spellEnd"/>
      <w:r>
        <w:rPr>
          <w:rFonts w:ascii="Arial" w:eastAsia="Arial" w:hAnsi="Arial" w:cs="Arial"/>
          <w:b/>
          <w:i/>
          <w:sz w:val="24"/>
          <w:szCs w:val="24"/>
        </w:rPr>
        <w:t>)</w:t>
      </w:r>
      <w:r>
        <w:rPr>
          <w:sz w:val="14"/>
          <w:szCs w:val="14"/>
        </w:rPr>
        <w:t xml:space="preserve"> </w:t>
      </w:r>
      <w:r>
        <w:rPr>
          <w:rFonts w:ascii="Arial" w:eastAsia="Arial" w:hAnsi="Arial" w:cs="Arial"/>
          <w:b/>
          <w:sz w:val="24"/>
          <w:szCs w:val="24"/>
        </w:rPr>
        <w:t>Impacto en las actividades del sujeto infractor.</w:t>
      </w:r>
      <w:r>
        <w:rPr>
          <w:rFonts w:ascii="Arial" w:eastAsia="Arial" w:hAnsi="Arial" w:cs="Arial"/>
          <w:sz w:val="24"/>
          <w:szCs w:val="24"/>
        </w:rPr>
        <w:t xml:space="preserve"> Derivado de la naturaleza de la sanción impuesta, no impacta en modo alguno en las actividades de la candidata sancionada.</w:t>
      </w:r>
    </w:p>
    <w:p w14:paraId="1FF2CE0F" w14:textId="77777777" w:rsidR="007E61D9" w:rsidRDefault="00D65480">
      <w:pPr>
        <w:numPr>
          <w:ilvl w:val="0"/>
          <w:numId w:val="5"/>
        </w:numPr>
        <w:pBdr>
          <w:top w:val="nil"/>
          <w:left w:val="nil"/>
          <w:bottom w:val="nil"/>
          <w:right w:val="nil"/>
          <w:between w:val="nil"/>
        </w:pBdr>
        <w:spacing w:before="240" w:after="240" w:line="360" w:lineRule="auto"/>
        <w:ind w:left="284" w:hanging="284"/>
        <w:jc w:val="both"/>
        <w:rPr>
          <w:rFonts w:ascii="Arial" w:eastAsia="Arial" w:hAnsi="Arial" w:cs="Arial"/>
          <w:color w:val="000000"/>
          <w:sz w:val="24"/>
          <w:szCs w:val="24"/>
        </w:rPr>
      </w:pPr>
      <w:r>
        <w:rPr>
          <w:rFonts w:ascii="Arial" w:eastAsia="Arial" w:hAnsi="Arial" w:cs="Arial"/>
          <w:b/>
          <w:color w:val="000000"/>
          <w:sz w:val="24"/>
          <w:szCs w:val="24"/>
          <w:u w:val="single"/>
        </w:rPr>
        <w:t>Calificación de la responsabilidad</w:t>
      </w:r>
    </w:p>
    <w:p w14:paraId="40D7E180" w14:textId="77777777" w:rsidR="007E61D9" w:rsidRDefault="00D6548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 partir de las circunstancias en el presente caso, este Tribunal Electoral estima que la infracción en que incurrió la candidata denunciada Nora Ruvalcaba Gámez es </w:t>
      </w:r>
      <w:r>
        <w:rPr>
          <w:rFonts w:ascii="Arial" w:eastAsia="Arial" w:hAnsi="Arial" w:cs="Arial"/>
          <w:b/>
          <w:sz w:val="24"/>
          <w:szCs w:val="24"/>
        </w:rPr>
        <w:t>grave ordinaria</w:t>
      </w:r>
      <w:r>
        <w:rPr>
          <w:rFonts w:ascii="Arial" w:eastAsia="Arial" w:hAnsi="Arial" w:cs="Arial"/>
          <w:sz w:val="24"/>
          <w:szCs w:val="24"/>
        </w:rPr>
        <w:t xml:space="preserve">, mientras que para el partido político Morena resulta </w:t>
      </w:r>
      <w:r>
        <w:rPr>
          <w:rFonts w:ascii="Arial" w:eastAsia="Arial" w:hAnsi="Arial" w:cs="Arial"/>
          <w:b/>
          <w:sz w:val="24"/>
          <w:szCs w:val="24"/>
        </w:rPr>
        <w:t>levísima</w:t>
      </w:r>
      <w:r>
        <w:rPr>
          <w:rFonts w:ascii="Arial" w:eastAsia="Arial" w:hAnsi="Arial" w:cs="Arial"/>
          <w:sz w:val="24"/>
          <w:szCs w:val="24"/>
        </w:rPr>
        <w:t>, en virtud de que su responsabilidad sobre la conducta denunciada es indirecta, ya que no se le puede desvincular de las acciones que su candidata a la gubernatura realice.</w:t>
      </w:r>
    </w:p>
    <w:p w14:paraId="34F2D35A" w14:textId="77777777" w:rsidR="007E61D9" w:rsidRDefault="00D65480">
      <w:pPr>
        <w:spacing w:before="240" w:after="240" w:line="360" w:lineRule="auto"/>
        <w:jc w:val="both"/>
        <w:rPr>
          <w:rFonts w:ascii="Arial" w:eastAsia="Arial" w:hAnsi="Arial" w:cs="Arial"/>
          <w:sz w:val="24"/>
          <w:szCs w:val="24"/>
        </w:rPr>
      </w:pPr>
      <w:r>
        <w:rPr>
          <w:rFonts w:ascii="Arial" w:eastAsia="Arial" w:hAnsi="Arial" w:cs="Arial"/>
          <w:sz w:val="24"/>
          <w:szCs w:val="24"/>
        </w:rPr>
        <w:t>Ello es así, porque si bien los bienes jurídicos tutelados son el honor y la imagen de los denunciantes, lo cierto es que la vulneración a dichos bienes surgió con motivo de una serie de manifestaciones realizadas por parte de la denunciada respecto a diversas fuerzas políticas, en ejercicio de su derecho a la libertad de expresión y del debate político, sin embargo, en el transcurso indebidamente realizó señalamientos contrarios a Derecho.</w:t>
      </w:r>
    </w:p>
    <w:p w14:paraId="62A2F417" w14:textId="7C556F50" w:rsidR="007E61D9" w:rsidRDefault="00D65480">
      <w:pPr>
        <w:spacing w:before="240" w:after="240" w:line="360" w:lineRule="auto"/>
        <w:jc w:val="both"/>
        <w:rPr>
          <w:rFonts w:ascii="Arial" w:eastAsia="Arial" w:hAnsi="Arial" w:cs="Arial"/>
          <w:sz w:val="24"/>
          <w:szCs w:val="24"/>
        </w:rPr>
      </w:pPr>
      <w:r>
        <w:rPr>
          <w:rFonts w:ascii="Arial" w:eastAsia="Arial" w:hAnsi="Arial" w:cs="Arial"/>
          <w:sz w:val="24"/>
          <w:szCs w:val="24"/>
        </w:rPr>
        <w:lastRenderedPageBreak/>
        <w:t xml:space="preserve">Además, esta autoridad jurisdiccional toma en cuenta que el video se difundió a través de las redes sociales de Facebook y Twitter, -durante un lapso de veintidós días-, los </w:t>
      </w:r>
      <w:r w:rsidR="00B00135">
        <w:rPr>
          <w:rFonts w:ascii="Arial" w:eastAsia="Arial" w:hAnsi="Arial" w:cs="Arial"/>
          <w:sz w:val="24"/>
          <w:szCs w:val="24"/>
        </w:rPr>
        <w:t>cuales,</w:t>
      </w:r>
      <w:r>
        <w:rPr>
          <w:rFonts w:ascii="Arial" w:eastAsia="Arial" w:hAnsi="Arial" w:cs="Arial"/>
          <w:sz w:val="24"/>
          <w:szCs w:val="24"/>
        </w:rPr>
        <w:t xml:space="preserve"> si bien son considerados como un medio masivo de comunicación, este Tribunal ha estimado que el alcance o difusión que tales publicaciones tengan depende de la voluntad que la y el usuario tenga de interactuar con dichas publicaciones.</w:t>
      </w:r>
    </w:p>
    <w:p w14:paraId="207B12BD" w14:textId="77777777" w:rsidR="007E61D9" w:rsidRDefault="00D6548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tanto, en atención a que la conducta infractora desplegada por la candidata denunciada contraviene los límites a la libertad de expresión, este Tribunal estima que la calificación de la falta, como </w:t>
      </w:r>
      <w:r>
        <w:rPr>
          <w:rFonts w:ascii="Arial" w:eastAsia="Arial" w:hAnsi="Arial" w:cs="Arial"/>
          <w:b/>
          <w:sz w:val="24"/>
          <w:szCs w:val="24"/>
        </w:rPr>
        <w:t>grave ordinaria</w:t>
      </w:r>
      <w:r>
        <w:rPr>
          <w:rFonts w:ascii="Arial" w:eastAsia="Arial" w:hAnsi="Arial" w:cs="Arial"/>
          <w:sz w:val="24"/>
          <w:szCs w:val="24"/>
        </w:rPr>
        <w:t xml:space="preserve"> es adecuada.</w:t>
      </w:r>
    </w:p>
    <w:p w14:paraId="2C8AA438" w14:textId="7DDE7A6B" w:rsidR="007E61D9" w:rsidRDefault="00D65480" w:rsidP="0030651C">
      <w:pPr>
        <w:numPr>
          <w:ilvl w:val="0"/>
          <w:numId w:val="5"/>
        </w:numPr>
        <w:pBdr>
          <w:top w:val="nil"/>
          <w:left w:val="nil"/>
          <w:bottom w:val="nil"/>
          <w:right w:val="nil"/>
          <w:between w:val="nil"/>
        </w:pBdr>
        <w:tabs>
          <w:tab w:val="left" w:pos="426"/>
        </w:tabs>
        <w:spacing w:before="240"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u w:val="single"/>
        </w:rPr>
        <w:t>Capacidad económica.</w:t>
      </w:r>
      <w:r>
        <w:rPr>
          <w:rFonts w:ascii="Arial" w:eastAsia="Arial" w:hAnsi="Arial" w:cs="Arial"/>
          <w:b/>
          <w:color w:val="000000"/>
          <w:sz w:val="24"/>
          <w:szCs w:val="24"/>
        </w:rPr>
        <w:t xml:space="preserve"> </w:t>
      </w:r>
      <w:r>
        <w:rPr>
          <w:rFonts w:ascii="Arial" w:eastAsia="Arial" w:hAnsi="Arial" w:cs="Arial"/>
          <w:color w:val="000000"/>
          <w:sz w:val="24"/>
          <w:szCs w:val="24"/>
        </w:rPr>
        <w:t>Derivado de la acreditación de la infracción de calumnia atribuida a Nora Ruvalcaba Gámez, este Tribunal Electoral estima que lo procedente es imponer una multa, en términos del artículo 244, párrafo segundo, fracción III, del Código Electoral.</w:t>
      </w:r>
    </w:p>
    <w:p w14:paraId="5381A8EF" w14:textId="77777777" w:rsidR="0030651C" w:rsidRDefault="0030651C" w:rsidP="0030651C">
      <w:pPr>
        <w:pStyle w:val="Sinespaciado"/>
        <w:rPr>
          <w:rFonts w:eastAsia="Arial"/>
        </w:rPr>
      </w:pPr>
    </w:p>
    <w:p w14:paraId="5DCABDBA" w14:textId="77777777" w:rsidR="007E61D9" w:rsidRDefault="00D65480" w:rsidP="0030651C">
      <w:pPr>
        <w:spacing w:line="360" w:lineRule="auto"/>
        <w:jc w:val="both"/>
        <w:rPr>
          <w:rFonts w:ascii="Arial" w:eastAsia="Arial" w:hAnsi="Arial" w:cs="Arial"/>
          <w:sz w:val="24"/>
          <w:szCs w:val="24"/>
        </w:rPr>
      </w:pPr>
      <w:r>
        <w:rPr>
          <w:rFonts w:ascii="Arial" w:eastAsia="Arial" w:hAnsi="Arial" w:cs="Arial"/>
          <w:sz w:val="24"/>
          <w:szCs w:val="24"/>
        </w:rPr>
        <w:t xml:space="preserve">Para imponer el monto de la multa se consideró el Informe de capacidad económica de la ciudadana Nora Ruvalcaba Gámez, que proporcionó en virtud del requerimiento efectuado por esta autoridad jurisdiccional en diverso procedimiento especial sancionador, por tanto, la multa impuesta resulta proporcional y adecuada. </w:t>
      </w:r>
    </w:p>
    <w:p w14:paraId="45DD6A0D" w14:textId="77777777" w:rsidR="007E61D9" w:rsidRDefault="007E61D9">
      <w:pPr>
        <w:pBdr>
          <w:top w:val="nil"/>
          <w:left w:val="nil"/>
          <w:bottom w:val="nil"/>
          <w:right w:val="nil"/>
          <w:between w:val="nil"/>
        </w:pBdr>
        <w:rPr>
          <w:color w:val="000000"/>
        </w:rPr>
      </w:pPr>
    </w:p>
    <w:p w14:paraId="5A3A5AA0" w14:textId="77777777" w:rsidR="007E61D9" w:rsidRDefault="00D65480">
      <w:pPr>
        <w:spacing w:after="240" w:line="360" w:lineRule="auto"/>
        <w:jc w:val="both"/>
        <w:rPr>
          <w:rFonts w:ascii="Arial" w:eastAsia="Arial" w:hAnsi="Arial" w:cs="Arial"/>
          <w:sz w:val="24"/>
          <w:szCs w:val="24"/>
        </w:rPr>
      </w:pPr>
      <w:r>
        <w:rPr>
          <w:rFonts w:ascii="Arial" w:eastAsia="Arial" w:hAnsi="Arial" w:cs="Arial"/>
          <w:sz w:val="24"/>
          <w:szCs w:val="24"/>
        </w:rPr>
        <w:t>Al respecto, la Sala Superior ha determinado que la cuantía o calidad de la multa no depende solo de la capacidad económica de la persona sancionada, sino que también se trata de un ejercicio de racionalidad del órgano jurisdiccional, así como de la valoración conjunta de todos los elementos objetivos y subjetivos de la infracción.</w:t>
      </w:r>
    </w:p>
    <w:p w14:paraId="0BB3872B" w14:textId="77777777" w:rsidR="007E61D9" w:rsidRDefault="00D65480">
      <w:pPr>
        <w:numPr>
          <w:ilvl w:val="0"/>
          <w:numId w:val="5"/>
        </w:numPr>
        <w:pBdr>
          <w:top w:val="nil"/>
          <w:left w:val="nil"/>
          <w:bottom w:val="nil"/>
          <w:right w:val="nil"/>
          <w:between w:val="nil"/>
        </w:pBdr>
        <w:spacing w:before="240" w:after="240" w:line="360" w:lineRule="auto"/>
        <w:ind w:left="284" w:hanging="284"/>
        <w:jc w:val="both"/>
        <w:rPr>
          <w:rFonts w:ascii="Arial" w:eastAsia="Arial" w:hAnsi="Arial" w:cs="Arial"/>
          <w:color w:val="000000"/>
          <w:sz w:val="24"/>
          <w:szCs w:val="24"/>
        </w:rPr>
      </w:pPr>
      <w:r>
        <w:rPr>
          <w:rFonts w:ascii="Arial" w:eastAsia="Arial" w:hAnsi="Arial" w:cs="Arial"/>
          <w:b/>
          <w:color w:val="000000"/>
          <w:sz w:val="24"/>
          <w:szCs w:val="24"/>
          <w:u w:val="single"/>
        </w:rPr>
        <w:t>Sanción</w:t>
      </w:r>
    </w:p>
    <w:p w14:paraId="01552456" w14:textId="77777777" w:rsidR="007E61D9" w:rsidRDefault="00D65480">
      <w:pPr>
        <w:spacing w:before="240" w:after="240" w:line="360" w:lineRule="auto"/>
        <w:jc w:val="both"/>
        <w:rPr>
          <w:rFonts w:ascii="Arial" w:eastAsia="Arial" w:hAnsi="Arial" w:cs="Arial"/>
          <w:sz w:val="24"/>
          <w:szCs w:val="24"/>
        </w:rPr>
      </w:pPr>
      <w:r>
        <w:rPr>
          <w:rFonts w:ascii="Arial" w:eastAsia="Arial" w:hAnsi="Arial" w:cs="Arial"/>
          <w:sz w:val="24"/>
          <w:szCs w:val="24"/>
        </w:rPr>
        <w:t>Con base en el artículo 244, fracción IV, del Código Electoral</w:t>
      </w:r>
      <w:r>
        <w:rPr>
          <w:rFonts w:ascii="Arial" w:eastAsia="Arial" w:hAnsi="Arial" w:cs="Arial"/>
          <w:sz w:val="24"/>
          <w:szCs w:val="24"/>
          <w:vertAlign w:val="superscript"/>
        </w:rPr>
        <w:footnoteReference w:id="16"/>
      </w:r>
      <w:r>
        <w:rPr>
          <w:rFonts w:ascii="Arial" w:eastAsia="Arial" w:hAnsi="Arial" w:cs="Arial"/>
          <w:sz w:val="24"/>
          <w:szCs w:val="24"/>
        </w:rPr>
        <w:t xml:space="preserve"> y teniendo presente los elementos objetivos y subjetivos de la infracción, especialmente, los bienes jurídicos protegidos y los efectos de la misma, así como la conducta, se considera que lo procedente es imponer a la candidata Nora Ruvalcaba Gámez, la sanción prevista en el artículo 244, párrafo segundo, fracción III, del Código Electoral</w:t>
      </w:r>
      <w:r>
        <w:rPr>
          <w:rFonts w:ascii="Arial" w:eastAsia="Arial" w:hAnsi="Arial" w:cs="Arial"/>
          <w:sz w:val="24"/>
          <w:szCs w:val="24"/>
          <w:vertAlign w:val="superscript"/>
        </w:rPr>
        <w:footnoteReference w:id="17"/>
      </w:r>
      <w:r>
        <w:rPr>
          <w:rFonts w:ascii="Arial" w:eastAsia="Arial" w:hAnsi="Arial" w:cs="Arial"/>
          <w:sz w:val="24"/>
          <w:szCs w:val="24"/>
        </w:rPr>
        <w:t xml:space="preserve"> consistente en una </w:t>
      </w:r>
      <w:r>
        <w:rPr>
          <w:rFonts w:ascii="Arial" w:eastAsia="Arial" w:hAnsi="Arial" w:cs="Arial"/>
          <w:b/>
          <w:sz w:val="24"/>
          <w:szCs w:val="24"/>
        </w:rPr>
        <w:t xml:space="preserve">multa simbólica de </w:t>
      </w:r>
      <w:r>
        <w:rPr>
          <w:rFonts w:ascii="Arial" w:eastAsia="Arial" w:hAnsi="Arial" w:cs="Arial"/>
          <w:b/>
          <w:sz w:val="24"/>
          <w:szCs w:val="24"/>
        </w:rPr>
        <w:lastRenderedPageBreak/>
        <w:t>40 UMAS</w:t>
      </w:r>
      <w:r>
        <w:rPr>
          <w:rFonts w:ascii="Arial" w:eastAsia="Arial" w:hAnsi="Arial" w:cs="Arial"/>
          <w:b/>
          <w:sz w:val="24"/>
          <w:szCs w:val="24"/>
          <w:vertAlign w:val="superscript"/>
        </w:rPr>
        <w:footnoteReference w:id="18"/>
      </w:r>
      <w:r>
        <w:rPr>
          <w:rFonts w:ascii="Arial" w:eastAsia="Arial" w:hAnsi="Arial" w:cs="Arial"/>
          <w:sz w:val="24"/>
          <w:szCs w:val="24"/>
        </w:rPr>
        <w:t xml:space="preserve"> (Cuarenta Unidades de Medida y Actualización) equivalente a $3,848.80 (Tres mil ochocientos cuarenta y ocho pesos 80/100 M.N.)</w:t>
      </w:r>
    </w:p>
    <w:p w14:paraId="3A5FB50F" w14:textId="77777777" w:rsidR="007E61D9" w:rsidRDefault="00D65480" w:rsidP="007B3AEB">
      <w:pPr>
        <w:spacing w:after="240" w:line="360" w:lineRule="auto"/>
        <w:jc w:val="both"/>
        <w:rPr>
          <w:rFonts w:ascii="Arial" w:eastAsia="Arial" w:hAnsi="Arial" w:cs="Arial"/>
          <w:sz w:val="24"/>
          <w:szCs w:val="24"/>
        </w:rPr>
      </w:pPr>
      <w:r>
        <w:rPr>
          <w:rFonts w:ascii="Arial" w:eastAsia="Arial" w:hAnsi="Arial" w:cs="Arial"/>
          <w:sz w:val="24"/>
          <w:szCs w:val="24"/>
        </w:rPr>
        <w:t xml:space="preserve">Lo anterior, resulta congruente tomando en cuenta la doble finalidad de la aplicación de las sanciones, es decir, una prevención </w:t>
      </w:r>
      <w:r>
        <w:rPr>
          <w:rFonts w:ascii="Arial" w:eastAsia="Arial" w:hAnsi="Arial" w:cs="Arial"/>
          <w:b/>
          <w:i/>
          <w:sz w:val="24"/>
          <w:szCs w:val="24"/>
        </w:rPr>
        <w:t>general</w:t>
      </w:r>
      <w:r>
        <w:rPr>
          <w:rFonts w:ascii="Arial" w:eastAsia="Arial" w:hAnsi="Arial" w:cs="Arial"/>
          <w:sz w:val="24"/>
          <w:szCs w:val="24"/>
        </w:rPr>
        <w:t xml:space="preserve">: impedir la comisión de otros hechos irregulares y, </w:t>
      </w:r>
      <w:r>
        <w:rPr>
          <w:rFonts w:ascii="Arial" w:eastAsia="Arial" w:hAnsi="Arial" w:cs="Arial"/>
          <w:b/>
          <w:i/>
          <w:sz w:val="24"/>
          <w:szCs w:val="24"/>
        </w:rPr>
        <w:t>especial</w:t>
      </w:r>
      <w:r>
        <w:rPr>
          <w:rFonts w:ascii="Arial" w:eastAsia="Arial" w:hAnsi="Arial" w:cs="Arial"/>
          <w:i/>
          <w:sz w:val="24"/>
          <w:szCs w:val="24"/>
        </w:rPr>
        <w:t>:</w:t>
      </w:r>
      <w:r>
        <w:rPr>
          <w:rFonts w:ascii="Arial" w:eastAsia="Arial" w:hAnsi="Arial" w:cs="Arial"/>
          <w:sz w:val="24"/>
          <w:szCs w:val="24"/>
        </w:rPr>
        <w:t xml:space="preserve"> es decir, la aplicación de una sanción a la responsable de la infracción para persuadir y evitar que vuelva a transgredir la normativa, es que se busca hacer conciencia en la candidata denunciada sobre el deber de mayor diligencia que debe observar cuando realice manifestaciones que incluyan temas de especial cuidado.</w:t>
      </w:r>
    </w:p>
    <w:p w14:paraId="04B1D4AC" w14:textId="77777777" w:rsidR="007E61D9" w:rsidRDefault="00D65480" w:rsidP="007B3AEB">
      <w:pPr>
        <w:spacing w:after="240" w:line="360" w:lineRule="auto"/>
        <w:jc w:val="both"/>
        <w:rPr>
          <w:rFonts w:ascii="Arial" w:eastAsia="Arial" w:hAnsi="Arial" w:cs="Arial"/>
          <w:sz w:val="24"/>
          <w:szCs w:val="24"/>
        </w:rPr>
      </w:pPr>
      <w:r>
        <w:rPr>
          <w:rFonts w:ascii="Arial" w:eastAsia="Arial" w:hAnsi="Arial" w:cs="Arial"/>
          <w:sz w:val="24"/>
          <w:szCs w:val="24"/>
        </w:rPr>
        <w:t xml:space="preserve">Por ello, se justifica en el presente asunto la imposición de dicha multa, ya que resulta ser una medida razonable en relación a la gravedad del ilícito y la culpabilidad de la candidata denunciada, pues de imponerse una sanción más grave, podría llegarse al extremo de sancionar de forma excesiva y desproporcionada, en atención a las particularidades de la conducta señalada. </w:t>
      </w:r>
    </w:p>
    <w:p w14:paraId="35388FB8" w14:textId="57744308" w:rsidR="007E61D9" w:rsidRDefault="00D65480" w:rsidP="007B3AEB">
      <w:pPr>
        <w:numPr>
          <w:ilvl w:val="0"/>
          <w:numId w:val="5"/>
        </w:numPr>
        <w:pBdr>
          <w:top w:val="nil"/>
          <w:left w:val="nil"/>
          <w:bottom w:val="nil"/>
          <w:right w:val="nil"/>
          <w:between w:val="nil"/>
        </w:pBdr>
        <w:tabs>
          <w:tab w:val="left" w:pos="284"/>
        </w:tabs>
        <w:spacing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u w:val="single"/>
        </w:rPr>
        <w:t>Pago de la multa.</w:t>
      </w:r>
      <w:r>
        <w:rPr>
          <w:rFonts w:ascii="Arial" w:eastAsia="Arial" w:hAnsi="Arial" w:cs="Arial"/>
          <w:b/>
          <w:color w:val="000000"/>
          <w:sz w:val="24"/>
          <w:szCs w:val="24"/>
        </w:rPr>
        <w:t xml:space="preserve"> </w:t>
      </w:r>
      <w:r>
        <w:rPr>
          <w:rFonts w:ascii="Arial" w:eastAsia="Arial" w:hAnsi="Arial" w:cs="Arial"/>
          <w:color w:val="000000"/>
          <w:sz w:val="24"/>
          <w:szCs w:val="24"/>
        </w:rPr>
        <w:t xml:space="preserve">El pago de la multa impuesta a la candidata Nora Ruvalcaba Gámez, deberá realizarse en la Dirección Administrativa del Instituto </w:t>
      </w:r>
      <w:r w:rsidR="00B449FA">
        <w:rPr>
          <w:rFonts w:ascii="Arial" w:eastAsia="Arial" w:hAnsi="Arial" w:cs="Arial"/>
          <w:color w:val="000000"/>
          <w:sz w:val="24"/>
          <w:szCs w:val="24"/>
        </w:rPr>
        <w:t>L</w:t>
      </w:r>
      <w:r>
        <w:rPr>
          <w:rFonts w:ascii="Arial" w:eastAsia="Arial" w:hAnsi="Arial" w:cs="Arial"/>
          <w:color w:val="000000"/>
          <w:sz w:val="24"/>
          <w:szCs w:val="24"/>
        </w:rPr>
        <w:t xml:space="preserve">ocal, dentro de los </w:t>
      </w:r>
      <w:r>
        <w:rPr>
          <w:rFonts w:ascii="Arial" w:eastAsia="Arial" w:hAnsi="Arial" w:cs="Arial"/>
          <w:b/>
          <w:color w:val="000000"/>
          <w:sz w:val="24"/>
          <w:szCs w:val="24"/>
        </w:rPr>
        <w:t>cinco días</w:t>
      </w:r>
      <w:r>
        <w:rPr>
          <w:rFonts w:ascii="Arial" w:eastAsia="Arial" w:hAnsi="Arial" w:cs="Arial"/>
          <w:color w:val="000000"/>
          <w:sz w:val="24"/>
          <w:szCs w:val="24"/>
        </w:rPr>
        <w:t xml:space="preserve"> siguientes a que esta sentencia quede firme.</w:t>
      </w:r>
      <w:r>
        <w:rPr>
          <w:color w:val="000000"/>
          <w:vertAlign w:val="superscript"/>
        </w:rPr>
        <w:footnoteReference w:id="19"/>
      </w:r>
    </w:p>
    <w:p w14:paraId="55EE5963" w14:textId="77777777" w:rsidR="007E61D9" w:rsidRPr="007B3AEB" w:rsidRDefault="007E61D9" w:rsidP="007B3AEB">
      <w:pPr>
        <w:pBdr>
          <w:top w:val="nil"/>
          <w:left w:val="nil"/>
          <w:bottom w:val="nil"/>
          <w:right w:val="nil"/>
          <w:between w:val="nil"/>
        </w:pBdr>
        <w:rPr>
          <w:color w:val="000000"/>
          <w:sz w:val="14"/>
          <w:szCs w:val="14"/>
        </w:rPr>
      </w:pPr>
    </w:p>
    <w:p w14:paraId="33E8191C" w14:textId="77777777" w:rsidR="007E61D9" w:rsidRDefault="00D65480" w:rsidP="007B3AEB">
      <w:pPr>
        <w:numPr>
          <w:ilvl w:val="0"/>
          <w:numId w:val="5"/>
        </w:numPr>
        <w:pBdr>
          <w:top w:val="nil"/>
          <w:left w:val="nil"/>
          <w:bottom w:val="nil"/>
          <w:right w:val="nil"/>
          <w:between w:val="nil"/>
        </w:pBdr>
        <w:spacing w:after="240" w:line="360" w:lineRule="auto"/>
        <w:ind w:left="284" w:hanging="284"/>
        <w:jc w:val="both"/>
        <w:rPr>
          <w:rFonts w:ascii="Arial" w:eastAsia="Arial" w:hAnsi="Arial" w:cs="Arial"/>
          <w:color w:val="000000"/>
          <w:sz w:val="24"/>
          <w:szCs w:val="24"/>
        </w:rPr>
      </w:pPr>
      <w:r>
        <w:rPr>
          <w:rFonts w:ascii="Arial" w:eastAsia="Arial" w:hAnsi="Arial" w:cs="Arial"/>
          <w:b/>
          <w:color w:val="000000"/>
          <w:sz w:val="24"/>
          <w:szCs w:val="24"/>
          <w:u w:val="single"/>
        </w:rPr>
        <w:t>Culpa in vigilando</w:t>
      </w:r>
    </w:p>
    <w:p w14:paraId="6A182175" w14:textId="655439A4" w:rsidR="007E61D9" w:rsidRDefault="00D65480" w:rsidP="007B3AEB">
      <w:pPr>
        <w:spacing w:line="360" w:lineRule="auto"/>
        <w:jc w:val="both"/>
        <w:rPr>
          <w:rFonts w:ascii="Arial" w:eastAsia="Arial" w:hAnsi="Arial" w:cs="Arial"/>
          <w:sz w:val="24"/>
          <w:szCs w:val="24"/>
        </w:rPr>
      </w:pPr>
      <w:r>
        <w:rPr>
          <w:rFonts w:ascii="Arial" w:eastAsia="Arial" w:hAnsi="Arial" w:cs="Arial"/>
          <w:sz w:val="24"/>
          <w:szCs w:val="24"/>
        </w:rPr>
        <w:t xml:space="preserve">Asimismo, este Tribunal Electoral determina la existencia de la infracción atribuida al Partido Morena, relacionada con la </w:t>
      </w:r>
      <w:r>
        <w:rPr>
          <w:rFonts w:ascii="Arial" w:eastAsia="Arial" w:hAnsi="Arial" w:cs="Arial"/>
          <w:b/>
          <w:sz w:val="24"/>
          <w:szCs w:val="24"/>
        </w:rPr>
        <w:t>omisión</w:t>
      </w:r>
      <w:r>
        <w:rPr>
          <w:rFonts w:ascii="Arial" w:eastAsia="Arial" w:hAnsi="Arial" w:cs="Arial"/>
          <w:sz w:val="24"/>
          <w:szCs w:val="24"/>
        </w:rPr>
        <w:t xml:space="preserve"> a su deber de cuidado en cuanto a la conducta realizada por su candidata a la gubernatura del Estado de Aguascalientes.</w:t>
      </w:r>
    </w:p>
    <w:p w14:paraId="6B343226" w14:textId="77777777" w:rsidR="007B3AEB" w:rsidRPr="007B3AEB" w:rsidRDefault="007B3AEB" w:rsidP="007B3AEB">
      <w:pPr>
        <w:spacing w:line="360" w:lineRule="auto"/>
        <w:jc w:val="both"/>
        <w:rPr>
          <w:rFonts w:ascii="Arial" w:eastAsia="Arial" w:hAnsi="Arial" w:cs="Arial"/>
          <w:sz w:val="10"/>
          <w:szCs w:val="10"/>
        </w:rPr>
      </w:pPr>
    </w:p>
    <w:p w14:paraId="714C882F" w14:textId="201170E2" w:rsidR="007B3AEB" w:rsidRDefault="00D65480" w:rsidP="007B3AEB">
      <w:pPr>
        <w:spacing w:line="360" w:lineRule="auto"/>
        <w:jc w:val="both"/>
        <w:rPr>
          <w:rFonts w:ascii="Arial" w:eastAsia="Arial" w:hAnsi="Arial" w:cs="Arial"/>
          <w:sz w:val="24"/>
          <w:szCs w:val="24"/>
        </w:rPr>
      </w:pPr>
      <w:r>
        <w:rPr>
          <w:rFonts w:ascii="Arial" w:eastAsia="Arial" w:hAnsi="Arial" w:cs="Arial"/>
          <w:sz w:val="24"/>
          <w:szCs w:val="24"/>
        </w:rPr>
        <w:t xml:space="preserve">Lo anterior es así, porque del análisis integral de los hechos denunciados, así como de las pruebas ofrecidas se concluyó que la candidata cuestionada vulneró las reglas en materia de propaganda electoral y, por tanto, </w:t>
      </w:r>
      <w:r>
        <w:rPr>
          <w:rFonts w:ascii="Arial" w:eastAsia="Arial" w:hAnsi="Arial" w:cs="Arial"/>
          <w:b/>
          <w:sz w:val="24"/>
          <w:szCs w:val="24"/>
        </w:rPr>
        <w:t>resulta válido reprochar el incumplimiento al deber de garantes a Morena</w:t>
      </w:r>
      <w:r>
        <w:rPr>
          <w:rFonts w:ascii="Arial" w:eastAsia="Arial" w:hAnsi="Arial" w:cs="Arial"/>
          <w:sz w:val="24"/>
          <w:szCs w:val="24"/>
        </w:rPr>
        <w:t>.</w:t>
      </w:r>
    </w:p>
    <w:p w14:paraId="57EC08A1" w14:textId="77777777" w:rsidR="007B3AEB" w:rsidRPr="007B3AEB" w:rsidRDefault="007B3AEB" w:rsidP="007B3AEB">
      <w:pPr>
        <w:spacing w:line="360" w:lineRule="auto"/>
        <w:jc w:val="both"/>
        <w:rPr>
          <w:rFonts w:ascii="Arial" w:eastAsia="Arial" w:hAnsi="Arial" w:cs="Arial"/>
          <w:sz w:val="8"/>
          <w:szCs w:val="8"/>
        </w:rPr>
      </w:pPr>
    </w:p>
    <w:p w14:paraId="35E18D92" w14:textId="2162B566" w:rsidR="007B3AEB" w:rsidRDefault="00D65480" w:rsidP="007B3AEB">
      <w:pPr>
        <w:spacing w:line="360" w:lineRule="auto"/>
        <w:jc w:val="both"/>
        <w:rPr>
          <w:rFonts w:ascii="Arial" w:eastAsia="Arial" w:hAnsi="Arial" w:cs="Arial"/>
          <w:sz w:val="24"/>
          <w:szCs w:val="24"/>
        </w:rPr>
      </w:pPr>
      <w:r>
        <w:rPr>
          <w:rFonts w:ascii="Arial" w:eastAsia="Arial" w:hAnsi="Arial" w:cs="Arial"/>
          <w:sz w:val="24"/>
          <w:szCs w:val="24"/>
        </w:rPr>
        <w:t>Esto, tomando en cuenta que el referido instituto político tiene el deber de garantizar que las actividades realizadas por sus candidatos y candidatas cumplan con las reglas previstas en el marco normativo vigente.</w:t>
      </w:r>
      <w:r>
        <w:rPr>
          <w:rFonts w:ascii="Arial" w:eastAsia="Arial" w:hAnsi="Arial" w:cs="Arial"/>
          <w:sz w:val="24"/>
          <w:szCs w:val="24"/>
          <w:vertAlign w:val="superscript"/>
        </w:rPr>
        <w:footnoteReference w:id="20"/>
      </w:r>
    </w:p>
    <w:p w14:paraId="62D5D8CD" w14:textId="77777777" w:rsidR="007B3AEB" w:rsidRPr="007B3AEB" w:rsidRDefault="007B3AEB" w:rsidP="007B3AEB">
      <w:pPr>
        <w:spacing w:line="360" w:lineRule="auto"/>
        <w:jc w:val="both"/>
        <w:rPr>
          <w:rFonts w:ascii="Arial" w:eastAsia="Arial" w:hAnsi="Arial" w:cs="Arial"/>
          <w:sz w:val="10"/>
          <w:szCs w:val="10"/>
        </w:rPr>
      </w:pPr>
    </w:p>
    <w:p w14:paraId="2FB319E0" w14:textId="1513DBBD" w:rsidR="007E61D9" w:rsidRDefault="00D65480" w:rsidP="007B3AEB">
      <w:pPr>
        <w:spacing w:after="240" w:line="360" w:lineRule="auto"/>
        <w:jc w:val="both"/>
        <w:rPr>
          <w:rFonts w:ascii="Arial" w:eastAsia="Arial" w:hAnsi="Arial" w:cs="Arial"/>
          <w:sz w:val="24"/>
          <w:szCs w:val="24"/>
        </w:rPr>
      </w:pPr>
      <w:r>
        <w:rPr>
          <w:rFonts w:ascii="Arial" w:eastAsia="Arial" w:hAnsi="Arial" w:cs="Arial"/>
          <w:sz w:val="24"/>
          <w:szCs w:val="24"/>
        </w:rPr>
        <w:t xml:space="preserve">Por tanto, este órgano jurisdiccional considera necesario imponer a dicho instituto político una sanción consistente en una </w:t>
      </w:r>
      <w:r>
        <w:rPr>
          <w:rFonts w:ascii="Arial" w:eastAsia="Arial" w:hAnsi="Arial" w:cs="Arial"/>
          <w:b/>
          <w:sz w:val="24"/>
          <w:szCs w:val="24"/>
          <w:u w:val="single"/>
        </w:rPr>
        <w:t>amonestación pública</w:t>
      </w:r>
      <w:r>
        <w:rPr>
          <w:rFonts w:ascii="Arial" w:eastAsia="Arial" w:hAnsi="Arial" w:cs="Arial"/>
          <w:sz w:val="24"/>
          <w:szCs w:val="24"/>
        </w:rPr>
        <w:t xml:space="preserve">, en atención a su </w:t>
      </w:r>
      <w:r>
        <w:rPr>
          <w:rFonts w:ascii="Arial" w:eastAsia="Arial" w:hAnsi="Arial" w:cs="Arial"/>
          <w:b/>
          <w:sz w:val="24"/>
          <w:szCs w:val="24"/>
        </w:rPr>
        <w:t>omisión de cuidar y vigilar</w:t>
      </w:r>
      <w:r>
        <w:rPr>
          <w:rFonts w:ascii="Arial" w:eastAsia="Arial" w:hAnsi="Arial" w:cs="Arial"/>
          <w:sz w:val="24"/>
          <w:szCs w:val="24"/>
        </w:rPr>
        <w:t xml:space="preserve"> que su candidata no vulnerara la normativa. Ello de conformidad al artículo 242, segundo párrafo, fracción I, del Código Electoral.</w:t>
      </w:r>
      <w:r>
        <w:rPr>
          <w:rFonts w:ascii="Arial" w:eastAsia="Arial" w:hAnsi="Arial" w:cs="Arial"/>
          <w:sz w:val="24"/>
          <w:szCs w:val="24"/>
          <w:vertAlign w:val="superscript"/>
        </w:rPr>
        <w:footnoteReference w:id="21"/>
      </w:r>
    </w:p>
    <w:p w14:paraId="04F4835D" w14:textId="77777777" w:rsidR="007E61D9" w:rsidRDefault="00D65480">
      <w:pPr>
        <w:numPr>
          <w:ilvl w:val="0"/>
          <w:numId w:val="6"/>
        </w:numPr>
        <w:pBdr>
          <w:top w:val="nil"/>
          <w:left w:val="nil"/>
          <w:bottom w:val="nil"/>
          <w:right w:val="nil"/>
          <w:between w:val="nil"/>
        </w:pBdr>
        <w:tabs>
          <w:tab w:val="left" w:pos="284"/>
        </w:tabs>
        <w:spacing w:before="240"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u w:val="single"/>
        </w:rPr>
        <w:t>Publicidad de la sanción.</w:t>
      </w:r>
      <w:r>
        <w:rPr>
          <w:rFonts w:ascii="Arial" w:eastAsia="Arial" w:hAnsi="Arial" w:cs="Arial"/>
          <w:color w:val="000000"/>
          <w:sz w:val="24"/>
          <w:szCs w:val="24"/>
        </w:rPr>
        <w:t xml:space="preserve"> </w:t>
      </w:r>
      <w:r>
        <w:rPr>
          <w:rFonts w:ascii="Arial" w:eastAsia="Arial" w:hAnsi="Arial" w:cs="Arial"/>
          <w:b/>
          <w:color w:val="000000"/>
          <w:sz w:val="24"/>
          <w:szCs w:val="24"/>
        </w:rPr>
        <w:t xml:space="preserve">Publíquese esta sentencia en el Catálogo de Sujetos Sancionados </w:t>
      </w:r>
      <w:r>
        <w:rPr>
          <w:rFonts w:ascii="Arial" w:eastAsia="Arial" w:hAnsi="Arial" w:cs="Arial"/>
          <w:color w:val="000000"/>
          <w:sz w:val="24"/>
          <w:szCs w:val="24"/>
        </w:rPr>
        <w:t>en los Procedimientos Especiales Sancionadores de la página de Internet de este Tribunal Electoral.</w:t>
      </w:r>
    </w:p>
    <w:p w14:paraId="33604A39" w14:textId="77777777" w:rsidR="007E61D9" w:rsidRDefault="00D65480">
      <w:pPr>
        <w:spacing w:line="360" w:lineRule="auto"/>
        <w:jc w:val="center"/>
        <w:rPr>
          <w:rFonts w:ascii="Arial" w:eastAsia="Arial" w:hAnsi="Arial" w:cs="Arial"/>
          <w:b/>
          <w:sz w:val="24"/>
          <w:szCs w:val="24"/>
        </w:rPr>
      </w:pPr>
      <w:r>
        <w:rPr>
          <w:rFonts w:ascii="Arial" w:eastAsia="Arial" w:hAnsi="Arial" w:cs="Arial"/>
          <w:b/>
          <w:sz w:val="24"/>
          <w:szCs w:val="24"/>
        </w:rPr>
        <w:t>VI. Resolutivos:</w:t>
      </w:r>
    </w:p>
    <w:p w14:paraId="100C3278" w14:textId="77777777" w:rsidR="007E61D9" w:rsidRDefault="007E61D9">
      <w:pPr>
        <w:pBdr>
          <w:top w:val="nil"/>
          <w:left w:val="nil"/>
          <w:bottom w:val="nil"/>
          <w:right w:val="nil"/>
          <w:between w:val="nil"/>
        </w:pBdr>
        <w:rPr>
          <w:color w:val="000000"/>
        </w:rPr>
      </w:pPr>
    </w:p>
    <w:p w14:paraId="3EF8DD31" w14:textId="77777777" w:rsidR="007E61D9" w:rsidRDefault="00D65480">
      <w:pPr>
        <w:spacing w:line="360" w:lineRule="auto"/>
        <w:jc w:val="both"/>
        <w:rPr>
          <w:rFonts w:ascii="Arial" w:eastAsia="Arial" w:hAnsi="Arial" w:cs="Arial"/>
          <w:sz w:val="24"/>
          <w:szCs w:val="24"/>
        </w:rPr>
      </w:pPr>
      <w:r>
        <w:rPr>
          <w:rFonts w:ascii="Arial" w:eastAsia="Arial" w:hAnsi="Arial" w:cs="Arial"/>
          <w:b/>
          <w:sz w:val="24"/>
          <w:szCs w:val="24"/>
        </w:rPr>
        <w:t xml:space="preserve">Primero. </w:t>
      </w:r>
      <w:r>
        <w:rPr>
          <w:rFonts w:ascii="Arial" w:eastAsia="Arial" w:hAnsi="Arial" w:cs="Arial"/>
          <w:sz w:val="24"/>
          <w:szCs w:val="24"/>
        </w:rPr>
        <w:t xml:space="preserve">Se </w:t>
      </w:r>
      <w:r>
        <w:rPr>
          <w:rFonts w:ascii="Arial" w:eastAsia="Arial" w:hAnsi="Arial" w:cs="Arial"/>
          <w:b/>
          <w:sz w:val="24"/>
          <w:szCs w:val="24"/>
        </w:rPr>
        <w:t xml:space="preserve">acredita </w:t>
      </w:r>
      <w:r>
        <w:rPr>
          <w:rFonts w:ascii="Arial" w:eastAsia="Arial" w:hAnsi="Arial" w:cs="Arial"/>
          <w:sz w:val="24"/>
          <w:szCs w:val="24"/>
        </w:rPr>
        <w:t>la infracción atribuida a Nora Ruvalcaba Gámez.</w:t>
      </w:r>
    </w:p>
    <w:p w14:paraId="6C4A7218" w14:textId="77777777" w:rsidR="007E61D9" w:rsidRDefault="007E61D9">
      <w:pPr>
        <w:pBdr>
          <w:top w:val="nil"/>
          <w:left w:val="nil"/>
          <w:bottom w:val="nil"/>
          <w:right w:val="nil"/>
          <w:between w:val="nil"/>
        </w:pBdr>
        <w:rPr>
          <w:color w:val="000000"/>
        </w:rPr>
      </w:pPr>
    </w:p>
    <w:p w14:paraId="7F0805FD" w14:textId="77777777" w:rsidR="007E61D9" w:rsidRDefault="00D65480">
      <w:pPr>
        <w:spacing w:line="360" w:lineRule="auto"/>
        <w:jc w:val="both"/>
        <w:rPr>
          <w:rFonts w:ascii="Arial" w:eastAsia="Arial" w:hAnsi="Arial" w:cs="Arial"/>
          <w:sz w:val="24"/>
          <w:szCs w:val="24"/>
        </w:rPr>
      </w:pPr>
      <w:r>
        <w:rPr>
          <w:rFonts w:ascii="Arial" w:eastAsia="Arial" w:hAnsi="Arial" w:cs="Arial"/>
          <w:b/>
          <w:sz w:val="24"/>
          <w:szCs w:val="24"/>
        </w:rPr>
        <w:t>Segundo.</w:t>
      </w:r>
      <w:r>
        <w:rPr>
          <w:rFonts w:ascii="Arial" w:eastAsia="Arial" w:hAnsi="Arial" w:cs="Arial"/>
          <w:sz w:val="24"/>
          <w:szCs w:val="24"/>
        </w:rPr>
        <w:t xml:space="preserve"> Se impone a Nora Ruvalcaba Gámez, la sanción consistente en una </w:t>
      </w:r>
      <w:r>
        <w:rPr>
          <w:rFonts w:ascii="Arial" w:eastAsia="Arial" w:hAnsi="Arial" w:cs="Arial"/>
          <w:b/>
          <w:sz w:val="24"/>
          <w:szCs w:val="24"/>
        </w:rPr>
        <w:t xml:space="preserve">multa </w:t>
      </w:r>
      <w:r>
        <w:rPr>
          <w:rFonts w:ascii="Arial" w:eastAsia="Arial" w:hAnsi="Arial" w:cs="Arial"/>
          <w:sz w:val="24"/>
          <w:szCs w:val="24"/>
        </w:rPr>
        <w:t xml:space="preserve">de </w:t>
      </w:r>
      <w:r>
        <w:rPr>
          <w:rFonts w:ascii="Arial" w:eastAsia="Arial" w:hAnsi="Arial" w:cs="Arial"/>
          <w:b/>
          <w:sz w:val="24"/>
          <w:szCs w:val="24"/>
        </w:rPr>
        <w:t>40 UMAS</w:t>
      </w:r>
      <w:r>
        <w:rPr>
          <w:rFonts w:ascii="Arial" w:eastAsia="Arial" w:hAnsi="Arial" w:cs="Arial"/>
          <w:sz w:val="24"/>
          <w:szCs w:val="24"/>
        </w:rPr>
        <w:t xml:space="preserve"> (Cuarenta Unidades de Medida y Actualización) equivalente a $3,848.80 (Tres mil ochocientos cuarenta y ocho pesos 80/100 M.N.)</w:t>
      </w:r>
    </w:p>
    <w:p w14:paraId="71DAC41A" w14:textId="77777777" w:rsidR="007E61D9" w:rsidRDefault="007E61D9">
      <w:pPr>
        <w:pBdr>
          <w:top w:val="nil"/>
          <w:left w:val="nil"/>
          <w:bottom w:val="nil"/>
          <w:right w:val="nil"/>
          <w:between w:val="nil"/>
        </w:pBdr>
        <w:rPr>
          <w:color w:val="000000"/>
        </w:rPr>
      </w:pPr>
    </w:p>
    <w:p w14:paraId="70A209C3" w14:textId="77777777" w:rsidR="007E61D9" w:rsidRDefault="00D65480">
      <w:pPr>
        <w:spacing w:line="360" w:lineRule="auto"/>
        <w:jc w:val="both"/>
        <w:rPr>
          <w:rFonts w:ascii="Arial" w:eastAsia="Arial" w:hAnsi="Arial" w:cs="Arial"/>
          <w:sz w:val="24"/>
          <w:szCs w:val="24"/>
        </w:rPr>
      </w:pPr>
      <w:r>
        <w:rPr>
          <w:rFonts w:ascii="Arial" w:eastAsia="Arial" w:hAnsi="Arial" w:cs="Arial"/>
          <w:b/>
          <w:sz w:val="24"/>
          <w:szCs w:val="24"/>
        </w:rPr>
        <w:t xml:space="preserve">Tercero. </w:t>
      </w:r>
      <w:r>
        <w:rPr>
          <w:rFonts w:ascii="Arial" w:eastAsia="Arial" w:hAnsi="Arial" w:cs="Arial"/>
          <w:sz w:val="24"/>
          <w:szCs w:val="24"/>
        </w:rPr>
        <w:t xml:space="preserve">Se declara la </w:t>
      </w:r>
      <w:r>
        <w:rPr>
          <w:rFonts w:ascii="Arial" w:eastAsia="Arial" w:hAnsi="Arial" w:cs="Arial"/>
          <w:b/>
          <w:sz w:val="24"/>
          <w:szCs w:val="24"/>
        </w:rPr>
        <w:t xml:space="preserve">existencia </w:t>
      </w:r>
      <w:r>
        <w:rPr>
          <w:rFonts w:ascii="Arial" w:eastAsia="Arial" w:hAnsi="Arial" w:cs="Arial"/>
          <w:sz w:val="24"/>
          <w:szCs w:val="24"/>
        </w:rPr>
        <w:t xml:space="preserve">de la infracción consistente en </w:t>
      </w:r>
      <w:r>
        <w:rPr>
          <w:rFonts w:ascii="Arial" w:eastAsia="Arial" w:hAnsi="Arial" w:cs="Arial"/>
          <w:b/>
          <w:i/>
          <w:sz w:val="24"/>
          <w:szCs w:val="24"/>
        </w:rPr>
        <w:t>culpa in vigilando</w:t>
      </w:r>
      <w:r>
        <w:rPr>
          <w:rFonts w:ascii="Arial" w:eastAsia="Arial" w:hAnsi="Arial" w:cs="Arial"/>
          <w:sz w:val="24"/>
          <w:szCs w:val="24"/>
        </w:rPr>
        <w:t xml:space="preserve"> atribuida al partido político Morena.</w:t>
      </w:r>
    </w:p>
    <w:p w14:paraId="135D6279" w14:textId="77777777" w:rsidR="007E61D9" w:rsidRDefault="00D65480">
      <w:pPr>
        <w:spacing w:before="240" w:line="360" w:lineRule="auto"/>
        <w:jc w:val="both"/>
        <w:rPr>
          <w:rFonts w:ascii="Arial" w:eastAsia="Arial" w:hAnsi="Arial" w:cs="Arial"/>
          <w:sz w:val="24"/>
          <w:szCs w:val="24"/>
        </w:rPr>
      </w:pPr>
      <w:r>
        <w:rPr>
          <w:rFonts w:ascii="Arial" w:eastAsia="Arial" w:hAnsi="Arial" w:cs="Arial"/>
          <w:b/>
          <w:sz w:val="24"/>
          <w:szCs w:val="24"/>
        </w:rPr>
        <w:t xml:space="preserve">Cuarto. </w:t>
      </w:r>
      <w:r>
        <w:rPr>
          <w:rFonts w:ascii="Arial" w:eastAsia="Arial" w:hAnsi="Arial" w:cs="Arial"/>
          <w:sz w:val="24"/>
          <w:szCs w:val="24"/>
        </w:rPr>
        <w:t xml:space="preserve">Se </w:t>
      </w:r>
      <w:r>
        <w:rPr>
          <w:rFonts w:ascii="Arial" w:eastAsia="Arial" w:hAnsi="Arial" w:cs="Arial"/>
          <w:b/>
          <w:sz w:val="24"/>
          <w:szCs w:val="24"/>
        </w:rPr>
        <w:t>impone una amonestación pública</w:t>
      </w:r>
      <w:r>
        <w:rPr>
          <w:rFonts w:ascii="Arial" w:eastAsia="Arial" w:hAnsi="Arial" w:cs="Arial"/>
          <w:sz w:val="24"/>
          <w:szCs w:val="24"/>
        </w:rPr>
        <w:t xml:space="preserve"> al partido político Morena. </w:t>
      </w:r>
    </w:p>
    <w:p w14:paraId="00976D57" w14:textId="77777777" w:rsidR="007E61D9" w:rsidRDefault="007E61D9">
      <w:pPr>
        <w:pBdr>
          <w:top w:val="nil"/>
          <w:left w:val="nil"/>
          <w:bottom w:val="nil"/>
          <w:right w:val="nil"/>
          <w:between w:val="nil"/>
        </w:pBdr>
        <w:rPr>
          <w:color w:val="000000"/>
        </w:rPr>
      </w:pPr>
    </w:p>
    <w:p w14:paraId="4C4A4A9E" w14:textId="77777777" w:rsidR="007E61D9" w:rsidRDefault="00D65480">
      <w:pPr>
        <w:spacing w:line="360" w:lineRule="auto"/>
        <w:jc w:val="both"/>
        <w:rPr>
          <w:rFonts w:ascii="Arial" w:eastAsia="Arial" w:hAnsi="Arial" w:cs="Arial"/>
          <w:sz w:val="24"/>
          <w:szCs w:val="24"/>
        </w:rPr>
      </w:pPr>
      <w:r>
        <w:rPr>
          <w:rFonts w:ascii="Arial" w:eastAsia="Arial" w:hAnsi="Arial" w:cs="Arial"/>
          <w:b/>
          <w:sz w:val="24"/>
          <w:szCs w:val="24"/>
        </w:rPr>
        <w:t xml:space="preserve">Quinto. </w:t>
      </w:r>
      <w:r>
        <w:rPr>
          <w:rFonts w:ascii="Arial" w:eastAsia="Arial" w:hAnsi="Arial" w:cs="Arial"/>
          <w:sz w:val="24"/>
          <w:szCs w:val="24"/>
        </w:rPr>
        <w:t>Publíquese en la página de internet de este Tribunal, en el catálogo de sujetos sancionados de los Procedimientos Especiales Sancionadores.</w:t>
      </w:r>
    </w:p>
    <w:p w14:paraId="591D6916" w14:textId="77777777" w:rsidR="007E61D9" w:rsidRDefault="007E61D9">
      <w:pPr>
        <w:pBdr>
          <w:top w:val="nil"/>
          <w:left w:val="nil"/>
          <w:bottom w:val="nil"/>
          <w:right w:val="nil"/>
          <w:between w:val="nil"/>
        </w:pBdr>
        <w:rPr>
          <w:color w:val="000000"/>
        </w:rPr>
      </w:pPr>
    </w:p>
    <w:p w14:paraId="5855668E" w14:textId="77777777" w:rsidR="007E61D9" w:rsidRDefault="00D65480">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Notifíquese. </w:t>
      </w:r>
    </w:p>
    <w:p w14:paraId="08BB9AA9" w14:textId="77777777" w:rsidR="007E61D9" w:rsidRDefault="007E61D9">
      <w:pPr>
        <w:pBdr>
          <w:top w:val="nil"/>
          <w:left w:val="nil"/>
          <w:bottom w:val="nil"/>
          <w:right w:val="nil"/>
          <w:between w:val="nil"/>
        </w:pBdr>
        <w:rPr>
          <w:color w:val="000000"/>
        </w:rPr>
      </w:pPr>
    </w:p>
    <w:p w14:paraId="202904C9" w14:textId="77777777" w:rsidR="007E61D9" w:rsidRDefault="00D65480">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lo resolvió el Tribunal Electoral del Estado de Aguascalientes, por unanimidad de votos de las </w:t>
      </w:r>
      <w:r>
        <w:rPr>
          <w:rFonts w:ascii="Arial" w:eastAsia="Arial" w:hAnsi="Arial" w:cs="Arial"/>
          <w:sz w:val="24"/>
          <w:szCs w:val="24"/>
        </w:rPr>
        <w:t xml:space="preserve">Magistradas y el </w:t>
      </w:r>
      <w:r>
        <w:rPr>
          <w:rFonts w:ascii="Arial" w:eastAsia="Arial" w:hAnsi="Arial" w:cs="Arial"/>
          <w:color w:val="000000"/>
          <w:sz w:val="24"/>
          <w:szCs w:val="24"/>
        </w:rPr>
        <w:t xml:space="preserve">Magistrado en funciones que lo integran, ante el </w:t>
      </w:r>
      <w:proofErr w:type="gramStart"/>
      <w:r>
        <w:rPr>
          <w:rFonts w:ascii="Arial" w:eastAsia="Arial" w:hAnsi="Arial" w:cs="Arial"/>
          <w:color w:val="000000"/>
          <w:sz w:val="24"/>
          <w:szCs w:val="24"/>
        </w:rPr>
        <w:t>Secretario General</w:t>
      </w:r>
      <w:proofErr w:type="gramEnd"/>
      <w:r>
        <w:rPr>
          <w:rFonts w:ascii="Arial" w:eastAsia="Arial" w:hAnsi="Arial" w:cs="Arial"/>
          <w:color w:val="000000"/>
          <w:sz w:val="24"/>
          <w:szCs w:val="24"/>
        </w:rPr>
        <w:t xml:space="preserve"> de Acuerdos, quien autoriza y da fe.</w:t>
      </w:r>
    </w:p>
    <w:p w14:paraId="60A9601E" w14:textId="77777777" w:rsidR="007E61D9" w:rsidRDefault="007E61D9">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p>
    <w:p w14:paraId="5CD95B94" w14:textId="77777777" w:rsidR="007E61D9" w:rsidRDefault="007E61D9">
      <w:pPr>
        <w:pBdr>
          <w:top w:val="nil"/>
          <w:left w:val="nil"/>
          <w:bottom w:val="nil"/>
          <w:right w:val="nil"/>
          <w:between w:val="nil"/>
        </w:pBdr>
        <w:rPr>
          <w:color w:val="000000"/>
        </w:rPr>
      </w:pPr>
    </w:p>
    <w:tbl>
      <w:tblPr>
        <w:tblStyle w:val="aff1"/>
        <w:tblW w:w="9120" w:type="dxa"/>
        <w:jc w:val="center"/>
        <w:tblInd w:w="0" w:type="dxa"/>
        <w:tblLayout w:type="fixed"/>
        <w:tblLook w:val="0400" w:firstRow="0" w:lastRow="0" w:firstColumn="0" w:lastColumn="0" w:noHBand="0" w:noVBand="1"/>
      </w:tblPr>
      <w:tblGrid>
        <w:gridCol w:w="4559"/>
        <w:gridCol w:w="4561"/>
      </w:tblGrid>
      <w:tr w:rsidR="007E61D9" w14:paraId="6758AF6A" w14:textId="77777777" w:rsidTr="00B449FA">
        <w:trPr>
          <w:trHeight w:val="1211"/>
          <w:jc w:val="center"/>
        </w:trPr>
        <w:tc>
          <w:tcPr>
            <w:tcW w:w="9120" w:type="dxa"/>
            <w:gridSpan w:val="2"/>
            <w:shd w:val="clear" w:color="auto" w:fill="auto"/>
          </w:tcPr>
          <w:p w14:paraId="199B2033" w14:textId="77777777" w:rsidR="007E61D9" w:rsidRDefault="00D65480">
            <w:pPr>
              <w:spacing w:line="360" w:lineRule="auto"/>
              <w:jc w:val="center"/>
              <w:rPr>
                <w:rFonts w:ascii="Arial" w:eastAsia="Arial" w:hAnsi="Arial" w:cs="Arial"/>
                <w:b/>
                <w:color w:val="000000"/>
                <w:sz w:val="24"/>
                <w:szCs w:val="24"/>
              </w:rPr>
            </w:pPr>
            <w:bookmarkStart w:id="7" w:name="_heading=h.3znysh7" w:colFirst="0" w:colLast="0"/>
            <w:bookmarkEnd w:id="7"/>
            <w:r>
              <w:rPr>
                <w:rFonts w:ascii="Arial" w:eastAsia="Arial" w:hAnsi="Arial" w:cs="Arial"/>
                <w:b/>
                <w:color w:val="000000"/>
                <w:sz w:val="24"/>
                <w:szCs w:val="24"/>
              </w:rPr>
              <w:t>MAGISTRADA PRESIDENTA</w:t>
            </w:r>
          </w:p>
          <w:p w14:paraId="6F2EF96D" w14:textId="77777777" w:rsidR="007E61D9" w:rsidRDefault="007E61D9">
            <w:pPr>
              <w:pBdr>
                <w:top w:val="nil"/>
                <w:left w:val="nil"/>
                <w:bottom w:val="nil"/>
                <w:right w:val="nil"/>
                <w:between w:val="nil"/>
              </w:pBdr>
              <w:rPr>
                <w:rFonts w:ascii="Times New Roman" w:eastAsia="Times New Roman" w:hAnsi="Times New Roman" w:cs="Times New Roman"/>
                <w:color w:val="000000"/>
                <w:sz w:val="24"/>
                <w:szCs w:val="24"/>
              </w:rPr>
            </w:pPr>
          </w:p>
          <w:p w14:paraId="7823AD93" w14:textId="77777777" w:rsidR="007E61D9" w:rsidRDefault="00D65480">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p w14:paraId="0BC6DEA9" w14:textId="77777777" w:rsidR="007E61D9" w:rsidRDefault="007E61D9">
            <w:pPr>
              <w:spacing w:line="360" w:lineRule="auto"/>
              <w:jc w:val="center"/>
              <w:rPr>
                <w:rFonts w:ascii="Arial" w:eastAsia="Arial" w:hAnsi="Arial" w:cs="Arial"/>
                <w:b/>
                <w:color w:val="000000"/>
                <w:sz w:val="24"/>
                <w:szCs w:val="24"/>
              </w:rPr>
            </w:pPr>
          </w:p>
        </w:tc>
      </w:tr>
      <w:tr w:rsidR="007E61D9" w14:paraId="5ECAC2ED" w14:textId="77777777" w:rsidTr="00B449FA">
        <w:trPr>
          <w:trHeight w:val="1549"/>
          <w:jc w:val="center"/>
        </w:trPr>
        <w:tc>
          <w:tcPr>
            <w:tcW w:w="4559" w:type="dxa"/>
            <w:shd w:val="clear" w:color="auto" w:fill="auto"/>
          </w:tcPr>
          <w:p w14:paraId="504E7449" w14:textId="77777777" w:rsidR="007E61D9" w:rsidRDefault="00D65480">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lastRenderedPageBreak/>
              <w:t>MAGISTRADA</w:t>
            </w:r>
          </w:p>
          <w:p w14:paraId="6CCFFB3E" w14:textId="77777777" w:rsidR="007E61D9" w:rsidRDefault="007E61D9">
            <w:pPr>
              <w:pBdr>
                <w:top w:val="nil"/>
                <w:left w:val="nil"/>
                <w:bottom w:val="nil"/>
                <w:right w:val="nil"/>
                <w:between w:val="nil"/>
              </w:pBdr>
              <w:rPr>
                <w:rFonts w:ascii="Times New Roman" w:eastAsia="Times New Roman" w:hAnsi="Times New Roman" w:cs="Times New Roman"/>
                <w:color w:val="000000"/>
                <w:sz w:val="24"/>
                <w:szCs w:val="24"/>
              </w:rPr>
            </w:pPr>
          </w:p>
          <w:p w14:paraId="01E67ADB" w14:textId="77777777" w:rsidR="007E61D9" w:rsidRDefault="00D65480">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0203C475" w14:textId="77777777" w:rsidR="007E61D9" w:rsidRDefault="00D65480">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shd w:val="clear" w:color="auto" w:fill="auto"/>
          </w:tcPr>
          <w:p w14:paraId="65946604" w14:textId="77777777" w:rsidR="007E61D9" w:rsidRDefault="00D65480">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MAGISTRADO </w:t>
            </w:r>
          </w:p>
          <w:p w14:paraId="091A8A0F" w14:textId="77777777" w:rsidR="007E61D9" w:rsidRDefault="007E61D9">
            <w:pPr>
              <w:rPr>
                <w:sz w:val="28"/>
                <w:szCs w:val="28"/>
              </w:rPr>
            </w:pPr>
          </w:p>
          <w:p w14:paraId="5A2F0EC8" w14:textId="77777777" w:rsidR="007E61D9" w:rsidRDefault="00D65480">
            <w:pPr>
              <w:jc w:val="center"/>
              <w:rPr>
                <w:rFonts w:ascii="Arial" w:eastAsia="Arial" w:hAnsi="Arial" w:cs="Arial"/>
                <w:b/>
                <w:color w:val="000000"/>
                <w:sz w:val="24"/>
                <w:szCs w:val="24"/>
              </w:rPr>
            </w:pPr>
            <w:r>
              <w:rPr>
                <w:rFonts w:ascii="Arial" w:eastAsia="Arial" w:hAnsi="Arial" w:cs="Arial"/>
                <w:b/>
                <w:color w:val="000000"/>
                <w:sz w:val="24"/>
                <w:szCs w:val="24"/>
              </w:rPr>
              <w:t xml:space="preserve">HÉCTOR SALVADOR </w:t>
            </w:r>
          </w:p>
          <w:p w14:paraId="5A56E45F" w14:textId="77777777" w:rsidR="007E61D9" w:rsidRDefault="00D65480">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528408EC" w14:textId="77777777" w:rsidR="007E61D9" w:rsidRDefault="007E61D9">
            <w:pPr>
              <w:jc w:val="center"/>
              <w:rPr>
                <w:rFonts w:ascii="Arial" w:eastAsia="Arial" w:hAnsi="Arial" w:cs="Arial"/>
                <w:b/>
                <w:color w:val="000000"/>
                <w:sz w:val="24"/>
                <w:szCs w:val="24"/>
              </w:rPr>
            </w:pPr>
          </w:p>
          <w:p w14:paraId="2E571B9B" w14:textId="77777777" w:rsidR="007E61D9" w:rsidRDefault="007E61D9">
            <w:pPr>
              <w:rPr>
                <w:sz w:val="24"/>
                <w:szCs w:val="24"/>
              </w:rPr>
            </w:pPr>
          </w:p>
        </w:tc>
      </w:tr>
      <w:tr w:rsidR="007E61D9" w14:paraId="0AF24A0F" w14:textId="77777777" w:rsidTr="00B449FA">
        <w:trPr>
          <w:jc w:val="center"/>
        </w:trPr>
        <w:tc>
          <w:tcPr>
            <w:tcW w:w="9120" w:type="dxa"/>
            <w:gridSpan w:val="2"/>
            <w:shd w:val="clear" w:color="auto" w:fill="auto"/>
          </w:tcPr>
          <w:p w14:paraId="23A4F217" w14:textId="77777777" w:rsidR="007E61D9" w:rsidRDefault="00D65480">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SECRETARIO GENERAL DE ACUERDOS </w:t>
            </w:r>
          </w:p>
          <w:p w14:paraId="09E816BA" w14:textId="77777777" w:rsidR="007E61D9" w:rsidRDefault="007E61D9">
            <w:pPr>
              <w:pBdr>
                <w:top w:val="nil"/>
                <w:left w:val="nil"/>
                <w:bottom w:val="nil"/>
                <w:right w:val="nil"/>
                <w:between w:val="nil"/>
              </w:pBdr>
              <w:rPr>
                <w:rFonts w:ascii="Times New Roman" w:eastAsia="Times New Roman" w:hAnsi="Times New Roman" w:cs="Times New Roman"/>
                <w:color w:val="000000"/>
                <w:sz w:val="24"/>
                <w:szCs w:val="24"/>
              </w:rPr>
            </w:pPr>
          </w:p>
          <w:p w14:paraId="27BCA428" w14:textId="77777777" w:rsidR="007E61D9" w:rsidRDefault="00D65480">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JESUS OCIEL BAENA SAUCEDO </w:t>
            </w:r>
          </w:p>
        </w:tc>
      </w:tr>
    </w:tbl>
    <w:p w14:paraId="0C0FC56B" w14:textId="77777777" w:rsidR="007E61D9" w:rsidRDefault="007E61D9">
      <w:pPr>
        <w:spacing w:line="360" w:lineRule="auto"/>
        <w:rPr>
          <w:rFonts w:ascii="Arial" w:eastAsia="Arial" w:hAnsi="Arial" w:cs="Arial"/>
          <w:sz w:val="24"/>
          <w:szCs w:val="24"/>
        </w:rPr>
      </w:pPr>
    </w:p>
    <w:sectPr w:rsidR="007E61D9">
      <w:headerReference w:type="even" r:id="rId19"/>
      <w:headerReference w:type="default" r:id="rId20"/>
      <w:footerReference w:type="even" r:id="rId21"/>
      <w:footerReference w:type="default" r:id="rId22"/>
      <w:headerReference w:type="first" r:id="rId23"/>
      <w:footerReference w:type="first" r:id="rId24"/>
      <w:pgSz w:w="12240" w:h="20160"/>
      <w:pgMar w:top="2268" w:right="1134" w:bottom="1276"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2CE8F" w14:textId="77777777" w:rsidR="008008BE" w:rsidRDefault="008008BE">
      <w:r>
        <w:separator/>
      </w:r>
    </w:p>
  </w:endnote>
  <w:endnote w:type="continuationSeparator" w:id="0">
    <w:p w14:paraId="722EF2EF" w14:textId="77777777" w:rsidR="008008BE" w:rsidRDefault="00800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4579B" w14:textId="77777777" w:rsidR="007E61D9" w:rsidRDefault="007E61D9">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B505C" w14:textId="77777777" w:rsidR="007E61D9" w:rsidRDefault="007E61D9">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F5F35" w14:textId="77777777" w:rsidR="007E61D9" w:rsidRDefault="007E61D9">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2D5CC" w14:textId="77777777" w:rsidR="008008BE" w:rsidRDefault="008008BE">
      <w:r>
        <w:separator/>
      </w:r>
    </w:p>
  </w:footnote>
  <w:footnote w:type="continuationSeparator" w:id="0">
    <w:p w14:paraId="371058DF" w14:textId="77777777" w:rsidR="008008BE" w:rsidRDefault="008008BE">
      <w:r>
        <w:continuationSeparator/>
      </w:r>
    </w:p>
  </w:footnote>
  <w:footnote w:id="1">
    <w:p w14:paraId="1662A3C8" w14:textId="77777777" w:rsidR="007E61D9" w:rsidRDefault="00D65480">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Encargado de despacho de la secretaría de estudio de la ponencia II.</w:t>
      </w:r>
    </w:p>
  </w:footnote>
  <w:footnote w:id="2">
    <w:p w14:paraId="6131E0E2" w14:textId="77777777" w:rsidR="007E61D9" w:rsidRDefault="00D65480">
      <w:pPr>
        <w:jc w:val="both"/>
        <w:rPr>
          <w:rFonts w:ascii="Arial" w:eastAsia="Arial" w:hAnsi="Arial" w:cs="Arial"/>
        </w:rPr>
      </w:pPr>
      <w:r>
        <w:rPr>
          <w:vertAlign w:val="superscript"/>
        </w:rPr>
        <w:footnoteRef/>
      </w:r>
      <w:r>
        <w:rPr>
          <w:rFonts w:ascii="Arial" w:eastAsia="Arial" w:hAnsi="Arial" w:cs="Arial"/>
        </w:rPr>
        <w:t xml:space="preserve"> Todas las fechas corresponden al 2022, salvo precisión en contrario.</w:t>
      </w:r>
    </w:p>
  </w:footnote>
  <w:footnote w:id="3">
    <w:p w14:paraId="518D24E7" w14:textId="77777777" w:rsidR="007E61D9" w:rsidRDefault="00D65480">
      <w:pPr>
        <w:jc w:val="both"/>
        <w:rPr>
          <w:rFonts w:ascii="Arial" w:eastAsia="Arial" w:hAnsi="Arial" w:cs="Arial"/>
        </w:rPr>
      </w:pPr>
      <w:r>
        <w:rPr>
          <w:vertAlign w:val="superscript"/>
        </w:rPr>
        <w:footnoteRef/>
      </w:r>
      <w:r>
        <w:rPr>
          <w:rFonts w:ascii="Arial" w:eastAsia="Arial" w:hAnsi="Arial" w:cs="Arial"/>
        </w:rPr>
        <w:t xml:space="preserve"> </w:t>
      </w:r>
      <w:r>
        <w:rPr>
          <w:rFonts w:ascii="Arial" w:eastAsia="Arial" w:hAnsi="Arial" w:cs="Arial"/>
          <w:i/>
        </w:rPr>
        <w:t>Precampaña</w:t>
      </w:r>
      <w:r>
        <w:rPr>
          <w:rFonts w:ascii="Arial" w:eastAsia="Arial" w:hAnsi="Arial" w:cs="Arial"/>
        </w:rPr>
        <w:t xml:space="preserve">: Del 2 de enero al 10 de febrero; </w:t>
      </w:r>
      <w:proofErr w:type="spellStart"/>
      <w:r>
        <w:rPr>
          <w:rFonts w:ascii="Arial" w:eastAsia="Arial" w:hAnsi="Arial" w:cs="Arial"/>
        </w:rPr>
        <w:t>Intercampaña</w:t>
      </w:r>
      <w:proofErr w:type="spellEnd"/>
      <w:r>
        <w:rPr>
          <w:rFonts w:ascii="Arial" w:eastAsia="Arial" w:hAnsi="Arial" w:cs="Arial"/>
        </w:rPr>
        <w:t xml:space="preserve">: Del 11 de febrero al 2 de abril; </w:t>
      </w:r>
      <w:r>
        <w:rPr>
          <w:rFonts w:ascii="Arial" w:eastAsia="Arial" w:hAnsi="Arial" w:cs="Arial"/>
          <w:i/>
        </w:rPr>
        <w:t>Campaña</w:t>
      </w:r>
      <w:r>
        <w:rPr>
          <w:rFonts w:ascii="Arial" w:eastAsia="Arial" w:hAnsi="Arial" w:cs="Arial"/>
        </w:rPr>
        <w:t xml:space="preserve">: Del 3 de abril al 1 de junio; </w:t>
      </w:r>
      <w:r>
        <w:rPr>
          <w:rFonts w:ascii="Arial" w:eastAsia="Arial" w:hAnsi="Arial" w:cs="Arial"/>
          <w:i/>
        </w:rPr>
        <w:t>Veda Electoral</w:t>
      </w:r>
      <w:r>
        <w:rPr>
          <w:rFonts w:ascii="Arial" w:eastAsia="Arial" w:hAnsi="Arial" w:cs="Arial"/>
        </w:rPr>
        <w:t xml:space="preserve">: Tres días antes de la Jornada Electoral; </w:t>
      </w:r>
      <w:r>
        <w:rPr>
          <w:rFonts w:ascii="Arial" w:eastAsia="Arial" w:hAnsi="Arial" w:cs="Arial"/>
          <w:i/>
        </w:rPr>
        <w:t>Jornada Electoral</w:t>
      </w:r>
      <w:r>
        <w:rPr>
          <w:rFonts w:ascii="Arial" w:eastAsia="Arial" w:hAnsi="Arial" w:cs="Arial"/>
        </w:rPr>
        <w:t>: El 5 de junio.</w:t>
      </w:r>
    </w:p>
  </w:footnote>
  <w:footnote w:id="4">
    <w:p w14:paraId="2ECD93DA" w14:textId="77777777" w:rsidR="007E61D9" w:rsidRDefault="00D65480">
      <w:pPr>
        <w:jc w:val="both"/>
        <w:rPr>
          <w:rFonts w:ascii="Arial" w:eastAsia="Arial" w:hAnsi="Arial" w:cs="Arial"/>
        </w:rPr>
      </w:pPr>
      <w:r>
        <w:rPr>
          <w:vertAlign w:val="superscript"/>
        </w:rPr>
        <w:footnoteRef/>
      </w:r>
      <w:r>
        <w:rPr>
          <w:rFonts w:ascii="Arial" w:eastAsia="Arial" w:hAnsi="Arial" w:cs="Arial"/>
        </w:rPr>
        <w:t xml:space="preserve"> Tal como se prevé en el artículo 274, fracción IV, del Código Electoral.</w:t>
      </w:r>
    </w:p>
  </w:footnote>
  <w:footnote w:id="5">
    <w:p w14:paraId="1FADD52F" w14:textId="77777777" w:rsidR="007E61D9" w:rsidRDefault="00D65480">
      <w:pPr>
        <w:jc w:val="both"/>
        <w:rPr>
          <w:rFonts w:ascii="Arial" w:eastAsia="Arial" w:hAnsi="Arial" w:cs="Arial"/>
        </w:rPr>
      </w:pPr>
      <w:r>
        <w:rPr>
          <w:vertAlign w:val="superscript"/>
        </w:rPr>
        <w:footnoteRef/>
      </w:r>
      <w:r>
        <w:rPr>
          <w:rFonts w:ascii="Arial" w:eastAsia="Arial" w:hAnsi="Arial" w:cs="Arial"/>
        </w:rPr>
        <w:t xml:space="preserve"> Véase la resolución SUP-AG-142/2021. </w:t>
      </w:r>
    </w:p>
  </w:footnote>
  <w:footnote w:id="6">
    <w:p w14:paraId="6AD82E62" w14:textId="77777777" w:rsidR="007E61D9" w:rsidRDefault="00D65480">
      <w:pPr>
        <w:jc w:val="both"/>
        <w:rPr>
          <w:rFonts w:ascii="Arial" w:eastAsia="Arial" w:hAnsi="Arial" w:cs="Arial"/>
        </w:rPr>
      </w:pPr>
      <w:r>
        <w:rPr>
          <w:vertAlign w:val="superscript"/>
        </w:rPr>
        <w:footnoteRef/>
      </w:r>
      <w:r>
        <w:rPr>
          <w:rFonts w:ascii="Arial" w:eastAsia="Arial" w:hAnsi="Arial" w:cs="Arial"/>
        </w:rPr>
        <w:t xml:space="preserve"> Artículo 270.- La denuncia deberá ser presentada ante la Secretaría Ejecutiva, para que ésta la examine junto con las pruebas aportadas. La denuncia será desechada de plano por la Secretaría Ejecutiva, sin prevención alguna, cuando: […]</w:t>
      </w:r>
    </w:p>
    <w:p w14:paraId="02785C4B" w14:textId="77777777" w:rsidR="007E61D9" w:rsidRDefault="00D65480">
      <w:pPr>
        <w:jc w:val="both"/>
        <w:rPr>
          <w:rFonts w:ascii="Arial" w:eastAsia="Arial" w:hAnsi="Arial" w:cs="Arial"/>
        </w:rPr>
      </w:pPr>
      <w:r>
        <w:rPr>
          <w:rFonts w:ascii="Arial" w:eastAsia="Arial" w:hAnsi="Arial" w:cs="Arial"/>
        </w:rPr>
        <w:t>I. No reúna los requisitos indicados en el artículo anterior; […]</w:t>
      </w:r>
    </w:p>
    <w:p w14:paraId="5E7951EE" w14:textId="77777777" w:rsidR="007E61D9" w:rsidRDefault="007E61D9">
      <w:pPr>
        <w:rPr>
          <w:rFonts w:ascii="Arial" w:eastAsia="Arial" w:hAnsi="Arial" w:cs="Arial"/>
        </w:rPr>
      </w:pPr>
    </w:p>
  </w:footnote>
  <w:footnote w:id="7">
    <w:p w14:paraId="6F490980" w14:textId="77777777" w:rsidR="007E61D9" w:rsidRDefault="00D65480">
      <w:pPr>
        <w:pBdr>
          <w:top w:val="nil"/>
          <w:left w:val="nil"/>
          <w:bottom w:val="nil"/>
          <w:right w:val="nil"/>
          <w:between w:val="nil"/>
        </w:pBdr>
        <w:jc w:val="both"/>
        <w:rPr>
          <w:rFonts w:ascii="Arial" w:eastAsia="Arial" w:hAnsi="Arial" w:cs="Arial"/>
          <w:i/>
          <w:color w:val="000000"/>
        </w:rPr>
      </w:pPr>
      <w:r>
        <w:rPr>
          <w:vertAlign w:val="superscript"/>
        </w:rPr>
        <w:footnoteRef/>
      </w:r>
      <w:r>
        <w:rPr>
          <w:rFonts w:ascii="Arial" w:eastAsia="Arial" w:hAnsi="Arial" w:cs="Arial"/>
          <w:color w:val="000000"/>
        </w:rPr>
        <w:t xml:space="preserve"> - </w:t>
      </w:r>
      <w:r>
        <w:rPr>
          <w:rFonts w:ascii="Arial" w:eastAsia="Arial" w:hAnsi="Arial" w:cs="Arial"/>
          <w:i/>
          <w:color w:val="000000"/>
        </w:rPr>
        <w:t xml:space="preserve">Prueba técnica: </w:t>
      </w:r>
      <w:r>
        <w:rPr>
          <w:rFonts w:ascii="Arial" w:eastAsia="Arial" w:hAnsi="Arial" w:cs="Arial"/>
          <w:color w:val="000000"/>
        </w:rPr>
        <w:t> De acuerdo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5FFE75E0" w14:textId="77777777" w:rsidR="007E61D9" w:rsidRDefault="00D65480">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Documental pública:</w:t>
      </w:r>
      <w:r>
        <w:rPr>
          <w:rFonts w:ascii="Arial" w:eastAsia="Arial" w:hAnsi="Arial" w:cs="Arial"/>
          <w:color w:val="000000"/>
        </w:rPr>
        <w:t xml:space="preserve"> De conformidad con el artículo 256, segundo párrafo del Código Electoral; Las documentales públicas tendrán valor probatorio pleno, salvo prueba en contrario respecto de su autenticidad o de la veracidad de los hechos a que se refieran. </w:t>
      </w:r>
    </w:p>
    <w:p w14:paraId="3FFCEE50" w14:textId="77777777" w:rsidR="007E61D9" w:rsidRDefault="00D65480">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Presuncional e instrumental de actuaciones:</w:t>
      </w:r>
      <w:r>
        <w:rPr>
          <w:rFonts w:ascii="Arial" w:eastAsia="Arial" w:hAnsi="Arial" w:cs="Arial"/>
          <w:color w:val="000000"/>
        </w:rPr>
        <w:t xml:space="preserve"> En relación con las pruebas ofrecidas como </w:t>
      </w:r>
      <w:proofErr w:type="spellStart"/>
      <w:r>
        <w:rPr>
          <w:rFonts w:ascii="Arial" w:eastAsia="Arial" w:hAnsi="Arial" w:cs="Arial"/>
          <w:color w:val="000000"/>
        </w:rPr>
        <w:t>presuncional</w:t>
      </w:r>
      <w:proofErr w:type="spellEnd"/>
      <w:r>
        <w:rPr>
          <w:rFonts w:ascii="Arial" w:eastAsia="Arial" w:hAnsi="Arial" w:cs="Arial"/>
          <w:color w:val="000000"/>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p w14:paraId="654F4807" w14:textId="77777777" w:rsidR="007E61D9" w:rsidRDefault="007E61D9">
      <w:pPr>
        <w:pBdr>
          <w:top w:val="nil"/>
          <w:left w:val="nil"/>
          <w:bottom w:val="nil"/>
          <w:right w:val="nil"/>
          <w:between w:val="nil"/>
        </w:pBdr>
        <w:rPr>
          <w:rFonts w:ascii="Arial" w:eastAsia="Arial" w:hAnsi="Arial" w:cs="Arial"/>
          <w:color w:val="000000"/>
        </w:rPr>
      </w:pPr>
    </w:p>
  </w:footnote>
  <w:footnote w:id="8">
    <w:p w14:paraId="2D8B33FF" w14:textId="77777777" w:rsidR="007E61D9" w:rsidRDefault="00D65480">
      <w:pPr>
        <w:jc w:val="both"/>
        <w:rPr>
          <w:rFonts w:ascii="Arial" w:eastAsia="Arial" w:hAnsi="Arial" w:cs="Arial"/>
        </w:rPr>
      </w:pPr>
      <w:r>
        <w:rPr>
          <w:vertAlign w:val="superscript"/>
        </w:rPr>
        <w:footnoteRef/>
      </w:r>
      <w:r>
        <w:rPr>
          <w:rFonts w:ascii="Arial" w:eastAsia="Arial" w:hAnsi="Arial" w:cs="Arial"/>
        </w:rPr>
        <w:t xml:space="preserve"> 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footnote>
  <w:footnote w:id="9">
    <w:p w14:paraId="5056965A" w14:textId="77777777" w:rsidR="007E61D9" w:rsidRDefault="00D65480">
      <w:pPr>
        <w:jc w:val="both"/>
        <w:rPr>
          <w:rFonts w:ascii="Arial" w:eastAsia="Arial" w:hAnsi="Arial" w:cs="Arial"/>
        </w:rPr>
      </w:pPr>
      <w:r>
        <w:rPr>
          <w:vertAlign w:val="superscript"/>
        </w:rPr>
        <w:footnoteRef/>
      </w:r>
      <w:r>
        <w:rPr>
          <w:rFonts w:ascii="Arial" w:eastAsia="Arial" w:hAnsi="Arial" w:cs="Arial"/>
        </w:rPr>
        <w:t xml:space="preserve"> Apartado C. En la propaganda política o electoral que difundan los partidos y candidatos deberán abstenerse de expresiones que calumnien a las personas</w:t>
      </w:r>
    </w:p>
  </w:footnote>
  <w:footnote w:id="10">
    <w:p w14:paraId="24D2D6EF" w14:textId="77777777" w:rsidR="007E61D9" w:rsidRDefault="00D65480">
      <w:pPr>
        <w:jc w:val="both"/>
        <w:rPr>
          <w:rFonts w:ascii="Arial" w:eastAsia="Arial" w:hAnsi="Arial" w:cs="Arial"/>
        </w:rPr>
      </w:pPr>
      <w:r>
        <w:rPr>
          <w:vertAlign w:val="superscript"/>
        </w:rPr>
        <w:footnoteRef/>
      </w:r>
      <w:r>
        <w:rPr>
          <w:rFonts w:ascii="Arial" w:eastAsia="Arial" w:hAnsi="Arial" w:cs="Arial"/>
        </w:rPr>
        <w:t xml:space="preserve"> Artículo 471. Los procedimientos relacionados con la difusión de propaganda que se considere calumniosa sólo podrán iniciarse a instancia de parte afectada. Se entenderá por calumnia la imputación de hechos o delitos falsos con impacto en un proceso electoral.</w:t>
      </w:r>
    </w:p>
  </w:footnote>
  <w:footnote w:id="11">
    <w:p w14:paraId="478C594E" w14:textId="77777777" w:rsidR="007E61D9" w:rsidRDefault="00D65480">
      <w:pPr>
        <w:jc w:val="both"/>
      </w:pPr>
      <w:r>
        <w:rPr>
          <w:vertAlign w:val="superscript"/>
        </w:rPr>
        <w:footnoteRef/>
      </w:r>
      <w:r>
        <w:rPr>
          <w:rFonts w:ascii="Arial" w:eastAsia="Arial" w:hAnsi="Arial" w:cs="Arial"/>
        </w:rPr>
        <w:t xml:space="preserve"> Véase la resolución de la Acción de Inconstitucionalidad 64/2015 y sus acumuladas 65/2015, 66/2015, 68/2015 y 70/2015 (Ley de Instituciones y Procedimientos Electorales del Estado de Sinaloa). Véase la resolución de la Acción de Inconstitucionalidad 129/2015 y sus acumuladas 130/2015, 131/2015, 132/2015, 133/2015 y 137/2015 (Ley Electoral del estado de Quintana Roo.)</w:t>
      </w:r>
    </w:p>
  </w:footnote>
  <w:footnote w:id="12">
    <w:p w14:paraId="6E4ACDF0" w14:textId="77777777" w:rsidR="007E61D9" w:rsidRDefault="00D65480">
      <w:r>
        <w:rPr>
          <w:vertAlign w:val="superscript"/>
        </w:rPr>
        <w:footnoteRef/>
      </w:r>
      <w:r>
        <w:t xml:space="preserve"> </w:t>
      </w:r>
      <w:r>
        <w:rPr>
          <w:rFonts w:ascii="Arial" w:eastAsia="Arial" w:hAnsi="Arial" w:cs="Arial"/>
        </w:rPr>
        <w:t>Véase la sentencia SUP-REP-042/2018.</w:t>
      </w:r>
    </w:p>
  </w:footnote>
  <w:footnote w:id="13">
    <w:p w14:paraId="46CB70C4" w14:textId="77777777" w:rsidR="007E61D9" w:rsidRDefault="00D65480">
      <w:pPr>
        <w:pBdr>
          <w:top w:val="nil"/>
          <w:left w:val="nil"/>
          <w:bottom w:val="nil"/>
          <w:right w:val="nil"/>
          <w:between w:val="nil"/>
        </w:pBdr>
        <w:rPr>
          <w:color w:val="000000"/>
        </w:rPr>
      </w:pPr>
      <w:r>
        <w:rPr>
          <w:vertAlign w:val="superscript"/>
        </w:rPr>
        <w:footnoteRef/>
      </w:r>
      <w:r>
        <w:rPr>
          <w:rFonts w:ascii="Arial" w:eastAsia="Arial" w:hAnsi="Arial" w:cs="Arial"/>
          <w:color w:val="000000"/>
        </w:rPr>
        <w:t xml:space="preserve"> Similar criterio sostuvo la Sala Superior al resolver el asunto SUP-REP-159/2016.</w:t>
      </w:r>
    </w:p>
  </w:footnote>
  <w:footnote w:id="14">
    <w:p w14:paraId="05B1DD5B" w14:textId="77777777" w:rsidR="007E61D9" w:rsidRDefault="00D65480">
      <w:pPr>
        <w:rPr>
          <w:rFonts w:ascii="Arial" w:eastAsia="Arial" w:hAnsi="Arial" w:cs="Arial"/>
        </w:rPr>
      </w:pPr>
      <w:r>
        <w:rPr>
          <w:vertAlign w:val="superscript"/>
        </w:rPr>
        <w:footnoteRef/>
      </w:r>
      <w:r>
        <w:t xml:space="preserve"> </w:t>
      </w:r>
      <w:r>
        <w:rPr>
          <w:rFonts w:ascii="Arial" w:eastAsia="Arial" w:hAnsi="Arial" w:cs="Arial"/>
        </w:rPr>
        <w:t xml:space="preserve">Véase el asunto </w:t>
      </w:r>
      <w:r>
        <w:rPr>
          <w:rFonts w:ascii="Arial" w:eastAsia="Arial" w:hAnsi="Arial" w:cs="Arial"/>
          <w:highlight w:val="white"/>
        </w:rPr>
        <w:t>SUP-REP-89/2017</w:t>
      </w:r>
    </w:p>
  </w:footnote>
  <w:footnote w:id="15">
    <w:p w14:paraId="1385B0D9" w14:textId="77777777" w:rsidR="007E61D9" w:rsidRDefault="00D65480">
      <w:pPr>
        <w:jc w:val="both"/>
        <w:rPr>
          <w:rFonts w:ascii="Arial" w:eastAsia="Arial" w:hAnsi="Arial" w:cs="Arial"/>
        </w:rPr>
      </w:pPr>
      <w:r>
        <w:rPr>
          <w:vertAlign w:val="superscript"/>
        </w:rPr>
        <w:footnoteRef/>
      </w:r>
      <w:r>
        <w:rPr>
          <w:rFonts w:ascii="Arial" w:eastAsia="Arial" w:hAnsi="Arial" w:cs="Arial"/>
        </w:rPr>
        <w:t xml:space="preserve"> 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I. La gravedad de la responsabilidad en que se incurra y la conveniencia de suprimir prácticas que infrinjan, en cualquier forma, las disposiciones de este Código, en atención al bien jurídico tutelado, o las que se dicten con base en él; II. Las circunstancias de modo, tiempo y lugar de la infracción; III. Las condiciones socioeconómicas del infractor; IV. Las condiciones externas y los medios de ejecución; V. La reincidencia en el incumplimiento de obligaciones, y VI. En su caso, el monto del beneficio, lucro, daño o perjuicio derivado del incumplimiento de obligaciones.</w:t>
      </w:r>
    </w:p>
  </w:footnote>
  <w:footnote w:id="16">
    <w:p w14:paraId="0ADE1E92" w14:textId="77777777" w:rsidR="007E61D9" w:rsidRDefault="00D65480">
      <w:pPr>
        <w:jc w:val="both"/>
        <w:rPr>
          <w:rFonts w:ascii="Arial" w:eastAsia="Arial" w:hAnsi="Arial" w:cs="Arial"/>
        </w:rPr>
      </w:pPr>
      <w:r>
        <w:rPr>
          <w:vertAlign w:val="superscript"/>
        </w:rPr>
        <w:footnoteRef/>
      </w:r>
      <w:r>
        <w:t xml:space="preserve"> </w:t>
      </w:r>
      <w:r>
        <w:rPr>
          <w:rFonts w:ascii="Arial" w:eastAsia="Arial" w:hAnsi="Arial" w:cs="Arial"/>
        </w:rPr>
        <w:t>Artículo 244.- Constituyen infracciones de los aspirantes, precandidatos, candidatos o candidatos independientes a cargos de elección popular, al presente Código: [...]</w:t>
      </w:r>
    </w:p>
    <w:p w14:paraId="06478130" w14:textId="77777777" w:rsidR="007E61D9" w:rsidRDefault="00D65480">
      <w:pPr>
        <w:jc w:val="both"/>
        <w:rPr>
          <w:rFonts w:ascii="Arial" w:eastAsia="Arial" w:hAnsi="Arial" w:cs="Arial"/>
        </w:rPr>
      </w:pPr>
      <w:r>
        <w:rPr>
          <w:rFonts w:ascii="Arial" w:eastAsia="Arial" w:hAnsi="Arial" w:cs="Arial"/>
        </w:rPr>
        <w:t xml:space="preserve">IV. La difusión de propaganda política o electoral que calumnie a las personas o que utilice, de forma premeditada, los datos personales, información o imágenes de niñas, niños o adolescentes, sin su consentimiento y el correspondiente por quien ejerza la patria potestad sobre los mismos; </w:t>
      </w:r>
    </w:p>
  </w:footnote>
  <w:footnote w:id="17">
    <w:p w14:paraId="0033C01F" w14:textId="77777777" w:rsidR="007E61D9" w:rsidRDefault="00D65480">
      <w:pPr>
        <w:jc w:val="both"/>
        <w:rPr>
          <w:rFonts w:ascii="Arial" w:eastAsia="Arial" w:hAnsi="Arial" w:cs="Arial"/>
        </w:rPr>
      </w:pPr>
      <w:r>
        <w:rPr>
          <w:vertAlign w:val="superscript"/>
        </w:rPr>
        <w:footnoteRef/>
      </w:r>
      <w:r>
        <w:t xml:space="preserve"> </w:t>
      </w:r>
      <w:r>
        <w:rPr>
          <w:rFonts w:ascii="Arial" w:eastAsia="Arial" w:hAnsi="Arial" w:cs="Arial"/>
        </w:rPr>
        <w:t>Artículo 244.- Constituyen infracciones de los aspirantes, precandidatos, candidatos o candidatos independientes a cargos de elección popular, al presente Código: [...]</w:t>
      </w:r>
    </w:p>
    <w:p w14:paraId="5C5E02C8" w14:textId="77777777" w:rsidR="007E61D9" w:rsidRDefault="00D65480">
      <w:pPr>
        <w:jc w:val="both"/>
        <w:rPr>
          <w:rFonts w:ascii="Arial" w:eastAsia="Arial" w:hAnsi="Arial" w:cs="Arial"/>
        </w:rPr>
      </w:pPr>
      <w:r>
        <w:rPr>
          <w:rFonts w:ascii="Arial" w:eastAsia="Arial" w:hAnsi="Arial" w:cs="Arial"/>
        </w:rPr>
        <w:t>Las infracciones referidas en el párrafo anterior se sancionarán, según la gravedad, de la siguiente manera:  [...]</w:t>
      </w:r>
    </w:p>
    <w:p w14:paraId="1D9DA23A" w14:textId="77777777" w:rsidR="007E61D9" w:rsidRDefault="00D65480">
      <w:pPr>
        <w:jc w:val="both"/>
        <w:rPr>
          <w:rFonts w:ascii="Arial" w:eastAsia="Arial" w:hAnsi="Arial" w:cs="Arial"/>
        </w:rPr>
      </w:pPr>
      <w:r>
        <w:rPr>
          <w:rFonts w:ascii="Arial" w:eastAsia="Arial" w:hAnsi="Arial" w:cs="Arial"/>
        </w:rPr>
        <w:t xml:space="preserve">III. Las señaladas en las fracciones IV, V y X del párrafo anterior, con multa de veinte hasta cinco mil veces el valor diario de la Unidad de Medida y </w:t>
      </w:r>
      <w:proofErr w:type="gramStart"/>
      <w:r>
        <w:rPr>
          <w:rFonts w:ascii="Arial" w:eastAsia="Arial" w:hAnsi="Arial" w:cs="Arial"/>
        </w:rPr>
        <w:t>Actualización;  [...]</w:t>
      </w:r>
      <w:proofErr w:type="gramEnd"/>
    </w:p>
  </w:footnote>
  <w:footnote w:id="18">
    <w:p w14:paraId="43655EB1" w14:textId="77777777" w:rsidR="007E61D9" w:rsidRDefault="00D65480">
      <w:pPr>
        <w:pBdr>
          <w:top w:val="nil"/>
          <w:left w:val="nil"/>
          <w:bottom w:val="nil"/>
          <w:right w:val="nil"/>
          <w:between w:val="nil"/>
        </w:pBdr>
        <w:jc w:val="both"/>
        <w:rPr>
          <w:color w:val="000000"/>
        </w:rPr>
      </w:pPr>
      <w:r>
        <w:rPr>
          <w:vertAlign w:val="superscript"/>
        </w:rPr>
        <w:footnoteRef/>
      </w:r>
      <w:r>
        <w:rPr>
          <w:color w:val="000000"/>
        </w:rPr>
        <w:t xml:space="preserve"> </w:t>
      </w:r>
      <w:r>
        <w:rPr>
          <w:rFonts w:ascii="Arial" w:eastAsia="Arial" w:hAnsi="Arial" w:cs="Arial"/>
          <w:color w:val="000000"/>
        </w:rPr>
        <w:t>E</w:t>
      </w:r>
      <w:r>
        <w:rPr>
          <w:rFonts w:ascii="Arial" w:eastAsia="Arial" w:hAnsi="Arial" w:cs="Arial"/>
          <w:color w:val="000000"/>
          <w:highlight w:val="white"/>
        </w:rPr>
        <w:t>l valor diario de la Unidad de Medida y Actualización UMA es de 96.22 pesos mexicanos conforme a la consulta realizada.</w:t>
      </w:r>
    </w:p>
  </w:footnote>
  <w:footnote w:id="19">
    <w:p w14:paraId="22EE7B0D" w14:textId="77777777" w:rsidR="007E61D9" w:rsidRDefault="00D65480">
      <w:pPr>
        <w:jc w:val="both"/>
        <w:rPr>
          <w:rFonts w:ascii="Arial" w:eastAsia="Arial" w:hAnsi="Arial" w:cs="Arial"/>
        </w:rPr>
      </w:pPr>
      <w:r>
        <w:rPr>
          <w:vertAlign w:val="superscript"/>
        </w:rPr>
        <w:footnoteRef/>
      </w:r>
      <w:r>
        <w:t xml:space="preserve"> </w:t>
      </w:r>
      <w:r>
        <w:rPr>
          <w:rFonts w:ascii="Arial" w:eastAsia="Arial" w:hAnsi="Arial" w:cs="Arial"/>
        </w:rPr>
        <w:t>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w:t>
      </w:r>
    </w:p>
    <w:p w14:paraId="31F377E4" w14:textId="77777777" w:rsidR="007E61D9" w:rsidRDefault="00D65480">
      <w:pPr>
        <w:jc w:val="both"/>
        <w:rPr>
          <w:rFonts w:ascii="Arial" w:eastAsia="Arial" w:hAnsi="Arial" w:cs="Arial"/>
        </w:rPr>
      </w:pPr>
      <w:r>
        <w:rPr>
          <w:rFonts w:ascii="Arial" w:eastAsia="Arial" w:hAnsi="Arial" w:cs="Arial"/>
        </w:rPr>
        <w:t>Las multas impuestas por el Tribunal que hayan quedado firmes deberán ser pagadas en la Dirección Administrativa del Instituto; si el infractor no cumple con su obligación, el Instituto dará vista a las autoridades hacendarias a efecto de que procedan a su cobro conforme a la legislación aplicable. [...]</w:t>
      </w:r>
    </w:p>
  </w:footnote>
  <w:footnote w:id="20">
    <w:p w14:paraId="644B3B52" w14:textId="77777777" w:rsidR="007E61D9" w:rsidRDefault="00D65480">
      <w:pPr>
        <w:jc w:val="both"/>
        <w:rPr>
          <w:sz w:val="16"/>
          <w:szCs w:val="16"/>
        </w:rPr>
      </w:pPr>
      <w:r>
        <w:rPr>
          <w:vertAlign w:val="superscript"/>
        </w:rPr>
        <w:footnoteRef/>
      </w:r>
      <w:r>
        <w:t xml:space="preserve"> </w:t>
      </w:r>
      <w:r>
        <w:rPr>
          <w:rFonts w:ascii="Arial" w:eastAsia="Arial" w:hAnsi="Arial" w:cs="Arial"/>
        </w:rPr>
        <w:t>Tesis XXXIV/2004 de rubro:</w:t>
      </w:r>
      <w:r>
        <w:rPr>
          <w:rFonts w:ascii="Arial" w:eastAsia="Arial" w:hAnsi="Arial" w:cs="Arial"/>
          <w:i/>
        </w:rPr>
        <w:t xml:space="preserve"> “PARTIDOS POLÍTICOS. SON IMPUTABLES POR LA CONDUCTA DE SUS MIEMBROS Y PERSONAS RELACIONADAS CON SUS ACTIVIDADES”</w:t>
      </w:r>
      <w:r>
        <w:rPr>
          <w:rFonts w:ascii="Arial" w:eastAsia="Arial" w:hAnsi="Arial" w:cs="Arial"/>
        </w:rPr>
        <w:t>, visible en la Compilación Oficial de Jurisprudencia y Tesis Relevantes 1997-2005 del Tribunal Electoral del Poder Judicial de la Federación, páginas 754 a 756.</w:t>
      </w:r>
    </w:p>
  </w:footnote>
  <w:footnote w:id="21">
    <w:p w14:paraId="352F9C4B" w14:textId="77777777" w:rsidR="007E61D9" w:rsidRDefault="00D65480">
      <w:pPr>
        <w:jc w:val="both"/>
        <w:rPr>
          <w:rFonts w:ascii="Arial" w:eastAsia="Arial" w:hAnsi="Arial" w:cs="Arial"/>
        </w:rPr>
      </w:pPr>
      <w:r>
        <w:rPr>
          <w:vertAlign w:val="superscript"/>
        </w:rPr>
        <w:footnoteRef/>
      </w:r>
      <w:r>
        <w:t xml:space="preserve"> </w:t>
      </w:r>
      <w:r>
        <w:rPr>
          <w:rFonts w:ascii="Arial" w:eastAsia="Arial" w:hAnsi="Arial" w:cs="Arial"/>
        </w:rPr>
        <w:t>Artículo 242.- Constituyen infracciones de los partidos políticos al presente Código: [...]</w:t>
      </w:r>
      <w:r>
        <w:rPr>
          <w:rFonts w:ascii="Arial" w:eastAsia="Arial" w:hAnsi="Arial" w:cs="Arial"/>
        </w:rPr>
        <w:br/>
        <w:t xml:space="preserve">Las infracciones cometidas por los partidos políticos se sancionarán, según la gravedad, de la siguiente manera: </w:t>
      </w:r>
      <w:r>
        <w:rPr>
          <w:rFonts w:ascii="Arial" w:eastAsia="Arial" w:hAnsi="Arial" w:cs="Arial"/>
        </w:rPr>
        <w:br/>
        <w:t>I. Con amonestación pública;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97AEA" w14:textId="72447420" w:rsidR="007E61D9" w:rsidRDefault="008008BE">
    <w:pPr>
      <w:pBdr>
        <w:top w:val="nil"/>
        <w:left w:val="nil"/>
        <w:bottom w:val="nil"/>
        <w:right w:val="nil"/>
        <w:between w:val="nil"/>
      </w:pBdr>
      <w:tabs>
        <w:tab w:val="center" w:pos="4419"/>
        <w:tab w:val="right" w:pos="8838"/>
      </w:tabs>
      <w:rPr>
        <w:color w:val="000000"/>
      </w:rPr>
    </w:pPr>
    <w:r>
      <w:rPr>
        <w:noProof/>
      </w:rPr>
      <w:pict w14:anchorId="2C1D11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905063" o:spid="_x0000_s1026" type="#_x0000_t136" style="position:absolute;margin-left:0;margin-top:0;width:591.85pt;height:91.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D65480">
      <w:rPr>
        <w:noProof/>
        <w:color w:val="000000"/>
      </w:rPr>
      <mc:AlternateContent>
        <mc:Choice Requires="wps">
          <w:drawing>
            <wp:anchor distT="0" distB="0" distL="0" distR="0" simplePos="0" relativeHeight="251658240" behindDoc="1" locked="0" layoutInCell="1" hidden="0" allowOverlap="1" wp14:anchorId="66B41DE8" wp14:editId="26EC2BC5">
              <wp:simplePos x="0" y="0"/>
              <wp:positionH relativeFrom="margin">
                <wp:align>center</wp:align>
              </wp:positionH>
              <wp:positionV relativeFrom="margin">
                <wp:align>center</wp:align>
              </wp:positionV>
              <wp:extent cx="31876034" cy="31876034"/>
              <wp:effectExtent l="0" t="0" r="0" b="0"/>
              <wp:wrapNone/>
              <wp:docPr id="66" name="Rectángulo 66"/>
              <wp:cNvGraphicFramePr/>
              <a:graphic xmlns:a="http://schemas.openxmlformats.org/drawingml/2006/main">
                <a:graphicData uri="http://schemas.microsoft.com/office/word/2010/wordprocessingShape">
                  <wps:wsp>
                    <wps:cNvSpPr/>
                    <wps:spPr>
                      <a:xfrm rot="-2700000">
                        <a:off x="1917318" y="3252633"/>
                        <a:ext cx="6857365" cy="1054735"/>
                      </a:xfrm>
                      <a:prstGeom prst="rect">
                        <a:avLst/>
                      </a:prstGeom>
                      <a:noFill/>
                      <a:ln>
                        <a:noFill/>
                      </a:ln>
                    </wps:spPr>
                    <wps:txbx>
                      <w:txbxContent>
                        <w:p w14:paraId="5409E62E" w14:textId="77777777" w:rsidR="007E61D9" w:rsidRDefault="00D65480">
                          <w:pPr>
                            <w:jc w:val="center"/>
                            <w:textDirection w:val="btLr"/>
                          </w:pPr>
                          <w:r>
                            <w:rPr>
                              <w:rFonts w:ascii="Arial" w:eastAsia="Arial" w:hAnsi="Arial" w:cs="Arial"/>
                              <w:color w:val="C0C0C0"/>
                              <w:sz w:val="144"/>
                            </w:rPr>
                            <w:t>PARA CONSULTA</w:t>
                          </w:r>
                        </w:p>
                      </w:txbxContent>
                    </wps:txbx>
                    <wps:bodyPr spcFirstLastPara="1" wrap="square" lIns="91425" tIns="91425" rIns="91425" bIns="91425" anchor="ctr" anchorCtr="0">
                      <a:noAutofit/>
                    </wps:bodyPr>
                  </wps:wsp>
                </a:graphicData>
              </a:graphic>
            </wp:anchor>
          </w:drawing>
        </mc:Choice>
        <mc:Fallback>
          <w:pict>
            <v:rect w14:anchorId="66B41DE8" id="Rectángulo 66" o:spid="_x0000_s1026" style="position:absolute;margin-left:0;margin-top:0;width:2509.9pt;height:2509.9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" filled="f" stroked="f">
              <v:textbox inset="2.53958mm,2.53958mm,2.53958mm,2.53958mm">
                <w:txbxContent>
                  <w:p w14:paraId="5409E62E" w14:textId="77777777" w:rsidR="007E61D9" w:rsidRDefault="00D65480">
                    <w:pPr>
                      <w:jc w:val="center"/>
                      <w:textDirection w:val="btLr"/>
                    </w:pPr>
                    <w:r>
                      <w:rPr>
                        <w:rFonts w:ascii="Arial" w:eastAsia="Arial" w:hAnsi="Arial" w:cs="Arial"/>
                        <w:color w:val="C0C0C0"/>
                        <w:sz w:val="144"/>
                      </w:rPr>
                      <w:t>PARA CONSULTA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8CE89" w14:textId="333E3FCC" w:rsidR="007E61D9" w:rsidRDefault="008008BE">
    <w:pPr>
      <w:pBdr>
        <w:top w:val="nil"/>
        <w:left w:val="nil"/>
        <w:bottom w:val="nil"/>
        <w:right w:val="nil"/>
        <w:between w:val="nil"/>
      </w:pBdr>
      <w:tabs>
        <w:tab w:val="center" w:pos="4419"/>
        <w:tab w:val="right" w:pos="8838"/>
      </w:tabs>
    </w:pPr>
    <w:r>
      <w:rPr>
        <w:noProof/>
      </w:rPr>
      <w:pict w14:anchorId="59126F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905064" o:spid="_x0000_s1027" type="#_x0000_t136" style="position:absolute;margin-left:0;margin-top:0;width:591.85pt;height:91.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sdt>
    <w:sdtPr>
      <w:id w:val="-830524383"/>
      <w:docPartObj>
        <w:docPartGallery w:val="Page Numbers (Margins)"/>
        <w:docPartUnique/>
      </w:docPartObj>
    </w:sdtPr>
    <w:sdtEndPr/>
    <w:sdtContent>
      <w:p w14:paraId="0B7578DB" w14:textId="77777777" w:rsidR="007E61D9" w:rsidRDefault="007B3AEB">
        <w:pPr>
          <w:pBdr>
            <w:top w:val="nil"/>
            <w:left w:val="nil"/>
            <w:bottom w:val="nil"/>
            <w:right w:val="nil"/>
            <w:between w:val="nil"/>
          </w:pBdr>
          <w:tabs>
            <w:tab w:val="center" w:pos="4419"/>
            <w:tab w:val="right" w:pos="8838"/>
          </w:tabs>
        </w:pPr>
        <w:r>
          <w:rPr>
            <w:noProof/>
          </w:rPr>
          <mc:AlternateContent>
            <mc:Choice Requires="wps">
              <w:drawing>
                <wp:anchor distT="0" distB="0" distL="114300" distR="114300" simplePos="0" relativeHeight="251660288" behindDoc="0" locked="0" layoutInCell="0" allowOverlap="1" wp14:anchorId="7FD9CD45" wp14:editId="1FD0E143">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1A4C853" w14:textId="77777777" w:rsidR="007B3AEB" w:rsidRDefault="007B3AEB">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D9CD45" id="Rectángulo 1" o:spid="_x0000_s1027"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1A4C853" w14:textId="77777777" w:rsidR="007B3AEB" w:rsidRDefault="007B3AEB">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2B88106C" w14:textId="77777777" w:rsidR="007E61D9" w:rsidRDefault="007E61D9">
    <w:pPr>
      <w:pBdr>
        <w:top w:val="nil"/>
        <w:left w:val="nil"/>
        <w:bottom w:val="nil"/>
        <w:right w:val="nil"/>
        <w:between w:val="nil"/>
      </w:pBdr>
      <w:tabs>
        <w:tab w:val="center" w:pos="4419"/>
        <w:tab w:val="right" w:pos="8838"/>
      </w:tabs>
    </w:pPr>
  </w:p>
  <w:p w14:paraId="1DEAD0FC" w14:textId="77777777" w:rsidR="007E61D9" w:rsidRDefault="00D65480">
    <w:pPr>
      <w:pBdr>
        <w:top w:val="nil"/>
        <w:left w:val="nil"/>
        <w:bottom w:val="nil"/>
        <w:right w:val="nil"/>
        <w:between w:val="nil"/>
      </w:pBdr>
      <w:tabs>
        <w:tab w:val="center" w:pos="4419"/>
        <w:tab w:val="right" w:pos="8838"/>
      </w:tabs>
      <w:rPr>
        <w:color w:val="000000"/>
      </w:rPr>
    </w:pPr>
    <w:r>
      <w:rPr>
        <w:noProof/>
        <w:color w:val="000000"/>
      </w:rPr>
      <w:drawing>
        <wp:inline distT="0" distB="0" distL="0" distR="0" wp14:anchorId="4D57D9EA" wp14:editId="3E4FCC6F">
          <wp:extent cx="995527" cy="1154534"/>
          <wp:effectExtent l="0" t="0" r="0" b="0"/>
          <wp:docPr id="7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F9A6B" w14:textId="005B42CC" w:rsidR="007E61D9" w:rsidRDefault="008008BE">
    <w:pPr>
      <w:pBdr>
        <w:top w:val="nil"/>
        <w:left w:val="nil"/>
        <w:bottom w:val="nil"/>
        <w:right w:val="nil"/>
        <w:between w:val="nil"/>
      </w:pBdr>
      <w:tabs>
        <w:tab w:val="center" w:pos="4419"/>
        <w:tab w:val="right" w:pos="8838"/>
      </w:tabs>
      <w:rPr>
        <w:color w:val="000000"/>
      </w:rPr>
    </w:pPr>
    <w:r>
      <w:rPr>
        <w:noProof/>
      </w:rPr>
      <w:pict w14:anchorId="35F7D9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905062" o:spid="_x0000_s1025" type="#_x0000_t136" style="position:absolute;margin-left:0;margin-top:0;width:591.85pt;height:91.0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57005"/>
    <w:multiLevelType w:val="multilevel"/>
    <w:tmpl w:val="7B9C86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B886D5F"/>
    <w:multiLevelType w:val="multilevel"/>
    <w:tmpl w:val="5D505A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E80668F"/>
    <w:multiLevelType w:val="multilevel"/>
    <w:tmpl w:val="892282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E2D6257"/>
    <w:multiLevelType w:val="multilevel"/>
    <w:tmpl w:val="EB6065D4"/>
    <w:lvl w:ilvl="0">
      <w:start w:val="1"/>
      <w:numFmt w:val="decimal"/>
      <w:lvlText w:val="%1."/>
      <w:lvlJc w:val="left"/>
      <w:pPr>
        <w:ind w:left="480" w:hanging="48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4" w15:restartNumberingAfterBreak="0">
    <w:nsid w:val="537623B7"/>
    <w:multiLevelType w:val="multilevel"/>
    <w:tmpl w:val="9AB003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C4D3310"/>
    <w:multiLevelType w:val="multilevel"/>
    <w:tmpl w:val="5EC06F7C"/>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08928B4"/>
    <w:multiLevelType w:val="multilevel"/>
    <w:tmpl w:val="9AC63A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5FB14A9"/>
    <w:multiLevelType w:val="multilevel"/>
    <w:tmpl w:val="87CC07F8"/>
    <w:lvl w:ilvl="0">
      <w:start w:val="1"/>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15:restartNumberingAfterBreak="0">
    <w:nsid w:val="7CF10A61"/>
    <w:multiLevelType w:val="multilevel"/>
    <w:tmpl w:val="9AD8E3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244454">
    <w:abstractNumId w:val="5"/>
  </w:num>
  <w:num w:numId="2" w16cid:durableId="1632977717">
    <w:abstractNumId w:val="7"/>
  </w:num>
  <w:num w:numId="3" w16cid:durableId="1282805660">
    <w:abstractNumId w:val="8"/>
  </w:num>
  <w:num w:numId="4" w16cid:durableId="1559898409">
    <w:abstractNumId w:val="1"/>
  </w:num>
  <w:num w:numId="5" w16cid:durableId="999427269">
    <w:abstractNumId w:val="4"/>
  </w:num>
  <w:num w:numId="6" w16cid:durableId="1341005091">
    <w:abstractNumId w:val="0"/>
  </w:num>
  <w:num w:numId="7" w16cid:durableId="474834549">
    <w:abstractNumId w:val="2"/>
  </w:num>
  <w:num w:numId="8" w16cid:durableId="726607850">
    <w:abstractNumId w:val="3"/>
  </w:num>
  <w:num w:numId="9" w16cid:durableId="11673563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1D9"/>
    <w:rsid w:val="00000B6B"/>
    <w:rsid w:val="00180A32"/>
    <w:rsid w:val="00264CBB"/>
    <w:rsid w:val="0030651C"/>
    <w:rsid w:val="00311513"/>
    <w:rsid w:val="004E49B9"/>
    <w:rsid w:val="007B3AEB"/>
    <w:rsid w:val="007D48A6"/>
    <w:rsid w:val="007E61D9"/>
    <w:rsid w:val="008008BE"/>
    <w:rsid w:val="008B71EB"/>
    <w:rsid w:val="00A84A59"/>
    <w:rsid w:val="00A937ED"/>
    <w:rsid w:val="00B00135"/>
    <w:rsid w:val="00B449FA"/>
    <w:rsid w:val="00CC7A35"/>
    <w:rsid w:val="00D65480"/>
    <w:rsid w:val="00E214EB"/>
    <w:rsid w:val="00E80D9B"/>
    <w:rsid w:val="00F33A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D9E4D"/>
  <w15:docId w15:val="{CAB69F01-ED54-4535-B120-54855D1EC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5"/>
    <w:tblPr>
      <w:tblStyleRowBandSize w:val="1"/>
      <w:tblStyleColBandSize w:val="1"/>
      <w:tblCellMar>
        <w:left w:w="115" w:type="dxa"/>
        <w:right w:w="115" w:type="dxa"/>
      </w:tblCellMar>
    </w:tblPr>
  </w:style>
  <w:style w:type="table" w:customStyle="1" w:styleId="a0">
    <w:basedOn w:val="TableNormal5"/>
    <w:rPr>
      <w:color w:val="7B7B7B"/>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1">
    <w:basedOn w:val="TableNormal5"/>
    <w:rPr>
      <w:color w:val="7B7B7B"/>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5"/>
    <w:tblPr>
      <w:tblStyleRowBandSize w:val="1"/>
      <w:tblStyleColBandSize w:val="1"/>
      <w:tblCellMar>
        <w:left w:w="115" w:type="dxa"/>
        <w:right w:w="115" w:type="dxa"/>
      </w:tblCellMar>
    </w:tblPr>
  </w:style>
  <w:style w:type="paragraph" w:styleId="Sinespaciado">
    <w:name w:val="No Spacing"/>
    <w:uiPriority w:val="1"/>
    <w:qFormat/>
    <w:rsid w:val="00CA1ACF"/>
  </w:style>
  <w:style w:type="table" w:styleId="Tabladelista4">
    <w:name w:val="List Table 4"/>
    <w:basedOn w:val="Tablanormal"/>
    <w:uiPriority w:val="49"/>
    <w:rsid w:val="00CA1A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4">
    <w:name w:val="Grid Table 4"/>
    <w:basedOn w:val="Tablanormal"/>
    <w:uiPriority w:val="49"/>
    <w:rsid w:val="00CA1A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89131C"/>
    <w:pPr>
      <w:ind w:left="720"/>
      <w:contextualSpacing/>
    </w:pPr>
  </w:style>
  <w:style w:type="table" w:customStyle="1" w:styleId="a3">
    <w:basedOn w:val="TableNormal5"/>
    <w:rPr>
      <w:color w:val="7B7B7B"/>
    </w:rPr>
    <w:tblPr>
      <w:tblStyleRowBandSize w:val="1"/>
      <w:tblStyleColBandSize w:val="1"/>
      <w:tblCellMar>
        <w:left w:w="115" w:type="dxa"/>
        <w:right w:w="115" w:type="dxa"/>
      </w:tblCellMar>
    </w:tblPr>
    <w:tcPr>
      <w:shd w:val="clear" w:color="auto" w:fill="DEEBF6"/>
    </w:tcPr>
  </w:style>
  <w:style w:type="table" w:customStyle="1" w:styleId="a4">
    <w:basedOn w:val="TableNormal5"/>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5">
    <w:basedOn w:val="TableNormal5"/>
    <w:rPr>
      <w:color w:val="7B7B7B"/>
    </w:rPr>
    <w:tblPr>
      <w:tblStyleRowBandSize w:val="1"/>
      <w:tblStyleColBandSize w:val="1"/>
      <w:tblCellMar>
        <w:left w:w="115" w:type="dxa"/>
        <w:right w:w="115" w:type="dxa"/>
      </w:tblCellMar>
    </w:tblPr>
    <w:tcPr>
      <w:shd w:val="clear" w:color="auto" w:fill="DEEBF6"/>
    </w:tcPr>
  </w:style>
  <w:style w:type="table" w:styleId="Tablaconcuadrcula">
    <w:name w:val="Table Grid"/>
    <w:basedOn w:val="Tablanormal"/>
    <w:uiPriority w:val="39"/>
    <w:rsid w:val="00E509F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E509F9"/>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E509F9"/>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E509F9"/>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E509F9"/>
    <w:rPr>
      <w:vertAlign w:val="superscript"/>
    </w:rPr>
  </w:style>
  <w:style w:type="table" w:customStyle="1" w:styleId="Tabladecuadrcula4-nfasis31">
    <w:name w:val="Tabla de cuadrícula 4 - Énfasis 31"/>
    <w:basedOn w:val="Tablanormal"/>
    <w:next w:val="Tablaconcuadrcula4-nfasis3"/>
    <w:uiPriority w:val="49"/>
    <w:rsid w:val="00E509F9"/>
    <w:rPr>
      <w:rFonts w:asciiTheme="minorHAnsi" w:eastAsiaTheme="minorHAnsi" w:hAnsiTheme="minorHAnsi" w:cstheme="minorBidi"/>
      <w:sz w:val="22"/>
      <w:szCs w:val="22"/>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509F9"/>
    <w:pPr>
      <w:jc w:val="both"/>
    </w:pPr>
    <w:rPr>
      <w:vertAlign w:val="superscript"/>
    </w:rPr>
  </w:style>
  <w:style w:type="character" w:styleId="Hipervnculo">
    <w:name w:val="Hyperlink"/>
    <w:basedOn w:val="Fuentedeprrafopredeter"/>
    <w:uiPriority w:val="99"/>
    <w:unhideWhenUsed/>
    <w:rsid w:val="00E509F9"/>
    <w:rPr>
      <w:color w:val="0000FF" w:themeColor="hyperlink"/>
      <w:u w:val="single"/>
    </w:rPr>
  </w:style>
  <w:style w:type="table" w:styleId="Tablaconcuadrcula4-nfasis3">
    <w:name w:val="Grid Table 4 Accent 3"/>
    <w:basedOn w:val="Tablanormal"/>
    <w:uiPriority w:val="49"/>
    <w:rsid w:val="00E509F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a6">
    <w:basedOn w:val="TableNormal4"/>
    <w:rPr>
      <w:color w:val="7B7B7B"/>
    </w:rPr>
    <w:tblPr>
      <w:tblStyleRowBandSize w:val="1"/>
      <w:tblStyleColBandSize w:val="1"/>
      <w:tblCellMar>
        <w:left w:w="115" w:type="dxa"/>
        <w:right w:w="115" w:type="dxa"/>
      </w:tblCellMar>
    </w:tblPr>
    <w:tcPr>
      <w:shd w:val="clear" w:color="auto" w:fill="DEEBF6"/>
    </w:tcPr>
  </w:style>
  <w:style w:type="table" w:customStyle="1" w:styleId="a7">
    <w:basedOn w:val="TableNormal4"/>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8">
    <w:basedOn w:val="TableNormal4"/>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9">
    <w:basedOn w:val="TableNormal4"/>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a">
    <w:basedOn w:val="TableNormal4"/>
    <w:tblPr>
      <w:tblStyleRowBandSize w:val="1"/>
      <w:tblStyleColBandSize w:val="1"/>
      <w:tblCellMar>
        <w:left w:w="115" w:type="dxa"/>
        <w:right w:w="115" w:type="dxa"/>
      </w:tblCellMar>
    </w:tblPr>
  </w:style>
  <w:style w:type="table" w:customStyle="1" w:styleId="ab">
    <w:basedOn w:val="TableNormal4"/>
    <w:rPr>
      <w:color w:val="7B7B7B"/>
    </w:rPr>
    <w:tblPr>
      <w:tblStyleRowBandSize w:val="1"/>
      <w:tblStyleColBandSize w:val="1"/>
      <w:tblCellMar>
        <w:left w:w="115" w:type="dxa"/>
        <w:right w:w="115" w:type="dxa"/>
      </w:tblCellMar>
    </w:tblPr>
    <w:tcPr>
      <w:shd w:val="clear" w:color="auto" w:fill="DEEBF6"/>
    </w:tcPr>
  </w:style>
  <w:style w:type="paragraph" w:styleId="NormalWeb">
    <w:name w:val="Normal (Web)"/>
    <w:basedOn w:val="Normal"/>
    <w:uiPriority w:val="99"/>
    <w:unhideWhenUsed/>
    <w:rsid w:val="00E85853"/>
    <w:pPr>
      <w:spacing w:before="100" w:beforeAutospacing="1" w:after="100" w:afterAutospacing="1"/>
    </w:pPr>
    <w:rPr>
      <w:sz w:val="24"/>
      <w:szCs w:val="24"/>
    </w:rPr>
  </w:style>
  <w:style w:type="table" w:customStyle="1" w:styleId="ac">
    <w:basedOn w:val="TableNormal3"/>
    <w:rPr>
      <w:color w:val="7B7B7B"/>
    </w:rPr>
    <w:tblPr>
      <w:tblStyleRowBandSize w:val="1"/>
      <w:tblStyleColBandSize w:val="1"/>
      <w:tblCellMar>
        <w:left w:w="115" w:type="dxa"/>
        <w:right w:w="115" w:type="dxa"/>
      </w:tblCellMar>
    </w:tblPr>
    <w:tcPr>
      <w:shd w:val="clear" w:color="auto" w:fill="DEEBF6"/>
    </w:tcPr>
  </w:style>
  <w:style w:type="table" w:customStyle="1" w:styleId="ad">
    <w:basedOn w:val="TableNormal3"/>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e">
    <w:basedOn w:val="TableNormal3"/>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
    <w:basedOn w:val="TableNormal3"/>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0">
    <w:basedOn w:val="TableNormal3"/>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paragraph" w:styleId="Piedepgina">
    <w:name w:val="footer"/>
    <w:basedOn w:val="Normal"/>
    <w:link w:val="PiedepginaCar"/>
    <w:uiPriority w:val="99"/>
    <w:unhideWhenUsed/>
    <w:rsid w:val="00982A09"/>
    <w:pPr>
      <w:tabs>
        <w:tab w:val="center" w:pos="4419"/>
        <w:tab w:val="right" w:pos="8838"/>
      </w:tabs>
    </w:pPr>
  </w:style>
  <w:style w:type="character" w:customStyle="1" w:styleId="PiedepginaCar">
    <w:name w:val="Pie de página Car"/>
    <w:basedOn w:val="Fuentedeprrafopredeter"/>
    <w:link w:val="Piedepgina"/>
    <w:uiPriority w:val="99"/>
    <w:rsid w:val="00982A09"/>
  </w:style>
  <w:style w:type="paragraph" w:styleId="Encabezado">
    <w:name w:val="header"/>
    <w:basedOn w:val="Normal"/>
    <w:link w:val="EncabezadoCar"/>
    <w:uiPriority w:val="99"/>
    <w:unhideWhenUsed/>
    <w:rsid w:val="00982A09"/>
    <w:pPr>
      <w:tabs>
        <w:tab w:val="center" w:pos="4419"/>
        <w:tab w:val="right" w:pos="8838"/>
      </w:tabs>
    </w:pPr>
  </w:style>
  <w:style w:type="character" w:customStyle="1" w:styleId="EncabezadoCar">
    <w:name w:val="Encabezado Car"/>
    <w:basedOn w:val="Fuentedeprrafopredeter"/>
    <w:link w:val="Encabezado"/>
    <w:uiPriority w:val="99"/>
    <w:rsid w:val="00982A09"/>
  </w:style>
  <w:style w:type="character" w:styleId="Mencinsinresolver">
    <w:name w:val="Unresolved Mention"/>
    <w:basedOn w:val="Fuentedeprrafopredeter"/>
    <w:uiPriority w:val="99"/>
    <w:semiHidden/>
    <w:unhideWhenUsed/>
    <w:rsid w:val="000D4DFF"/>
    <w:rPr>
      <w:color w:val="605E5C"/>
      <w:shd w:val="clear" w:color="auto" w:fill="E1DFDD"/>
    </w:rPr>
  </w:style>
  <w:style w:type="table" w:customStyle="1" w:styleId="af1">
    <w:basedOn w:val="TableNormal2"/>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f2">
    <w:basedOn w:val="TableNormal2"/>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3">
    <w:basedOn w:val="TableNormal2"/>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4">
    <w:basedOn w:val="TableNormal2"/>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5">
    <w:basedOn w:val="TableNormal2"/>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f6">
    <w:basedOn w:val="TableNormal1"/>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f7">
    <w:basedOn w:val="TableNormal1"/>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8">
    <w:basedOn w:val="TableNormal1"/>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9">
    <w:basedOn w:val="TableNormal1"/>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a">
    <w:basedOn w:val="TableNormal1"/>
    <w:tblPr>
      <w:tblStyleRowBandSize w:val="1"/>
      <w:tblStyleColBandSize w:val="1"/>
      <w:tblCellMar>
        <w:top w:w="100" w:type="dxa"/>
        <w:left w:w="100" w:type="dxa"/>
        <w:bottom w:w="100" w:type="dxa"/>
        <w:right w:w="100" w:type="dxa"/>
      </w:tblCellMar>
    </w:tblPr>
  </w:style>
  <w:style w:type="table" w:customStyle="1" w:styleId="afb">
    <w:basedOn w:val="TableNormal1"/>
    <w:tblPr>
      <w:tblStyleRowBandSize w:val="1"/>
      <w:tblStyleColBandSize w:val="1"/>
      <w:tblCellMar>
        <w:left w:w="115" w:type="dxa"/>
        <w:right w:w="115" w:type="dxa"/>
      </w:tblCellMar>
    </w:tblPr>
  </w:style>
  <w:style w:type="table" w:styleId="Tabladecuadrcula3">
    <w:name w:val="Grid Table 3"/>
    <w:basedOn w:val="Tablanormal"/>
    <w:uiPriority w:val="48"/>
    <w:rsid w:val="009149A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afc">
    <w:basedOn w:val="TableNormal0"/>
    <w:rPr>
      <w:rFonts w:ascii="Cambria" w:eastAsia="Cambria" w:hAnsi="Cambria" w:cs="Cambria"/>
      <w:color w:val="7B7B7B"/>
      <w:sz w:val="22"/>
      <w:szCs w:val="22"/>
    </w:rPr>
    <w:tblPr>
      <w:tblStyleRowBandSize w:val="1"/>
      <w:tblStyleColBandSize w:val="1"/>
      <w:tblCellMar>
        <w:top w:w="100" w:type="dxa"/>
        <w:left w:w="115" w:type="dxa"/>
        <w:bottom w:w="100" w:type="dxa"/>
        <w:right w:w="115" w:type="dxa"/>
      </w:tblCellMar>
    </w:tblPr>
    <w:tcPr>
      <w:shd w:val="clear" w:color="auto" w:fill="DEEBF6"/>
    </w:tcPr>
  </w:style>
  <w:style w:type="table" w:customStyle="1" w:styleId="afd">
    <w:basedOn w:val="TableNormal0"/>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e">
    <w:basedOn w:val="TableNormal0"/>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f">
    <w:basedOn w:val="TableNormal0"/>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f0">
    <w:basedOn w:val="TableNormal0"/>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f1">
    <w:basedOn w:val="TableNormal0"/>
    <w:rPr>
      <w:rFonts w:ascii="Cambria" w:eastAsia="Cambria" w:hAnsi="Cambria" w:cs="Cambria"/>
      <w:color w:val="7B7B7B"/>
      <w:sz w:val="22"/>
      <w:szCs w:val="22"/>
    </w:rPr>
    <w:tblPr>
      <w:tblStyleRowBandSize w:val="1"/>
      <w:tblStyleColBandSize w:val="1"/>
      <w:tblCellMar>
        <w:top w:w="100" w:type="dxa"/>
        <w:left w:w="115" w:type="dxa"/>
        <w:bottom w:w="100" w:type="dxa"/>
        <w:right w:w="115" w:type="dxa"/>
      </w:tblCellMar>
    </w:tblPr>
    <w:tcPr>
      <w:shd w:val="clear" w:color="auto" w:fill="DEEBF6"/>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facebook.com/noraruvalcabamx/videos/67789900011052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O4ie0pd4n7eow/23zCIwcC9ZLw==">AMUW2mVlUQVou9A1i94PMTA1i/x9aDnBEyj8yTTz2Mu3j6jMF2rd53dfHn2NhdiTeEBQZ/9vj+LZWZDbUqZfASoTP9WKtWaz3fnBmNdE1MjSJn1P0+PudCFjoStqhwkKYbTslutXiZZvYyZA/lp08xO6cYVm8a2n8UpYspaar2KcNj2zd8EJW0+woxeqKqCMCylwbf5rwVn3AKf15vFf6Bf57qy9hYwGICMA0cTDuUaGoh0fN0Jv9AI=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7012</Words>
  <Characters>38566</Characters>
  <Application>Microsoft Office Word</Application>
  <DocSecurity>0</DocSecurity>
  <Lines>321</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Auxiliar Juridico</dc:creator>
  <cp:lastModifiedBy>Secretario Gral</cp:lastModifiedBy>
  <cp:revision>2</cp:revision>
  <cp:lastPrinted>2022-05-20T16:37:00Z</cp:lastPrinted>
  <dcterms:created xsi:type="dcterms:W3CDTF">2022-05-21T01:36:00Z</dcterms:created>
  <dcterms:modified xsi:type="dcterms:W3CDTF">2022-05-21T01:36:00Z</dcterms:modified>
</cp:coreProperties>
</file>