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4E4BA" w14:textId="77777777" w:rsidR="00256634" w:rsidRDefault="000F0709">
      <w:pPr>
        <w:ind w:left="3826" w:right="36"/>
        <w:jc w:val="both"/>
        <w:rPr>
          <w:rFonts w:ascii="Arial" w:eastAsia="Arial" w:hAnsi="Arial" w:cs="Arial"/>
          <w:b/>
          <w:sz w:val="24"/>
          <w:szCs w:val="24"/>
        </w:rPr>
      </w:pPr>
      <w:bookmarkStart w:id="0" w:name="_heading=h.gjdgxs" w:colFirst="0" w:colLast="0"/>
      <w:bookmarkEnd w:id="0"/>
      <w:r>
        <w:rPr>
          <w:rFonts w:ascii="Arial" w:eastAsia="Arial" w:hAnsi="Arial" w:cs="Arial"/>
          <w:b/>
          <w:sz w:val="24"/>
          <w:szCs w:val="24"/>
        </w:rPr>
        <w:t>PROCEDIMIENTO ESPECIAL SANCIONADOR.</w:t>
      </w:r>
    </w:p>
    <w:p w14:paraId="1CE77895" w14:textId="77777777" w:rsidR="00256634" w:rsidRDefault="00256634">
      <w:pPr>
        <w:pBdr>
          <w:top w:val="nil"/>
          <w:left w:val="nil"/>
          <w:bottom w:val="nil"/>
          <w:right w:val="nil"/>
          <w:between w:val="nil"/>
        </w:pBdr>
        <w:ind w:left="3826"/>
        <w:rPr>
          <w:rFonts w:ascii="Arial" w:eastAsia="Arial" w:hAnsi="Arial" w:cs="Arial"/>
          <w:color w:val="000000"/>
          <w:sz w:val="14"/>
          <w:szCs w:val="14"/>
        </w:rPr>
      </w:pPr>
    </w:p>
    <w:p w14:paraId="7709AAC4" w14:textId="77777777" w:rsidR="00256634" w:rsidRDefault="000F0709">
      <w:pPr>
        <w:ind w:left="3826"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TEEA-PES-020/2022.</w:t>
      </w:r>
      <w:r>
        <w:rPr>
          <w:rFonts w:ascii="Arial" w:eastAsia="Arial" w:hAnsi="Arial" w:cs="Arial"/>
          <w:b/>
          <w:sz w:val="24"/>
          <w:szCs w:val="24"/>
        </w:rPr>
        <w:t xml:space="preserve"> </w:t>
      </w:r>
    </w:p>
    <w:p w14:paraId="48E91BB6" w14:textId="77777777" w:rsidR="00256634" w:rsidRDefault="00256634">
      <w:pPr>
        <w:ind w:left="3826" w:right="36"/>
        <w:jc w:val="both"/>
        <w:rPr>
          <w:rFonts w:ascii="Arial" w:eastAsia="Arial" w:hAnsi="Arial" w:cs="Arial"/>
          <w:b/>
          <w:sz w:val="14"/>
          <w:szCs w:val="14"/>
        </w:rPr>
      </w:pPr>
    </w:p>
    <w:p w14:paraId="31D8EE5C" w14:textId="77777777" w:rsidR="00256634" w:rsidRDefault="000F0709">
      <w:pPr>
        <w:ind w:left="3826"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ISRAEL ÁNGEL RAMÍREZ, REPRESENTANTE SUPLENTE DEL PARTIDO ACCIÓN NACIONAL Y DE LA COALICIÓN “VA POR AGUASCALIENTES”.</w:t>
      </w:r>
    </w:p>
    <w:p w14:paraId="6A3CFFB5" w14:textId="77777777" w:rsidR="00256634" w:rsidRDefault="00256634">
      <w:pPr>
        <w:pBdr>
          <w:top w:val="nil"/>
          <w:left w:val="nil"/>
          <w:bottom w:val="nil"/>
          <w:right w:val="nil"/>
          <w:between w:val="nil"/>
        </w:pBdr>
        <w:ind w:left="3826"/>
        <w:rPr>
          <w:rFonts w:ascii="Arial" w:eastAsia="Arial" w:hAnsi="Arial" w:cs="Arial"/>
          <w:color w:val="000000"/>
          <w:sz w:val="14"/>
          <w:szCs w:val="14"/>
        </w:rPr>
      </w:pPr>
    </w:p>
    <w:p w14:paraId="412ABD1D" w14:textId="77777777" w:rsidR="00256634" w:rsidRDefault="000F0709">
      <w:pPr>
        <w:ind w:left="3826" w:right="36"/>
        <w:jc w:val="both"/>
        <w:rPr>
          <w:rFonts w:ascii="Arial" w:eastAsia="Arial" w:hAnsi="Arial" w:cs="Arial"/>
          <w:sz w:val="24"/>
          <w:szCs w:val="24"/>
        </w:rPr>
      </w:pPr>
      <w:r>
        <w:rPr>
          <w:rFonts w:ascii="Arial" w:eastAsia="Arial" w:hAnsi="Arial" w:cs="Arial"/>
          <w:b/>
          <w:sz w:val="24"/>
          <w:szCs w:val="24"/>
        </w:rPr>
        <w:t>DENUNCIADA:</w:t>
      </w:r>
      <w:r>
        <w:rPr>
          <w:rFonts w:ascii="Arial" w:eastAsia="Arial" w:hAnsi="Arial" w:cs="Arial"/>
          <w:sz w:val="24"/>
          <w:szCs w:val="24"/>
        </w:rPr>
        <w:t xml:space="preserve"> NORA RUVALCABA GÁMEZ, CANDIDATA DE MORENA A LA GUBERNATURA DEL ESTADO Y OTRO. </w:t>
      </w:r>
    </w:p>
    <w:p w14:paraId="1FA5CCC4" w14:textId="77777777" w:rsidR="00256634" w:rsidRDefault="00256634">
      <w:pPr>
        <w:pBdr>
          <w:top w:val="nil"/>
          <w:left w:val="nil"/>
          <w:bottom w:val="nil"/>
          <w:right w:val="nil"/>
          <w:between w:val="nil"/>
        </w:pBdr>
        <w:ind w:left="3826"/>
        <w:rPr>
          <w:rFonts w:ascii="Arial" w:eastAsia="Arial" w:hAnsi="Arial" w:cs="Arial"/>
          <w:color w:val="000000"/>
          <w:sz w:val="14"/>
          <w:szCs w:val="14"/>
        </w:rPr>
      </w:pPr>
    </w:p>
    <w:p w14:paraId="36AD3CC4" w14:textId="77777777" w:rsidR="00256634" w:rsidRDefault="000F0709">
      <w:pPr>
        <w:ind w:left="3826"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2F010292" w14:textId="77777777" w:rsidR="00256634" w:rsidRDefault="00256634">
      <w:pPr>
        <w:pBdr>
          <w:top w:val="nil"/>
          <w:left w:val="nil"/>
          <w:bottom w:val="nil"/>
          <w:right w:val="nil"/>
          <w:between w:val="nil"/>
        </w:pBdr>
        <w:ind w:left="3826"/>
        <w:rPr>
          <w:rFonts w:ascii="Arial" w:eastAsia="Arial" w:hAnsi="Arial" w:cs="Arial"/>
          <w:color w:val="000000"/>
          <w:sz w:val="14"/>
          <w:szCs w:val="14"/>
        </w:rPr>
      </w:pPr>
    </w:p>
    <w:p w14:paraId="54CC6CEF" w14:textId="77777777" w:rsidR="00256634" w:rsidRDefault="000F0709">
      <w:pPr>
        <w:ind w:left="3826"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417BFB1E" w14:textId="77777777" w:rsidR="00256634" w:rsidRDefault="00256634">
      <w:pPr>
        <w:ind w:left="3826" w:right="36"/>
        <w:jc w:val="both"/>
        <w:rPr>
          <w:rFonts w:ascii="Arial" w:eastAsia="Arial" w:hAnsi="Arial" w:cs="Arial"/>
          <w:sz w:val="14"/>
          <w:szCs w:val="14"/>
        </w:rPr>
      </w:pPr>
    </w:p>
    <w:p w14:paraId="4C5D9620" w14:textId="77777777" w:rsidR="00256634" w:rsidRDefault="000F0709">
      <w:pPr>
        <w:ind w:left="3826"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3D551680" w14:textId="77777777" w:rsidR="00256634" w:rsidRDefault="00256634">
      <w:pPr>
        <w:ind w:left="3826" w:right="36"/>
        <w:jc w:val="both"/>
        <w:rPr>
          <w:rFonts w:ascii="Arial" w:eastAsia="Arial" w:hAnsi="Arial" w:cs="Arial"/>
          <w:sz w:val="24"/>
          <w:szCs w:val="24"/>
        </w:rPr>
      </w:pPr>
    </w:p>
    <w:p w14:paraId="044D1448" w14:textId="77777777" w:rsidR="00256634" w:rsidRDefault="00256634">
      <w:pPr>
        <w:pBdr>
          <w:top w:val="nil"/>
          <w:left w:val="nil"/>
          <w:bottom w:val="nil"/>
          <w:right w:val="nil"/>
          <w:between w:val="nil"/>
        </w:pBdr>
        <w:rPr>
          <w:color w:val="000000"/>
        </w:rPr>
      </w:pPr>
    </w:p>
    <w:p w14:paraId="1C0FB13A" w14:textId="03642245" w:rsidR="00256634" w:rsidRDefault="000F0709">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Aguascalientes, Aguascalientes</w:t>
      </w:r>
      <w:r w:rsidRPr="00647460">
        <w:rPr>
          <w:rFonts w:ascii="Arial" w:eastAsia="Arial" w:hAnsi="Arial" w:cs="Arial"/>
          <w:sz w:val="24"/>
          <w:szCs w:val="24"/>
        </w:rPr>
        <w:t xml:space="preserve">, </w:t>
      </w:r>
      <w:r w:rsidRPr="00647460">
        <w:rPr>
          <w:rFonts w:ascii="Arial" w:eastAsia="Arial" w:hAnsi="Arial" w:cs="Arial"/>
          <w:color w:val="000000"/>
          <w:sz w:val="24"/>
          <w:szCs w:val="24"/>
        </w:rPr>
        <w:t xml:space="preserve">a </w:t>
      </w:r>
      <w:r w:rsidR="00B37ECD" w:rsidRPr="00647460">
        <w:rPr>
          <w:rFonts w:ascii="Arial" w:eastAsia="Arial" w:hAnsi="Arial" w:cs="Arial"/>
          <w:sz w:val="24"/>
          <w:szCs w:val="24"/>
        </w:rPr>
        <w:t>12</w:t>
      </w:r>
      <w:r w:rsidRPr="00647460">
        <w:rPr>
          <w:rFonts w:ascii="Arial" w:eastAsia="Arial" w:hAnsi="Arial" w:cs="Arial"/>
          <w:color w:val="000000"/>
          <w:sz w:val="24"/>
          <w:szCs w:val="24"/>
        </w:rPr>
        <w:t xml:space="preserve"> de mayo de 2022</w:t>
      </w:r>
      <w:r w:rsidRPr="00647460">
        <w:rPr>
          <w:rFonts w:ascii="Arial" w:eastAsia="Arial" w:hAnsi="Arial" w:cs="Arial"/>
          <w:sz w:val="24"/>
          <w:szCs w:val="24"/>
        </w:rPr>
        <w:t>.</w:t>
      </w:r>
    </w:p>
    <w:p w14:paraId="210EB1D9" w14:textId="77777777" w:rsidR="00256634" w:rsidRDefault="00256634">
      <w:pPr>
        <w:pBdr>
          <w:top w:val="nil"/>
          <w:left w:val="nil"/>
          <w:bottom w:val="nil"/>
          <w:right w:val="nil"/>
          <w:between w:val="nil"/>
        </w:pBdr>
        <w:rPr>
          <w:b/>
          <w:color w:val="000000"/>
          <w:sz w:val="18"/>
          <w:szCs w:val="18"/>
        </w:rPr>
      </w:pPr>
    </w:p>
    <w:p w14:paraId="4BC99903" w14:textId="26DDCCE0" w:rsidR="00256634" w:rsidRPr="008A1281" w:rsidRDefault="000F0709" w:rsidP="002234D5">
      <w:pPr>
        <w:spacing w:after="240" w:line="360" w:lineRule="auto"/>
        <w:jc w:val="both"/>
        <w:rPr>
          <w:rFonts w:ascii="Arial" w:eastAsia="Arial" w:hAnsi="Arial" w:cs="Arial"/>
          <w:sz w:val="24"/>
          <w:szCs w:val="24"/>
        </w:rPr>
      </w:pPr>
      <w:bookmarkStart w:id="1" w:name="_heading=h.30j0zll" w:colFirst="0" w:colLast="0"/>
      <w:bookmarkEnd w:id="1"/>
      <w:r>
        <w:rPr>
          <w:rFonts w:ascii="Arial" w:eastAsia="Arial" w:hAnsi="Arial" w:cs="Arial"/>
          <w:b/>
          <w:sz w:val="24"/>
          <w:szCs w:val="24"/>
        </w:rPr>
        <w:t xml:space="preserve">Sentencia </w:t>
      </w:r>
      <w:r>
        <w:rPr>
          <w:rFonts w:ascii="Arial" w:eastAsia="Arial" w:hAnsi="Arial" w:cs="Arial"/>
          <w:sz w:val="24"/>
          <w:szCs w:val="24"/>
        </w:rPr>
        <w:t>del Tribunal Electoral</w:t>
      </w:r>
      <w:r>
        <w:rPr>
          <w:rFonts w:ascii="Arial" w:eastAsia="Arial" w:hAnsi="Arial" w:cs="Arial"/>
          <w:b/>
          <w:sz w:val="24"/>
          <w:szCs w:val="24"/>
        </w:rPr>
        <w:t xml:space="preserve"> </w:t>
      </w:r>
      <w:r>
        <w:rPr>
          <w:rFonts w:ascii="Arial" w:eastAsia="Arial" w:hAnsi="Arial" w:cs="Arial"/>
          <w:sz w:val="24"/>
          <w:szCs w:val="24"/>
        </w:rPr>
        <w:t>que declara</w:t>
      </w:r>
      <w:r w:rsidR="008A1281">
        <w:rPr>
          <w:rFonts w:ascii="Arial" w:eastAsia="Arial" w:hAnsi="Arial" w:cs="Arial"/>
          <w:sz w:val="24"/>
          <w:szCs w:val="24"/>
        </w:rPr>
        <w:t xml:space="preserve">: </w:t>
      </w:r>
      <w:r w:rsidR="008A1281">
        <w:rPr>
          <w:rFonts w:ascii="Arial" w:eastAsia="Arial" w:hAnsi="Arial" w:cs="Arial"/>
          <w:b/>
          <w:bCs/>
          <w:i/>
          <w:iCs/>
          <w:sz w:val="24"/>
          <w:szCs w:val="24"/>
        </w:rPr>
        <w:t>a)</w:t>
      </w:r>
      <w:r>
        <w:rPr>
          <w:rFonts w:ascii="Arial" w:eastAsia="Arial" w:hAnsi="Arial" w:cs="Arial"/>
          <w:b/>
          <w:sz w:val="24"/>
          <w:szCs w:val="24"/>
        </w:rPr>
        <w:t xml:space="preserve"> </w:t>
      </w:r>
      <w:r>
        <w:rPr>
          <w:rFonts w:ascii="Arial" w:eastAsia="Arial" w:hAnsi="Arial" w:cs="Arial"/>
          <w:sz w:val="24"/>
          <w:szCs w:val="24"/>
        </w:rPr>
        <w:t xml:space="preserve">la </w:t>
      </w:r>
      <w:r>
        <w:rPr>
          <w:rFonts w:ascii="Arial" w:eastAsia="Arial" w:hAnsi="Arial" w:cs="Arial"/>
          <w:b/>
          <w:sz w:val="24"/>
          <w:szCs w:val="24"/>
        </w:rPr>
        <w:t xml:space="preserve">existencia </w:t>
      </w:r>
      <w:r>
        <w:rPr>
          <w:rFonts w:ascii="Arial" w:eastAsia="Arial" w:hAnsi="Arial" w:cs="Arial"/>
          <w:sz w:val="24"/>
          <w:szCs w:val="24"/>
        </w:rPr>
        <w:t>de la infracción de calumnia en perjuicio de los institutos políticos Partido Revolucionario Institucional y Partido Acción Nacional, atribuida a la ciudadana Nora Ruvalcaba Gámez, candidata a la gubernatura del estado por el partido Morena</w:t>
      </w:r>
      <w:r w:rsidR="004323D1">
        <w:rPr>
          <w:rFonts w:ascii="Arial" w:eastAsia="Arial" w:hAnsi="Arial" w:cs="Arial"/>
          <w:sz w:val="24"/>
          <w:szCs w:val="24"/>
        </w:rPr>
        <w:t>,</w:t>
      </w:r>
      <w:r>
        <w:rPr>
          <w:rFonts w:ascii="Arial" w:eastAsia="Arial" w:hAnsi="Arial" w:cs="Arial"/>
          <w:sz w:val="24"/>
          <w:szCs w:val="24"/>
        </w:rPr>
        <w:t xml:space="preserve"> derivado de la difusión de un video a través de </w:t>
      </w:r>
      <w:r w:rsidR="003E3F27">
        <w:rPr>
          <w:rFonts w:ascii="Arial" w:eastAsia="Arial" w:hAnsi="Arial" w:cs="Arial"/>
          <w:sz w:val="24"/>
          <w:szCs w:val="24"/>
        </w:rPr>
        <w:t xml:space="preserve">distintas de sus </w:t>
      </w:r>
      <w:r>
        <w:rPr>
          <w:rFonts w:ascii="Arial" w:eastAsia="Arial" w:hAnsi="Arial" w:cs="Arial"/>
          <w:sz w:val="24"/>
          <w:szCs w:val="24"/>
        </w:rPr>
        <w:t>redes sociales, que cont</w:t>
      </w:r>
      <w:r w:rsidR="004323D1">
        <w:rPr>
          <w:rFonts w:ascii="Arial" w:eastAsia="Arial" w:hAnsi="Arial" w:cs="Arial"/>
          <w:sz w:val="24"/>
          <w:szCs w:val="24"/>
        </w:rPr>
        <w:t>ía</w:t>
      </w:r>
      <w:r>
        <w:rPr>
          <w:rFonts w:ascii="Arial" w:eastAsia="Arial" w:hAnsi="Arial" w:cs="Arial"/>
          <w:sz w:val="24"/>
          <w:szCs w:val="24"/>
        </w:rPr>
        <w:t xml:space="preserve"> expresiones </w:t>
      </w:r>
      <w:r w:rsidR="004323D1">
        <w:rPr>
          <w:rFonts w:ascii="Arial" w:eastAsia="Arial" w:hAnsi="Arial" w:cs="Arial"/>
          <w:sz w:val="24"/>
          <w:szCs w:val="24"/>
        </w:rPr>
        <w:t xml:space="preserve">que constituyen </w:t>
      </w:r>
      <w:r>
        <w:rPr>
          <w:rFonts w:ascii="Arial" w:eastAsia="Arial" w:hAnsi="Arial" w:cs="Arial"/>
          <w:sz w:val="24"/>
          <w:szCs w:val="24"/>
        </w:rPr>
        <w:t>calumn</w:t>
      </w:r>
      <w:r w:rsidR="004323D1">
        <w:rPr>
          <w:rFonts w:ascii="Arial" w:eastAsia="Arial" w:hAnsi="Arial" w:cs="Arial"/>
          <w:sz w:val="24"/>
          <w:szCs w:val="24"/>
        </w:rPr>
        <w:t>ia</w:t>
      </w:r>
      <w:r w:rsidR="008A1281">
        <w:rPr>
          <w:rFonts w:ascii="Arial" w:eastAsia="Arial" w:hAnsi="Arial" w:cs="Arial"/>
          <w:sz w:val="24"/>
          <w:szCs w:val="24"/>
        </w:rPr>
        <w:t xml:space="preserve"> y, </w:t>
      </w:r>
      <w:r w:rsidR="008A1281">
        <w:rPr>
          <w:rFonts w:ascii="Arial" w:eastAsia="Arial" w:hAnsi="Arial" w:cs="Arial"/>
          <w:b/>
          <w:bCs/>
          <w:i/>
          <w:iCs/>
          <w:sz w:val="24"/>
          <w:szCs w:val="24"/>
        </w:rPr>
        <w:t xml:space="preserve">b) </w:t>
      </w:r>
      <w:r w:rsidR="008A1281">
        <w:rPr>
          <w:rFonts w:ascii="Arial" w:eastAsia="Arial" w:hAnsi="Arial" w:cs="Arial"/>
          <w:sz w:val="24"/>
          <w:szCs w:val="24"/>
        </w:rPr>
        <w:t xml:space="preserve">la existencia de la infracción de </w:t>
      </w:r>
      <w:r w:rsidR="008A1281" w:rsidRPr="008A1281">
        <w:rPr>
          <w:rFonts w:ascii="Arial" w:eastAsia="Arial" w:hAnsi="Arial" w:cs="Arial"/>
          <w:i/>
          <w:iCs/>
          <w:sz w:val="24"/>
          <w:szCs w:val="24"/>
        </w:rPr>
        <w:t>culpa in vigilando</w:t>
      </w:r>
      <w:r w:rsidR="008A1281" w:rsidRPr="008A1281">
        <w:rPr>
          <w:rFonts w:ascii="Arial" w:eastAsia="Arial" w:hAnsi="Arial" w:cs="Arial"/>
          <w:sz w:val="24"/>
          <w:szCs w:val="24"/>
        </w:rPr>
        <w:t xml:space="preserve"> atribuida al partido político Morena.</w:t>
      </w:r>
    </w:p>
    <w:p w14:paraId="0FFFF75D" w14:textId="466CEADC" w:rsidR="00256634" w:rsidRDefault="000F0709">
      <w:pPr>
        <w:spacing w:before="240" w:after="240" w:line="360" w:lineRule="auto"/>
        <w:jc w:val="both"/>
      </w:pPr>
      <w:r>
        <w:rPr>
          <w:rFonts w:ascii="Arial" w:eastAsia="Arial" w:hAnsi="Arial" w:cs="Arial"/>
          <w:sz w:val="24"/>
          <w:szCs w:val="24"/>
        </w:rPr>
        <w:t xml:space="preserve">Ello, porque </w:t>
      </w:r>
      <w:r>
        <w:rPr>
          <w:rFonts w:ascii="Arial" w:eastAsia="Arial" w:hAnsi="Arial" w:cs="Arial"/>
          <w:b/>
          <w:sz w:val="24"/>
          <w:szCs w:val="24"/>
        </w:rPr>
        <w:t>este órgano jurisdiccional considera</w:t>
      </w:r>
      <w:r>
        <w:rPr>
          <w:rFonts w:ascii="Arial" w:eastAsia="Arial" w:hAnsi="Arial" w:cs="Arial"/>
          <w:sz w:val="24"/>
          <w:szCs w:val="24"/>
        </w:rPr>
        <w:t xml:space="preserve"> que del análisis del video denunciado, </w:t>
      </w:r>
      <w:r w:rsidR="003E3F27">
        <w:rPr>
          <w:rFonts w:ascii="Arial" w:eastAsia="Arial" w:hAnsi="Arial" w:cs="Arial"/>
          <w:sz w:val="24"/>
          <w:szCs w:val="24"/>
        </w:rPr>
        <w:t xml:space="preserve">fue posible advertir </w:t>
      </w:r>
      <w:r>
        <w:rPr>
          <w:rFonts w:ascii="Arial" w:eastAsia="Arial" w:hAnsi="Arial" w:cs="Arial"/>
          <w:sz w:val="24"/>
          <w:szCs w:val="24"/>
        </w:rPr>
        <w:t xml:space="preserve">que la candidata cuestionada </w:t>
      </w:r>
      <w:r w:rsidR="003E3F27">
        <w:rPr>
          <w:rFonts w:ascii="Arial" w:eastAsia="Arial" w:hAnsi="Arial" w:cs="Arial"/>
          <w:sz w:val="24"/>
          <w:szCs w:val="24"/>
        </w:rPr>
        <w:t xml:space="preserve">le </w:t>
      </w:r>
      <w:r>
        <w:rPr>
          <w:rFonts w:ascii="Arial" w:eastAsia="Arial" w:hAnsi="Arial" w:cs="Arial"/>
          <w:sz w:val="24"/>
          <w:szCs w:val="24"/>
        </w:rPr>
        <w:t xml:space="preserve">atribuyó de manera directa a los partidos denunciantes la comisión del delito de robo, sin que de las constancias que existen en el expediente se </w:t>
      </w:r>
      <w:r w:rsidR="003E3F27">
        <w:rPr>
          <w:rFonts w:ascii="Arial" w:eastAsia="Arial" w:hAnsi="Arial" w:cs="Arial"/>
          <w:sz w:val="24"/>
          <w:szCs w:val="24"/>
        </w:rPr>
        <w:t xml:space="preserve">lograra demostrar con prueba alguna </w:t>
      </w:r>
      <w:r>
        <w:rPr>
          <w:rFonts w:ascii="Arial" w:eastAsia="Arial" w:hAnsi="Arial" w:cs="Arial"/>
          <w:sz w:val="24"/>
          <w:szCs w:val="24"/>
        </w:rPr>
        <w:t>que sustente tal imputación</w:t>
      </w:r>
      <w:r w:rsidR="002667C7">
        <w:rPr>
          <w:rFonts w:ascii="Arial" w:eastAsia="Arial" w:hAnsi="Arial" w:cs="Arial"/>
          <w:sz w:val="24"/>
          <w:szCs w:val="24"/>
        </w:rPr>
        <w:t>, s</w:t>
      </w:r>
      <w:r>
        <w:rPr>
          <w:rFonts w:ascii="Arial" w:eastAsia="Arial" w:hAnsi="Arial" w:cs="Arial"/>
          <w:sz w:val="24"/>
          <w:szCs w:val="24"/>
        </w:rPr>
        <w:t xml:space="preserve">ituación que </w:t>
      </w:r>
      <w:r w:rsidR="003E3F27">
        <w:rPr>
          <w:rFonts w:ascii="Arial" w:eastAsia="Arial" w:hAnsi="Arial" w:cs="Arial"/>
          <w:sz w:val="24"/>
          <w:szCs w:val="24"/>
        </w:rPr>
        <w:t xml:space="preserve">implica </w:t>
      </w:r>
      <w:r>
        <w:rPr>
          <w:rFonts w:ascii="Arial" w:eastAsia="Arial" w:hAnsi="Arial" w:cs="Arial"/>
          <w:sz w:val="24"/>
          <w:szCs w:val="24"/>
        </w:rPr>
        <w:t xml:space="preserve">que la </w:t>
      </w:r>
      <w:r w:rsidR="003E3F27">
        <w:rPr>
          <w:rFonts w:ascii="Arial" w:eastAsia="Arial" w:hAnsi="Arial" w:cs="Arial"/>
          <w:sz w:val="24"/>
          <w:szCs w:val="24"/>
        </w:rPr>
        <w:t xml:space="preserve">parte </w:t>
      </w:r>
      <w:r>
        <w:rPr>
          <w:rFonts w:ascii="Arial" w:eastAsia="Arial" w:hAnsi="Arial" w:cs="Arial"/>
          <w:sz w:val="24"/>
          <w:szCs w:val="24"/>
        </w:rPr>
        <w:t>denunciada tuvo el propósito de provocar un daño a la reputación de dichos partidos, en relación con su imagen frente al electorado</w:t>
      </w:r>
      <w:r w:rsidR="003E3F27">
        <w:rPr>
          <w:rFonts w:ascii="Arial" w:eastAsia="Arial" w:hAnsi="Arial" w:cs="Arial"/>
          <w:sz w:val="24"/>
          <w:szCs w:val="24"/>
        </w:rPr>
        <w:t xml:space="preserve">, de forma maliciosa. </w:t>
      </w:r>
    </w:p>
    <w:p w14:paraId="69C15425" w14:textId="77777777" w:rsidR="00256634" w:rsidRDefault="000F0709" w:rsidP="00B46FE6">
      <w:pPr>
        <w:spacing w:before="240" w:line="360" w:lineRule="auto"/>
        <w:jc w:val="both"/>
        <w:rPr>
          <w:rFonts w:ascii="Arial" w:eastAsia="Arial" w:hAnsi="Arial" w:cs="Arial"/>
          <w:b/>
          <w:color w:val="000000"/>
          <w:sz w:val="16"/>
          <w:szCs w:val="16"/>
        </w:rPr>
      </w:pPr>
      <w:bookmarkStart w:id="2" w:name="_heading=h.g687188sr8bc" w:colFirst="0" w:colLast="0"/>
      <w:bookmarkEnd w:id="2"/>
      <w:r>
        <w:rPr>
          <w:rFonts w:ascii="Arial" w:eastAsia="Arial" w:hAnsi="Arial" w:cs="Arial"/>
          <w:b/>
          <w:color w:val="000000"/>
          <w:sz w:val="16"/>
          <w:szCs w:val="16"/>
        </w:rPr>
        <w:t xml:space="preserve">                                                                                       Índice</w:t>
      </w:r>
    </w:p>
    <w:p w14:paraId="38C5F379" w14:textId="1998A8AE" w:rsidR="00256634" w:rsidRPr="00274769" w:rsidRDefault="000F0709">
      <w:pPr>
        <w:ind w:left="993" w:right="616"/>
        <w:rPr>
          <w:rFonts w:ascii="Arial" w:eastAsia="Arial" w:hAnsi="Arial" w:cs="Arial"/>
          <w:b/>
          <w:bCs/>
          <w:sz w:val="16"/>
          <w:szCs w:val="16"/>
        </w:rPr>
      </w:pPr>
      <w:r w:rsidRPr="00274769">
        <w:rPr>
          <w:rFonts w:ascii="Arial" w:eastAsia="Arial" w:hAnsi="Arial" w:cs="Arial"/>
          <w:b/>
          <w:bCs/>
          <w:sz w:val="16"/>
          <w:szCs w:val="16"/>
        </w:rPr>
        <w:t>Contexto del caso ……………………………………………………………………………………………...2</w:t>
      </w:r>
    </w:p>
    <w:p w14:paraId="1D1A2F3E" w14:textId="108BD476" w:rsidR="00256634" w:rsidRPr="00274769" w:rsidRDefault="000F0709">
      <w:pPr>
        <w:ind w:left="993" w:right="616"/>
        <w:rPr>
          <w:rFonts w:ascii="Arial" w:eastAsia="Arial" w:hAnsi="Arial" w:cs="Arial"/>
          <w:b/>
          <w:bCs/>
          <w:sz w:val="16"/>
          <w:szCs w:val="16"/>
        </w:rPr>
      </w:pPr>
      <w:r w:rsidRPr="00274769">
        <w:rPr>
          <w:rFonts w:ascii="Arial" w:eastAsia="Arial" w:hAnsi="Arial" w:cs="Arial"/>
          <w:b/>
          <w:bCs/>
          <w:sz w:val="16"/>
          <w:szCs w:val="16"/>
        </w:rPr>
        <w:t>Competencia ……………………………………………………………………………………………</w:t>
      </w:r>
      <w:proofErr w:type="gramStart"/>
      <w:r w:rsidRPr="00274769">
        <w:rPr>
          <w:rFonts w:ascii="Arial" w:eastAsia="Arial" w:hAnsi="Arial" w:cs="Arial"/>
          <w:b/>
          <w:bCs/>
          <w:sz w:val="16"/>
          <w:szCs w:val="16"/>
        </w:rPr>
        <w:t>…....</w:t>
      </w:r>
      <w:proofErr w:type="gramEnd"/>
      <w:r w:rsidRPr="00274769">
        <w:rPr>
          <w:rFonts w:ascii="Arial" w:eastAsia="Arial" w:hAnsi="Arial" w:cs="Arial"/>
          <w:b/>
          <w:bCs/>
          <w:sz w:val="16"/>
          <w:szCs w:val="16"/>
        </w:rPr>
        <w:t>…3</w:t>
      </w:r>
    </w:p>
    <w:p w14:paraId="10931F8A" w14:textId="182331CA" w:rsidR="00256634" w:rsidRPr="00274769" w:rsidRDefault="000F0709">
      <w:pPr>
        <w:ind w:left="993" w:right="616"/>
        <w:rPr>
          <w:rFonts w:ascii="Arial" w:eastAsia="Arial" w:hAnsi="Arial" w:cs="Arial"/>
          <w:b/>
          <w:bCs/>
          <w:sz w:val="16"/>
          <w:szCs w:val="16"/>
        </w:rPr>
      </w:pPr>
      <w:r w:rsidRPr="00274769">
        <w:rPr>
          <w:rFonts w:ascii="Arial" w:eastAsia="Arial" w:hAnsi="Arial" w:cs="Arial"/>
          <w:b/>
          <w:bCs/>
          <w:sz w:val="16"/>
          <w:szCs w:val="16"/>
        </w:rPr>
        <w:t>Personería ………………………………………………………………………………………………</w:t>
      </w:r>
      <w:proofErr w:type="gramStart"/>
      <w:r w:rsidRPr="00274769">
        <w:rPr>
          <w:rFonts w:ascii="Arial" w:eastAsia="Arial" w:hAnsi="Arial" w:cs="Arial"/>
          <w:b/>
          <w:bCs/>
          <w:sz w:val="16"/>
          <w:szCs w:val="16"/>
        </w:rPr>
        <w:t>…....</w:t>
      </w:r>
      <w:proofErr w:type="gramEnd"/>
      <w:r w:rsidRPr="00274769">
        <w:rPr>
          <w:rFonts w:ascii="Arial" w:eastAsia="Arial" w:hAnsi="Arial" w:cs="Arial"/>
          <w:b/>
          <w:bCs/>
          <w:sz w:val="16"/>
          <w:szCs w:val="16"/>
        </w:rPr>
        <w:t>…</w:t>
      </w:r>
      <w:r w:rsidR="00274769" w:rsidRPr="00274769">
        <w:rPr>
          <w:rFonts w:ascii="Arial" w:eastAsia="Arial" w:hAnsi="Arial" w:cs="Arial"/>
          <w:b/>
          <w:bCs/>
          <w:sz w:val="8"/>
          <w:szCs w:val="8"/>
        </w:rPr>
        <w:t>.</w:t>
      </w:r>
      <w:r w:rsidRPr="00274769">
        <w:rPr>
          <w:rFonts w:ascii="Arial" w:eastAsia="Arial" w:hAnsi="Arial" w:cs="Arial"/>
          <w:b/>
          <w:bCs/>
          <w:sz w:val="16"/>
          <w:szCs w:val="16"/>
        </w:rPr>
        <w:t>3</w:t>
      </w:r>
    </w:p>
    <w:p w14:paraId="772DA594" w14:textId="5DBF8A22" w:rsidR="00256634" w:rsidRPr="00274769" w:rsidRDefault="000F0709">
      <w:pPr>
        <w:ind w:left="993" w:right="616"/>
        <w:rPr>
          <w:rFonts w:ascii="Arial" w:eastAsia="Arial" w:hAnsi="Arial" w:cs="Arial"/>
          <w:b/>
          <w:bCs/>
          <w:sz w:val="16"/>
          <w:szCs w:val="16"/>
        </w:rPr>
      </w:pPr>
      <w:r w:rsidRPr="00274769">
        <w:rPr>
          <w:rFonts w:ascii="Arial" w:eastAsia="Arial" w:hAnsi="Arial" w:cs="Arial"/>
          <w:b/>
          <w:bCs/>
          <w:sz w:val="16"/>
          <w:szCs w:val="16"/>
        </w:rPr>
        <w:t>Causales de improcedencia ……………………………………………………………………………</w:t>
      </w:r>
      <w:proofErr w:type="gramStart"/>
      <w:r w:rsidRPr="00274769">
        <w:rPr>
          <w:rFonts w:ascii="Arial" w:eastAsia="Arial" w:hAnsi="Arial" w:cs="Arial"/>
          <w:b/>
          <w:bCs/>
          <w:sz w:val="16"/>
          <w:szCs w:val="16"/>
        </w:rPr>
        <w:t>……</w:t>
      </w:r>
      <w:r w:rsidR="00274769" w:rsidRPr="00274769">
        <w:rPr>
          <w:rFonts w:ascii="Arial" w:eastAsia="Arial" w:hAnsi="Arial" w:cs="Arial"/>
          <w:b/>
          <w:bCs/>
          <w:sz w:val="14"/>
          <w:szCs w:val="14"/>
        </w:rPr>
        <w:t>.</w:t>
      </w:r>
      <w:proofErr w:type="gramEnd"/>
      <w:r w:rsidRPr="00274769">
        <w:rPr>
          <w:rFonts w:ascii="Arial" w:eastAsia="Arial" w:hAnsi="Arial" w:cs="Arial"/>
          <w:b/>
          <w:bCs/>
          <w:sz w:val="16"/>
          <w:szCs w:val="16"/>
        </w:rPr>
        <w:t>3</w:t>
      </w:r>
    </w:p>
    <w:p w14:paraId="2D3624AA" w14:textId="1939DA64" w:rsidR="00256634" w:rsidRPr="00274769" w:rsidRDefault="000F0709">
      <w:pPr>
        <w:ind w:left="993" w:right="616"/>
        <w:rPr>
          <w:rFonts w:ascii="Arial" w:eastAsia="Arial" w:hAnsi="Arial" w:cs="Arial"/>
          <w:b/>
          <w:bCs/>
          <w:sz w:val="16"/>
          <w:szCs w:val="16"/>
        </w:rPr>
      </w:pPr>
      <w:r w:rsidRPr="00274769">
        <w:rPr>
          <w:rFonts w:ascii="Arial" w:eastAsia="Arial" w:hAnsi="Arial" w:cs="Arial"/>
          <w:b/>
          <w:bCs/>
          <w:sz w:val="16"/>
          <w:szCs w:val="16"/>
        </w:rPr>
        <w:t>Estudio de fondo……………………………………………………………………………</w:t>
      </w:r>
      <w:proofErr w:type="gramStart"/>
      <w:r w:rsidRPr="00274769">
        <w:rPr>
          <w:rFonts w:ascii="Arial" w:eastAsia="Arial" w:hAnsi="Arial" w:cs="Arial"/>
          <w:b/>
          <w:bCs/>
          <w:sz w:val="16"/>
          <w:szCs w:val="16"/>
        </w:rPr>
        <w:t>…....</w:t>
      </w:r>
      <w:proofErr w:type="gramEnd"/>
      <w:r w:rsidRPr="00274769">
        <w:rPr>
          <w:rFonts w:ascii="Arial" w:eastAsia="Arial" w:hAnsi="Arial" w:cs="Arial"/>
          <w:b/>
          <w:bCs/>
          <w:sz w:val="16"/>
          <w:szCs w:val="16"/>
        </w:rPr>
        <w:t>.…………....4</w:t>
      </w:r>
    </w:p>
    <w:p w14:paraId="11295804" w14:textId="5B7BF728" w:rsidR="00256634" w:rsidRPr="00274769" w:rsidRDefault="000F0709">
      <w:pPr>
        <w:ind w:left="993" w:right="616"/>
        <w:rPr>
          <w:rFonts w:ascii="Arial" w:eastAsia="Arial" w:hAnsi="Arial" w:cs="Arial"/>
          <w:b/>
          <w:bCs/>
          <w:sz w:val="16"/>
          <w:szCs w:val="16"/>
        </w:rPr>
      </w:pPr>
      <w:r w:rsidRPr="00274769">
        <w:rPr>
          <w:rFonts w:ascii="Arial" w:eastAsia="Arial" w:hAnsi="Arial" w:cs="Arial"/>
          <w:b/>
          <w:bCs/>
          <w:sz w:val="16"/>
          <w:szCs w:val="16"/>
        </w:rPr>
        <w:t>Análisis de fondo …………………………………………………………………………………………</w:t>
      </w:r>
      <w:proofErr w:type="gramStart"/>
      <w:r w:rsidRPr="00274769">
        <w:rPr>
          <w:rFonts w:ascii="Arial" w:eastAsia="Arial" w:hAnsi="Arial" w:cs="Arial"/>
          <w:b/>
          <w:bCs/>
          <w:sz w:val="16"/>
          <w:szCs w:val="16"/>
        </w:rPr>
        <w:t>…....</w:t>
      </w:r>
      <w:proofErr w:type="gramEnd"/>
      <w:r w:rsidRPr="00274769">
        <w:rPr>
          <w:rFonts w:ascii="Arial" w:eastAsia="Arial" w:hAnsi="Arial" w:cs="Arial"/>
          <w:b/>
          <w:bCs/>
          <w:sz w:val="16"/>
          <w:szCs w:val="16"/>
        </w:rPr>
        <w:t>6</w:t>
      </w:r>
    </w:p>
    <w:p w14:paraId="7A224527" w14:textId="6D7C1EBC" w:rsidR="00256634" w:rsidRDefault="000F0709" w:rsidP="00274769">
      <w:pPr>
        <w:ind w:left="993" w:right="616"/>
        <w:rPr>
          <w:rFonts w:ascii="Arial" w:eastAsia="Arial" w:hAnsi="Arial" w:cs="Arial"/>
          <w:sz w:val="16"/>
          <w:szCs w:val="16"/>
        </w:rPr>
      </w:pPr>
      <w:r>
        <w:rPr>
          <w:rFonts w:ascii="Arial" w:eastAsia="Arial" w:hAnsi="Arial" w:cs="Arial"/>
          <w:sz w:val="16"/>
          <w:szCs w:val="16"/>
        </w:rPr>
        <w:t>Apartado I. Decisión………………………………………………………………………………………</w:t>
      </w:r>
      <w:proofErr w:type="gramStart"/>
      <w:r>
        <w:rPr>
          <w:rFonts w:ascii="Arial" w:eastAsia="Arial" w:hAnsi="Arial" w:cs="Arial"/>
          <w:sz w:val="16"/>
          <w:szCs w:val="16"/>
        </w:rPr>
        <w:t>…</w:t>
      </w:r>
      <w:r w:rsidR="00274769">
        <w:rPr>
          <w:rFonts w:ascii="Arial" w:eastAsia="Arial" w:hAnsi="Arial" w:cs="Arial"/>
          <w:sz w:val="16"/>
          <w:szCs w:val="16"/>
        </w:rPr>
        <w:t>….</w:t>
      </w:r>
      <w:proofErr w:type="gramEnd"/>
      <w:r w:rsidR="00274769">
        <w:rPr>
          <w:rFonts w:ascii="Arial" w:eastAsia="Arial" w:hAnsi="Arial" w:cs="Arial"/>
          <w:sz w:val="16"/>
          <w:szCs w:val="16"/>
        </w:rPr>
        <w:t>.</w:t>
      </w:r>
      <w:r w:rsidR="00274769" w:rsidRPr="00274769">
        <w:rPr>
          <w:rFonts w:ascii="Arial" w:eastAsia="Arial" w:hAnsi="Arial" w:cs="Arial"/>
          <w:sz w:val="8"/>
          <w:szCs w:val="8"/>
        </w:rPr>
        <w:t xml:space="preserve"> </w:t>
      </w:r>
      <w:r>
        <w:rPr>
          <w:rFonts w:ascii="Arial" w:eastAsia="Arial" w:hAnsi="Arial" w:cs="Arial"/>
          <w:sz w:val="16"/>
          <w:szCs w:val="16"/>
        </w:rPr>
        <w:t>6</w:t>
      </w:r>
    </w:p>
    <w:p w14:paraId="0FC3CFC0" w14:textId="514A18E4" w:rsidR="00256634" w:rsidRDefault="000F0709">
      <w:pPr>
        <w:ind w:left="993" w:right="616"/>
        <w:rPr>
          <w:rFonts w:ascii="Arial" w:eastAsia="Arial" w:hAnsi="Arial" w:cs="Arial"/>
          <w:sz w:val="16"/>
          <w:szCs w:val="16"/>
        </w:rPr>
      </w:pPr>
      <w:r>
        <w:rPr>
          <w:rFonts w:ascii="Arial" w:eastAsia="Arial" w:hAnsi="Arial" w:cs="Arial"/>
          <w:sz w:val="16"/>
          <w:szCs w:val="16"/>
        </w:rPr>
        <w:t>Apartado II. Desarrollo y justificación de la decisión………………………………………………………</w:t>
      </w:r>
      <w:r w:rsidR="00274769">
        <w:rPr>
          <w:rFonts w:ascii="Arial" w:eastAsia="Arial" w:hAnsi="Arial" w:cs="Arial"/>
          <w:sz w:val="16"/>
          <w:szCs w:val="16"/>
        </w:rPr>
        <w:t>…</w:t>
      </w:r>
      <w:r>
        <w:rPr>
          <w:rFonts w:ascii="Arial" w:eastAsia="Arial" w:hAnsi="Arial" w:cs="Arial"/>
          <w:sz w:val="16"/>
          <w:szCs w:val="16"/>
        </w:rPr>
        <w:t>7</w:t>
      </w:r>
    </w:p>
    <w:p w14:paraId="66059F7C" w14:textId="1EDC8B2A" w:rsidR="00256634" w:rsidRDefault="000F0709">
      <w:pPr>
        <w:tabs>
          <w:tab w:val="right" w:pos="8263"/>
          <w:tab w:val="left" w:pos="8789"/>
        </w:tabs>
        <w:ind w:left="993" w:right="616"/>
        <w:rPr>
          <w:rFonts w:ascii="Arial" w:eastAsia="Arial" w:hAnsi="Arial" w:cs="Arial"/>
          <w:sz w:val="16"/>
          <w:szCs w:val="16"/>
        </w:rPr>
      </w:pPr>
      <w:r>
        <w:rPr>
          <w:rFonts w:ascii="Arial" w:eastAsia="Arial" w:hAnsi="Arial" w:cs="Arial"/>
          <w:sz w:val="16"/>
          <w:szCs w:val="16"/>
        </w:rPr>
        <w:t>Culpa in vigilando...…</w:t>
      </w:r>
      <w:proofErr w:type="gramStart"/>
      <w:r>
        <w:rPr>
          <w:rFonts w:ascii="Arial" w:eastAsia="Arial" w:hAnsi="Arial" w:cs="Arial"/>
          <w:sz w:val="16"/>
          <w:szCs w:val="16"/>
        </w:rPr>
        <w:t>…….</w:t>
      </w:r>
      <w:proofErr w:type="gramEnd"/>
      <w:r>
        <w:rPr>
          <w:rFonts w:ascii="Arial" w:eastAsia="Arial" w:hAnsi="Arial" w:cs="Arial"/>
          <w:sz w:val="16"/>
          <w:szCs w:val="16"/>
        </w:rPr>
        <w:t>.…………………………………………………………………....………….....</w:t>
      </w:r>
      <w:r w:rsidR="00274769">
        <w:rPr>
          <w:rFonts w:ascii="Arial" w:eastAsia="Arial" w:hAnsi="Arial" w:cs="Arial"/>
          <w:sz w:val="16"/>
          <w:szCs w:val="16"/>
        </w:rPr>
        <w:t>.</w:t>
      </w:r>
      <w:r>
        <w:rPr>
          <w:rFonts w:ascii="Arial" w:eastAsia="Arial" w:hAnsi="Arial" w:cs="Arial"/>
          <w:sz w:val="16"/>
          <w:szCs w:val="16"/>
        </w:rPr>
        <w:t>13</w:t>
      </w:r>
    </w:p>
    <w:p w14:paraId="06F34701" w14:textId="0DD388AD" w:rsidR="00256634" w:rsidRPr="00274769" w:rsidRDefault="000F0709" w:rsidP="00B46FE6">
      <w:pPr>
        <w:tabs>
          <w:tab w:val="right" w:pos="8263"/>
        </w:tabs>
        <w:ind w:left="993" w:right="616"/>
        <w:rPr>
          <w:rFonts w:ascii="Arial" w:eastAsia="Arial" w:hAnsi="Arial" w:cs="Arial"/>
          <w:b/>
          <w:bCs/>
          <w:sz w:val="16"/>
          <w:szCs w:val="16"/>
        </w:rPr>
      </w:pPr>
      <w:proofErr w:type="gramStart"/>
      <w:r w:rsidRPr="00274769">
        <w:rPr>
          <w:rFonts w:ascii="Arial" w:eastAsia="Arial" w:hAnsi="Arial" w:cs="Arial"/>
          <w:b/>
          <w:bCs/>
          <w:sz w:val="16"/>
          <w:szCs w:val="16"/>
        </w:rPr>
        <w:t>Resolutivos.…</w:t>
      </w:r>
      <w:proofErr w:type="gramEnd"/>
      <w:r w:rsidRPr="00274769">
        <w:rPr>
          <w:rFonts w:ascii="Arial" w:eastAsia="Arial" w:hAnsi="Arial" w:cs="Arial"/>
          <w:b/>
          <w:bCs/>
          <w:sz w:val="16"/>
          <w:szCs w:val="16"/>
        </w:rPr>
        <w:t>………………………………………………………………………………….....…………...14</w:t>
      </w:r>
    </w:p>
    <w:p w14:paraId="3DF7A644" w14:textId="77777777" w:rsidR="00256634" w:rsidRPr="00B46FE6" w:rsidRDefault="00256634" w:rsidP="00B46FE6">
      <w:pPr>
        <w:pStyle w:val="Sinespaciado"/>
        <w:rPr>
          <w:rFonts w:eastAsia="Arial"/>
        </w:rPr>
      </w:pPr>
    </w:p>
    <w:p w14:paraId="60B246D2" w14:textId="77777777" w:rsidR="00256634" w:rsidRDefault="000F0709">
      <w:pPr>
        <w:spacing w:line="360" w:lineRule="auto"/>
        <w:ind w:left="3881" w:right="2324" w:hanging="140"/>
        <w:rPr>
          <w:rFonts w:ascii="Arial" w:eastAsia="Arial" w:hAnsi="Arial" w:cs="Arial"/>
          <w:b/>
          <w:sz w:val="16"/>
          <w:szCs w:val="16"/>
        </w:rPr>
      </w:pPr>
      <w:r>
        <w:rPr>
          <w:rFonts w:ascii="Arial" w:eastAsia="Arial" w:hAnsi="Arial" w:cs="Arial"/>
          <w:b/>
          <w:sz w:val="16"/>
          <w:szCs w:val="16"/>
        </w:rPr>
        <w:t xml:space="preserve"> Glosario</w:t>
      </w:r>
    </w:p>
    <w:tbl>
      <w:tblPr>
        <w:tblStyle w:val="af6"/>
        <w:tblW w:w="7229" w:type="dxa"/>
        <w:tblInd w:w="851" w:type="dxa"/>
        <w:tblLayout w:type="fixed"/>
        <w:tblLook w:val="0400" w:firstRow="0" w:lastRow="0" w:firstColumn="0" w:lastColumn="0" w:noHBand="0" w:noVBand="1"/>
      </w:tblPr>
      <w:tblGrid>
        <w:gridCol w:w="1843"/>
        <w:gridCol w:w="5386"/>
      </w:tblGrid>
      <w:tr w:rsidR="00256634" w14:paraId="4C0E68CF" w14:textId="77777777" w:rsidTr="00B37ECD">
        <w:trPr>
          <w:trHeight w:val="70"/>
        </w:trPr>
        <w:tc>
          <w:tcPr>
            <w:tcW w:w="1843" w:type="dxa"/>
            <w:shd w:val="clear" w:color="auto" w:fill="auto"/>
          </w:tcPr>
          <w:p w14:paraId="3253CCCB" w14:textId="77777777" w:rsidR="00256634" w:rsidRDefault="000F070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Denunciante:</w:t>
            </w:r>
          </w:p>
          <w:p w14:paraId="53E44DCE" w14:textId="77777777" w:rsidR="00256634" w:rsidRDefault="000F070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 xml:space="preserve">Denunciados: </w:t>
            </w:r>
          </w:p>
          <w:p w14:paraId="7889AB4E" w14:textId="77777777" w:rsidR="00256634" w:rsidRDefault="00256634">
            <w:pPr>
              <w:spacing w:line="276" w:lineRule="auto"/>
              <w:jc w:val="both"/>
              <w:rPr>
                <w:rFonts w:ascii="Arial" w:eastAsia="Arial" w:hAnsi="Arial" w:cs="Arial"/>
                <w:b/>
                <w:color w:val="000000"/>
                <w:sz w:val="16"/>
                <w:szCs w:val="16"/>
              </w:rPr>
            </w:pPr>
          </w:p>
          <w:p w14:paraId="547DB683" w14:textId="77777777" w:rsidR="00256634" w:rsidRDefault="000F070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Código Electoral:</w:t>
            </w:r>
          </w:p>
          <w:p w14:paraId="75CF9E12" w14:textId="77777777" w:rsidR="00256634" w:rsidRDefault="00256634">
            <w:pPr>
              <w:spacing w:line="276" w:lineRule="auto"/>
              <w:jc w:val="both"/>
              <w:rPr>
                <w:rFonts w:ascii="Arial" w:eastAsia="Arial" w:hAnsi="Arial" w:cs="Arial"/>
                <w:b/>
                <w:color w:val="000000"/>
                <w:sz w:val="16"/>
                <w:szCs w:val="16"/>
              </w:rPr>
            </w:pPr>
          </w:p>
          <w:p w14:paraId="38F01A9E" w14:textId="77777777" w:rsidR="00256634" w:rsidRDefault="000F070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Instituto Local:</w:t>
            </w:r>
          </w:p>
        </w:tc>
        <w:tc>
          <w:tcPr>
            <w:tcW w:w="5386" w:type="dxa"/>
            <w:shd w:val="clear" w:color="auto" w:fill="auto"/>
          </w:tcPr>
          <w:p w14:paraId="6E39DF76" w14:textId="77777777" w:rsidR="00256634" w:rsidRDefault="000F0709">
            <w:pPr>
              <w:spacing w:line="276" w:lineRule="auto"/>
              <w:ind w:right="518"/>
              <w:jc w:val="both"/>
              <w:rPr>
                <w:rFonts w:ascii="Arial" w:eastAsia="Arial" w:hAnsi="Arial" w:cs="Arial"/>
                <w:color w:val="000000"/>
                <w:sz w:val="16"/>
                <w:szCs w:val="16"/>
              </w:rPr>
            </w:pPr>
            <w:r>
              <w:rPr>
                <w:rFonts w:ascii="Arial" w:eastAsia="Arial" w:hAnsi="Arial" w:cs="Arial"/>
                <w:color w:val="000000"/>
                <w:sz w:val="16"/>
                <w:szCs w:val="16"/>
              </w:rPr>
              <w:lastRenderedPageBreak/>
              <w:t>Partido Acción Nacional y Partido Revolucionario Institucional.</w:t>
            </w:r>
          </w:p>
          <w:p w14:paraId="3D3E9752" w14:textId="77777777" w:rsidR="00256634" w:rsidRDefault="000F0709">
            <w:pPr>
              <w:spacing w:line="276" w:lineRule="auto"/>
              <w:ind w:right="-259"/>
              <w:jc w:val="both"/>
              <w:rPr>
                <w:rFonts w:ascii="Arial" w:eastAsia="Arial" w:hAnsi="Arial" w:cs="Arial"/>
                <w:color w:val="000000"/>
                <w:sz w:val="16"/>
                <w:szCs w:val="16"/>
              </w:rPr>
            </w:pPr>
            <w:r>
              <w:rPr>
                <w:rFonts w:ascii="Arial" w:eastAsia="Arial" w:hAnsi="Arial" w:cs="Arial"/>
                <w:color w:val="000000"/>
                <w:sz w:val="16"/>
                <w:szCs w:val="16"/>
              </w:rPr>
              <w:t xml:space="preserve">Nora Ruvalcaba Gámez, candidata de MORENA a la gubernatura </w:t>
            </w:r>
          </w:p>
          <w:p w14:paraId="253FFC88" w14:textId="77777777" w:rsidR="00256634" w:rsidRDefault="000F0709">
            <w:pPr>
              <w:spacing w:line="276" w:lineRule="auto"/>
              <w:ind w:right="-259"/>
              <w:jc w:val="both"/>
              <w:rPr>
                <w:rFonts w:ascii="Arial" w:eastAsia="Arial" w:hAnsi="Arial" w:cs="Arial"/>
                <w:color w:val="000000"/>
                <w:sz w:val="16"/>
                <w:szCs w:val="16"/>
              </w:rPr>
            </w:pPr>
            <w:r>
              <w:rPr>
                <w:rFonts w:ascii="Arial" w:eastAsia="Arial" w:hAnsi="Arial" w:cs="Arial"/>
                <w:color w:val="000000"/>
                <w:sz w:val="16"/>
                <w:szCs w:val="16"/>
              </w:rPr>
              <w:t xml:space="preserve">del estado, y MORENA. </w:t>
            </w:r>
          </w:p>
          <w:p w14:paraId="22C7BBC9" w14:textId="77777777" w:rsidR="00256634" w:rsidRDefault="000F070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Código Electoral del Estado de Aguascalientes.</w:t>
            </w:r>
          </w:p>
          <w:p w14:paraId="637BC158" w14:textId="77777777" w:rsidR="00256634" w:rsidRDefault="000F070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lastRenderedPageBreak/>
              <w:t>Consejo General del Instituto Estatal Electoral de Aguascalientes.</w:t>
            </w:r>
          </w:p>
          <w:p w14:paraId="1DB53712" w14:textId="77777777" w:rsidR="00256634" w:rsidRDefault="000F070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Instituto Estatal Electoral de Aguascalientes.</w:t>
            </w:r>
          </w:p>
        </w:tc>
      </w:tr>
      <w:tr w:rsidR="00256634" w14:paraId="2C65D01D" w14:textId="77777777">
        <w:trPr>
          <w:trHeight w:val="578"/>
        </w:trPr>
        <w:tc>
          <w:tcPr>
            <w:tcW w:w="1843" w:type="dxa"/>
            <w:shd w:val="clear" w:color="auto" w:fill="auto"/>
          </w:tcPr>
          <w:p w14:paraId="5FD79AAC" w14:textId="77777777" w:rsidR="00256634" w:rsidRDefault="000F070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lastRenderedPageBreak/>
              <w:t xml:space="preserve">LEGIPE: </w:t>
            </w:r>
          </w:p>
          <w:p w14:paraId="6D55B1A4" w14:textId="77777777" w:rsidR="00256634" w:rsidRDefault="000F070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MORENA:</w:t>
            </w:r>
          </w:p>
          <w:p w14:paraId="0B8CD5C5" w14:textId="77777777" w:rsidR="00256634" w:rsidRDefault="000F070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Sala Superior:</w:t>
            </w:r>
          </w:p>
          <w:p w14:paraId="34F19D57" w14:textId="77777777" w:rsidR="00256634" w:rsidRDefault="00256634">
            <w:pPr>
              <w:spacing w:line="276" w:lineRule="auto"/>
              <w:jc w:val="both"/>
              <w:rPr>
                <w:rFonts w:ascii="Arial" w:eastAsia="Arial" w:hAnsi="Arial" w:cs="Arial"/>
                <w:b/>
                <w:color w:val="000000"/>
                <w:sz w:val="16"/>
                <w:szCs w:val="16"/>
              </w:rPr>
            </w:pPr>
          </w:p>
          <w:p w14:paraId="342DE3FB" w14:textId="77777777" w:rsidR="00256634" w:rsidRDefault="000F070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Secretario Ejecutivo:</w:t>
            </w:r>
          </w:p>
          <w:p w14:paraId="5F8FD1B3" w14:textId="77777777" w:rsidR="00256634" w:rsidRDefault="000F070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PAN:</w:t>
            </w:r>
          </w:p>
          <w:p w14:paraId="2B6C9EBD" w14:textId="77777777" w:rsidR="00256634" w:rsidRDefault="000F070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PEL:</w:t>
            </w:r>
          </w:p>
          <w:p w14:paraId="011282EB" w14:textId="77777777" w:rsidR="00256634" w:rsidRDefault="000F070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PES:</w:t>
            </w:r>
          </w:p>
          <w:p w14:paraId="3E352512" w14:textId="77777777" w:rsidR="00256634" w:rsidRDefault="000F070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PRI:</w:t>
            </w:r>
          </w:p>
          <w:p w14:paraId="17DC0A1F" w14:textId="3383722E" w:rsidR="00256634" w:rsidRDefault="000F0709">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Tribunal Electoral:</w:t>
            </w:r>
          </w:p>
          <w:p w14:paraId="54C022A1" w14:textId="765065EE" w:rsidR="00B37ECD" w:rsidRDefault="00B37ECD">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SCJN:</w:t>
            </w:r>
          </w:p>
          <w:p w14:paraId="6F7CF963" w14:textId="77777777" w:rsidR="00256634" w:rsidRDefault="00256634">
            <w:pPr>
              <w:spacing w:line="276" w:lineRule="auto"/>
              <w:jc w:val="both"/>
              <w:rPr>
                <w:rFonts w:ascii="Arial" w:eastAsia="Arial" w:hAnsi="Arial" w:cs="Arial"/>
                <w:b/>
                <w:color w:val="000000"/>
                <w:sz w:val="16"/>
                <w:szCs w:val="16"/>
              </w:rPr>
            </w:pPr>
          </w:p>
        </w:tc>
        <w:tc>
          <w:tcPr>
            <w:tcW w:w="5386" w:type="dxa"/>
            <w:shd w:val="clear" w:color="auto" w:fill="auto"/>
          </w:tcPr>
          <w:p w14:paraId="287838A9" w14:textId="77777777" w:rsidR="00256634" w:rsidRDefault="000F070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Ley General de Instituciones y Procedimientos Electorales.</w:t>
            </w:r>
          </w:p>
          <w:p w14:paraId="2722823D" w14:textId="77777777" w:rsidR="00256634" w:rsidRDefault="000F070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Movimiento de Regeneración Nacional. </w:t>
            </w:r>
          </w:p>
          <w:p w14:paraId="71EB25A4" w14:textId="77777777" w:rsidR="00256634" w:rsidRDefault="000F070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Sala Superior del Tribunal Electoral del Poder Judicial de la Federación. </w:t>
            </w:r>
          </w:p>
          <w:p w14:paraId="650FE95B" w14:textId="77777777" w:rsidR="00256634" w:rsidRDefault="000F070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Secretario Ejecutivo del Instituto Estatal Electoral de Aguascalientes. </w:t>
            </w:r>
          </w:p>
          <w:p w14:paraId="2E782DBD" w14:textId="77777777" w:rsidR="00256634" w:rsidRDefault="000F070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Partido Acción Nacional.</w:t>
            </w:r>
          </w:p>
          <w:p w14:paraId="537F71CB" w14:textId="77777777" w:rsidR="00256634" w:rsidRDefault="000F070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Procedimiento Electoral Local. </w:t>
            </w:r>
          </w:p>
          <w:p w14:paraId="5B3D532F" w14:textId="77777777" w:rsidR="00256634" w:rsidRDefault="000F070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Procedimiento Especial Sancionador.</w:t>
            </w:r>
          </w:p>
          <w:p w14:paraId="5AAD1521" w14:textId="77777777" w:rsidR="00256634" w:rsidRDefault="000F070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Partido Revolucionario Institucional. </w:t>
            </w:r>
          </w:p>
          <w:p w14:paraId="3D1071C6" w14:textId="697EEECD" w:rsidR="00256634" w:rsidRDefault="000F0709">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Tribunal Electoral del Estado de Aguascalientes.</w:t>
            </w:r>
          </w:p>
          <w:p w14:paraId="459C1007" w14:textId="4C915798" w:rsidR="000A5483" w:rsidRDefault="00B37ECD">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Suprema Corte de Justicia de la Nación.</w:t>
            </w:r>
          </w:p>
          <w:p w14:paraId="3AE98A27" w14:textId="77777777" w:rsidR="00256634" w:rsidRDefault="00256634">
            <w:pPr>
              <w:spacing w:line="276" w:lineRule="auto"/>
              <w:ind w:right="178"/>
              <w:jc w:val="both"/>
              <w:rPr>
                <w:rFonts w:ascii="Arial" w:eastAsia="Arial" w:hAnsi="Arial" w:cs="Arial"/>
                <w:color w:val="000000"/>
                <w:sz w:val="16"/>
                <w:szCs w:val="16"/>
              </w:rPr>
            </w:pPr>
          </w:p>
        </w:tc>
      </w:tr>
    </w:tbl>
    <w:p w14:paraId="58EDA91F" w14:textId="77777777" w:rsidR="00256634" w:rsidRPr="00B46FE6" w:rsidRDefault="00256634" w:rsidP="00B46FE6">
      <w:pPr>
        <w:pStyle w:val="Sinespaciado"/>
        <w:rPr>
          <w:sz w:val="10"/>
          <w:szCs w:val="10"/>
        </w:rPr>
      </w:pPr>
    </w:p>
    <w:p w14:paraId="307DFA22" w14:textId="77777777" w:rsidR="00256634" w:rsidRDefault="000F0709">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I. Contexto del caso.</w:t>
      </w:r>
      <w:r>
        <w:rPr>
          <w:rFonts w:ascii="Arial" w:eastAsia="Arial" w:hAnsi="Arial" w:cs="Arial"/>
          <w:b/>
          <w:sz w:val="24"/>
          <w:szCs w:val="24"/>
          <w:vertAlign w:val="superscript"/>
        </w:rPr>
        <w:footnoteReference w:id="2"/>
      </w:r>
    </w:p>
    <w:p w14:paraId="6BF1A518" w14:textId="77777777" w:rsidR="00256634" w:rsidRDefault="00256634">
      <w:pPr>
        <w:pBdr>
          <w:top w:val="nil"/>
          <w:left w:val="nil"/>
          <w:bottom w:val="nil"/>
          <w:right w:val="nil"/>
          <w:between w:val="nil"/>
        </w:pBdr>
        <w:rPr>
          <w:color w:val="000000"/>
        </w:rPr>
      </w:pPr>
    </w:p>
    <w:p w14:paraId="30577325" w14:textId="77777777" w:rsidR="00256634" w:rsidRDefault="000F0709">
      <w:pPr>
        <w:tabs>
          <w:tab w:val="left" w:pos="284"/>
        </w:tabs>
        <w:spacing w:line="360" w:lineRule="auto"/>
        <w:jc w:val="both"/>
        <w:rPr>
          <w:rFonts w:ascii="Arial" w:eastAsia="Arial" w:hAnsi="Arial" w:cs="Arial"/>
          <w:sz w:val="24"/>
          <w:szCs w:val="24"/>
        </w:rPr>
      </w:pPr>
      <w:r>
        <w:rPr>
          <w:rFonts w:ascii="Arial" w:eastAsia="Arial" w:hAnsi="Arial" w:cs="Arial"/>
          <w:b/>
          <w:sz w:val="24"/>
          <w:szCs w:val="24"/>
        </w:rPr>
        <w:t>1. PEL (2021-2022).</w:t>
      </w:r>
      <w:r>
        <w:rPr>
          <w:rFonts w:ascii="Arial" w:eastAsia="Arial" w:hAnsi="Arial" w:cs="Arial"/>
          <w:sz w:val="24"/>
          <w:szCs w:val="24"/>
        </w:rPr>
        <w:t xml:space="preserve"> El 7 de octubre de 2021, inició el proceso electoral local para renovar la gubernatura del estado de Aguascalientes.</w:t>
      </w:r>
      <w:r>
        <w:rPr>
          <w:rFonts w:ascii="Arial" w:eastAsia="Arial" w:hAnsi="Arial" w:cs="Arial"/>
          <w:sz w:val="24"/>
          <w:szCs w:val="24"/>
          <w:vertAlign w:val="superscript"/>
        </w:rPr>
        <w:footnoteReference w:id="3"/>
      </w:r>
    </w:p>
    <w:p w14:paraId="25E91BCC" w14:textId="38B395A2" w:rsidR="00256634" w:rsidRDefault="000F0709">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2. Denuncia.</w:t>
      </w:r>
      <w:r>
        <w:rPr>
          <w:rFonts w:ascii="Arial" w:eastAsia="Arial" w:hAnsi="Arial" w:cs="Arial"/>
          <w:sz w:val="24"/>
          <w:szCs w:val="24"/>
        </w:rPr>
        <w:t xml:space="preserve"> El 18 de abril, el ciudadano Israel Ángel Ramírez, representante suplente del PAN y de la coalición “Va Por Aguascalientes” ante el Consejo General, presentó una queja en contra de Nora Ruvalcaba Gámez, candidata de M</w:t>
      </w:r>
      <w:r w:rsidR="002667C7">
        <w:rPr>
          <w:rFonts w:ascii="Arial" w:eastAsia="Arial" w:hAnsi="Arial" w:cs="Arial"/>
          <w:sz w:val="24"/>
          <w:szCs w:val="24"/>
        </w:rPr>
        <w:t>orena</w:t>
      </w:r>
      <w:r>
        <w:rPr>
          <w:rFonts w:ascii="Arial" w:eastAsia="Arial" w:hAnsi="Arial" w:cs="Arial"/>
          <w:sz w:val="24"/>
          <w:szCs w:val="24"/>
        </w:rPr>
        <w:t xml:space="preserve"> a la gubernatura del estado, así como del referido instituto político, derivado de la publicación de un video en sus redes sociales que, a su dicho, contiene expresiones que configuran la infracción de calumnia en perjuicio del PAN y del PRI, ambos </w:t>
      </w:r>
      <w:r w:rsidR="003E3F27">
        <w:rPr>
          <w:rFonts w:ascii="Arial" w:eastAsia="Arial" w:hAnsi="Arial" w:cs="Arial"/>
          <w:sz w:val="24"/>
          <w:szCs w:val="24"/>
        </w:rPr>
        <w:t xml:space="preserve">que forman </w:t>
      </w:r>
      <w:r>
        <w:rPr>
          <w:rFonts w:ascii="Arial" w:eastAsia="Arial" w:hAnsi="Arial" w:cs="Arial"/>
          <w:sz w:val="24"/>
          <w:szCs w:val="24"/>
        </w:rPr>
        <w:t xml:space="preserve">parte de la </w:t>
      </w:r>
      <w:r w:rsidR="003E3F27">
        <w:rPr>
          <w:rFonts w:ascii="Arial" w:eastAsia="Arial" w:hAnsi="Arial" w:cs="Arial"/>
          <w:sz w:val="24"/>
          <w:szCs w:val="24"/>
        </w:rPr>
        <w:t xml:space="preserve">referida </w:t>
      </w:r>
      <w:r>
        <w:rPr>
          <w:rFonts w:ascii="Arial" w:eastAsia="Arial" w:hAnsi="Arial" w:cs="Arial"/>
          <w:sz w:val="24"/>
          <w:szCs w:val="24"/>
        </w:rPr>
        <w:t>coalición. A su vez, exigió a la autoridad administrativa la adopción de medidas cautelares.</w:t>
      </w:r>
    </w:p>
    <w:p w14:paraId="7ADC3447" w14:textId="523A564B" w:rsidR="00256634" w:rsidRDefault="000F0709">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 xml:space="preserve">3. Radicación y requerimiento. </w:t>
      </w:r>
      <w:r>
        <w:rPr>
          <w:rFonts w:ascii="Arial" w:eastAsia="Arial" w:hAnsi="Arial" w:cs="Arial"/>
          <w:sz w:val="24"/>
          <w:szCs w:val="24"/>
        </w:rPr>
        <w:t xml:space="preserve">El 19 de abril,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radicó la denuncia y le asignó el número de expediente IEE/PES/026/2022. Asimismo, requirió al PRI a fin de que ratificara la denuncia</w:t>
      </w:r>
      <w:r w:rsidR="003E3F27">
        <w:rPr>
          <w:rFonts w:ascii="Arial" w:eastAsia="Arial" w:hAnsi="Arial" w:cs="Arial"/>
          <w:sz w:val="24"/>
          <w:szCs w:val="24"/>
        </w:rPr>
        <w:t xml:space="preserve"> comentada</w:t>
      </w:r>
      <w:r>
        <w:rPr>
          <w:rFonts w:ascii="Arial" w:eastAsia="Arial" w:hAnsi="Arial" w:cs="Arial"/>
          <w:sz w:val="24"/>
          <w:szCs w:val="24"/>
        </w:rPr>
        <w:t>, al considerar que los procedimientos por la infracción de calumnia, s</w:t>
      </w:r>
      <w:r w:rsidR="002667C7">
        <w:rPr>
          <w:rFonts w:ascii="Arial" w:eastAsia="Arial" w:hAnsi="Arial" w:cs="Arial"/>
          <w:sz w:val="24"/>
          <w:szCs w:val="24"/>
        </w:rPr>
        <w:t>o</w:t>
      </w:r>
      <w:r>
        <w:rPr>
          <w:rFonts w:ascii="Arial" w:eastAsia="Arial" w:hAnsi="Arial" w:cs="Arial"/>
          <w:sz w:val="24"/>
          <w:szCs w:val="24"/>
        </w:rPr>
        <w:t xml:space="preserve">lo pueden iniciar a instancia de parte agraviada. El 21 siguiente, se tuvo por desahogado tal requisito. </w:t>
      </w:r>
    </w:p>
    <w:p w14:paraId="6CCE7975" w14:textId="35D7BD17" w:rsidR="00256634" w:rsidRDefault="000F0709">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4. Admisión y medidas cautelares.</w:t>
      </w:r>
      <w:r>
        <w:rPr>
          <w:rFonts w:ascii="Arial" w:eastAsia="Arial" w:hAnsi="Arial" w:cs="Arial"/>
          <w:sz w:val="24"/>
          <w:szCs w:val="24"/>
        </w:rPr>
        <w:t xml:space="preserve"> </w:t>
      </w:r>
      <w:r w:rsidR="002667C7">
        <w:rPr>
          <w:rFonts w:ascii="Arial" w:eastAsia="Arial" w:hAnsi="Arial" w:cs="Arial"/>
          <w:sz w:val="24"/>
          <w:szCs w:val="24"/>
        </w:rPr>
        <w:t>E</w:t>
      </w:r>
      <w:r>
        <w:rPr>
          <w:rFonts w:ascii="Arial" w:eastAsia="Arial" w:hAnsi="Arial" w:cs="Arial"/>
          <w:sz w:val="24"/>
          <w:szCs w:val="24"/>
        </w:rPr>
        <w:t xml:space="preserve">l 25 de abril,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admitió a trámite la denuncia. Posteriormente, el 27 </w:t>
      </w:r>
      <w:r w:rsidR="002667C7">
        <w:rPr>
          <w:rFonts w:ascii="Arial" w:eastAsia="Arial" w:hAnsi="Arial" w:cs="Arial"/>
          <w:sz w:val="24"/>
          <w:szCs w:val="24"/>
        </w:rPr>
        <w:t>siguiente</w:t>
      </w:r>
      <w:r>
        <w:rPr>
          <w:rFonts w:ascii="Arial" w:eastAsia="Arial" w:hAnsi="Arial" w:cs="Arial"/>
          <w:sz w:val="24"/>
          <w:szCs w:val="24"/>
        </w:rPr>
        <w:t xml:space="preserve">, la Comisión de Quejas y Denuncias </w:t>
      </w:r>
      <w:r>
        <w:rPr>
          <w:rFonts w:ascii="Arial" w:eastAsia="Arial" w:hAnsi="Arial" w:cs="Arial"/>
          <w:b/>
          <w:sz w:val="24"/>
          <w:szCs w:val="24"/>
        </w:rPr>
        <w:t>determinó la adopción</w:t>
      </w:r>
      <w:r>
        <w:rPr>
          <w:rFonts w:ascii="Arial" w:eastAsia="Arial" w:hAnsi="Arial" w:cs="Arial"/>
          <w:sz w:val="24"/>
          <w:szCs w:val="24"/>
        </w:rPr>
        <w:t xml:space="preserve"> de las medidas cautelares propuestas por la parte denunciante.  </w:t>
      </w:r>
    </w:p>
    <w:p w14:paraId="48166C79" w14:textId="7C5CF664" w:rsidR="00256634" w:rsidRDefault="000F0709">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5. Audiencia de alegatos, cumplimiento de medidas cautelares y remisión del expediente.</w:t>
      </w:r>
      <w:r>
        <w:rPr>
          <w:rFonts w:ascii="Arial" w:eastAsia="Arial" w:hAnsi="Arial" w:cs="Arial"/>
          <w:sz w:val="24"/>
          <w:szCs w:val="24"/>
        </w:rPr>
        <w:t xml:space="preserve"> El 28 de abril, la Secretaría Ejecutiva celebró la audiencia de pruebas y alegatos y, además, recibió los escritos de cumplimiento de las medidas cautelares ordenadas a las partes denunciadas. Al día siguiente,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rindió el informe circunstanciado y remitió el expediente a este Tribunal. </w:t>
      </w:r>
    </w:p>
    <w:p w14:paraId="15655E5B" w14:textId="77777777" w:rsidR="00274769" w:rsidRDefault="00274769">
      <w:pPr>
        <w:tabs>
          <w:tab w:val="left" w:pos="284"/>
        </w:tabs>
        <w:spacing w:before="240" w:after="240" w:line="360" w:lineRule="auto"/>
        <w:ind w:right="40"/>
        <w:jc w:val="both"/>
        <w:rPr>
          <w:rFonts w:ascii="Arial" w:eastAsia="Arial" w:hAnsi="Arial" w:cs="Arial"/>
          <w:sz w:val="24"/>
          <w:szCs w:val="24"/>
        </w:rPr>
      </w:pPr>
    </w:p>
    <w:p w14:paraId="1F4C383F" w14:textId="77777777" w:rsidR="00256634" w:rsidRDefault="000F0709">
      <w:pPr>
        <w:tabs>
          <w:tab w:val="left" w:pos="284"/>
        </w:tabs>
        <w:spacing w:before="240" w:after="240" w:line="360" w:lineRule="auto"/>
        <w:ind w:right="40"/>
        <w:jc w:val="both"/>
        <w:rPr>
          <w:rFonts w:ascii="Arial" w:eastAsia="Arial" w:hAnsi="Arial" w:cs="Arial"/>
          <w:b/>
          <w:sz w:val="24"/>
          <w:szCs w:val="24"/>
        </w:rPr>
      </w:pPr>
      <w:r>
        <w:rPr>
          <w:rFonts w:ascii="Arial" w:eastAsia="Arial" w:hAnsi="Arial" w:cs="Arial"/>
          <w:b/>
          <w:sz w:val="24"/>
          <w:szCs w:val="24"/>
        </w:rPr>
        <w:t xml:space="preserve">6. Turno, radicación y formulación del proyecto de resolución TEEA-PES-020/2022. </w:t>
      </w:r>
      <w:r>
        <w:rPr>
          <w:rFonts w:ascii="Arial" w:eastAsia="Arial" w:hAnsi="Arial" w:cs="Arial"/>
          <w:sz w:val="24"/>
          <w:szCs w:val="24"/>
        </w:rPr>
        <w:t xml:space="preserve">El mismo 29, la Magistrada </w:t>
      </w:r>
      <w:proofErr w:type="gramStart"/>
      <w:r>
        <w:rPr>
          <w:rFonts w:ascii="Arial" w:eastAsia="Arial" w:hAnsi="Arial" w:cs="Arial"/>
          <w:sz w:val="24"/>
          <w:szCs w:val="24"/>
        </w:rPr>
        <w:t>Presidenta</w:t>
      </w:r>
      <w:proofErr w:type="gramEnd"/>
      <w:r>
        <w:rPr>
          <w:rFonts w:ascii="Arial" w:eastAsia="Arial" w:hAnsi="Arial" w:cs="Arial"/>
          <w:sz w:val="24"/>
          <w:szCs w:val="24"/>
        </w:rPr>
        <w:t xml:space="preserve"> ordenó el registro del asunto con el número de expediente TEEA-PES-020/2022 y lo turnó a la Ponencia de la Magistrada Laura Hortensia Llamas Hernández, quien en su oportunidad lo radicó, y al no existir algún trámite pendiente, ordenó la formulación del proyecto.</w:t>
      </w:r>
      <w:r>
        <w:rPr>
          <w:rFonts w:ascii="Arial" w:eastAsia="Arial" w:hAnsi="Arial" w:cs="Arial"/>
          <w:sz w:val="24"/>
          <w:szCs w:val="24"/>
          <w:vertAlign w:val="superscript"/>
        </w:rPr>
        <w:footnoteReference w:id="4"/>
      </w:r>
    </w:p>
    <w:p w14:paraId="4A169E01" w14:textId="0EACE046" w:rsidR="00256634" w:rsidRDefault="000F0709">
      <w:pPr>
        <w:pBdr>
          <w:top w:val="nil"/>
          <w:left w:val="nil"/>
          <w:bottom w:val="nil"/>
          <w:right w:val="nil"/>
          <w:between w:val="nil"/>
        </w:pBdr>
        <w:tabs>
          <w:tab w:val="left" w:pos="284"/>
        </w:tabs>
        <w:spacing w:line="360" w:lineRule="auto"/>
        <w:ind w:right="36"/>
        <w:jc w:val="both"/>
        <w:rPr>
          <w:color w:val="000000"/>
        </w:rPr>
      </w:pPr>
      <w:r>
        <w:rPr>
          <w:rFonts w:ascii="Arial" w:eastAsia="Arial" w:hAnsi="Arial" w:cs="Arial"/>
          <w:b/>
          <w:color w:val="000000"/>
          <w:sz w:val="24"/>
          <w:szCs w:val="24"/>
        </w:rPr>
        <w:t xml:space="preserve">II. Competencia. </w:t>
      </w:r>
      <w:r>
        <w:rPr>
          <w:rFonts w:ascii="Arial" w:eastAsia="Arial" w:hAnsi="Arial" w:cs="Arial"/>
          <w:color w:val="000000"/>
          <w:sz w:val="24"/>
          <w:szCs w:val="24"/>
        </w:rPr>
        <w:t xml:space="preserve">Este Tribunal es competente para resolver el presente procedimiento especial sancionador, porque se relaciona con la posible vulneración al artículo 244, fracción IV, del Código Electoral, derivado de un promocional difundido a través de las redes sociales Facebook e Instagram, así como en la plataforma digital </w:t>
      </w:r>
      <w:proofErr w:type="spellStart"/>
      <w:r>
        <w:rPr>
          <w:rFonts w:ascii="Arial" w:eastAsia="Arial" w:hAnsi="Arial" w:cs="Arial"/>
          <w:color w:val="000000"/>
          <w:sz w:val="24"/>
          <w:szCs w:val="24"/>
        </w:rPr>
        <w:t>Youtube</w:t>
      </w:r>
      <w:proofErr w:type="spellEnd"/>
      <w:r>
        <w:rPr>
          <w:rFonts w:ascii="Arial" w:eastAsia="Arial" w:hAnsi="Arial" w:cs="Arial"/>
          <w:color w:val="000000"/>
          <w:sz w:val="24"/>
          <w:szCs w:val="24"/>
        </w:rPr>
        <w:t>, el cual contiene expresiones que presuntamente constituyen la infracción de calumnia, atribuid</w:t>
      </w:r>
      <w:r w:rsidR="005D3192">
        <w:rPr>
          <w:rFonts w:ascii="Arial" w:eastAsia="Arial" w:hAnsi="Arial" w:cs="Arial"/>
          <w:color w:val="000000"/>
          <w:sz w:val="24"/>
          <w:szCs w:val="24"/>
        </w:rPr>
        <w:t>o</w:t>
      </w:r>
      <w:r>
        <w:rPr>
          <w:rFonts w:ascii="Arial" w:eastAsia="Arial" w:hAnsi="Arial" w:cs="Arial"/>
          <w:color w:val="000000"/>
          <w:sz w:val="24"/>
          <w:szCs w:val="24"/>
        </w:rPr>
        <w:t xml:space="preserve"> a </w:t>
      </w:r>
      <w:r>
        <w:rPr>
          <w:rFonts w:ascii="Arial" w:eastAsia="Arial" w:hAnsi="Arial" w:cs="Arial"/>
          <w:sz w:val="24"/>
          <w:szCs w:val="24"/>
        </w:rPr>
        <w:t xml:space="preserve">la ciudadana </w:t>
      </w:r>
      <w:r>
        <w:rPr>
          <w:rFonts w:ascii="Arial" w:eastAsia="Arial" w:hAnsi="Arial" w:cs="Arial"/>
          <w:color w:val="000000"/>
          <w:sz w:val="24"/>
          <w:szCs w:val="24"/>
        </w:rPr>
        <w:t xml:space="preserve">Nora Ruvalcaba Gámez en su </w:t>
      </w:r>
      <w:r>
        <w:rPr>
          <w:rFonts w:ascii="Arial" w:eastAsia="Arial" w:hAnsi="Arial" w:cs="Arial"/>
          <w:sz w:val="24"/>
          <w:szCs w:val="24"/>
        </w:rPr>
        <w:t>carácter</w:t>
      </w:r>
      <w:r>
        <w:rPr>
          <w:rFonts w:ascii="Arial" w:eastAsia="Arial" w:hAnsi="Arial" w:cs="Arial"/>
          <w:color w:val="000000"/>
          <w:sz w:val="24"/>
          <w:szCs w:val="24"/>
        </w:rPr>
        <w:t xml:space="preserve"> de </w:t>
      </w:r>
      <w:r>
        <w:rPr>
          <w:rFonts w:ascii="Arial" w:eastAsia="Arial" w:hAnsi="Arial" w:cs="Arial"/>
          <w:sz w:val="24"/>
          <w:szCs w:val="24"/>
        </w:rPr>
        <w:t xml:space="preserve">candidata de </w:t>
      </w:r>
      <w:r w:rsidR="002667C7">
        <w:rPr>
          <w:rFonts w:ascii="Arial" w:eastAsia="Arial" w:hAnsi="Arial" w:cs="Arial"/>
          <w:sz w:val="24"/>
          <w:szCs w:val="24"/>
        </w:rPr>
        <w:t>Morena</w:t>
      </w:r>
      <w:r>
        <w:rPr>
          <w:rFonts w:ascii="Arial" w:eastAsia="Arial" w:hAnsi="Arial" w:cs="Arial"/>
          <w:sz w:val="24"/>
          <w:szCs w:val="24"/>
        </w:rPr>
        <w:t xml:space="preserve"> a la gubernatura de esta entidad, con independencia del medio por el cual se difundieron los mensajes cuestionados</w:t>
      </w:r>
      <w:r>
        <w:rPr>
          <w:rFonts w:ascii="Arial" w:eastAsia="Arial" w:hAnsi="Arial" w:cs="Arial"/>
          <w:sz w:val="24"/>
          <w:szCs w:val="24"/>
          <w:vertAlign w:val="superscript"/>
        </w:rPr>
        <w:footnoteReference w:id="5"/>
      </w:r>
      <w:r w:rsidR="005D3192">
        <w:rPr>
          <w:rFonts w:ascii="Arial" w:eastAsia="Arial" w:hAnsi="Arial" w:cs="Arial"/>
          <w:sz w:val="24"/>
          <w:szCs w:val="24"/>
        </w:rPr>
        <w:t>.</w:t>
      </w:r>
      <w:r>
        <w:rPr>
          <w:rFonts w:ascii="Arial" w:eastAsia="Arial" w:hAnsi="Arial" w:cs="Arial"/>
          <w:color w:val="000000"/>
          <w:sz w:val="24"/>
          <w:szCs w:val="24"/>
        </w:rPr>
        <w:t xml:space="preserve"> Lo anterior, de conformidad con los artículos 252, fracción II, 268, 274 y 275 del Código Electoral.</w:t>
      </w:r>
    </w:p>
    <w:p w14:paraId="60B87363" w14:textId="77777777" w:rsidR="00256634" w:rsidRDefault="00256634">
      <w:pPr>
        <w:pBdr>
          <w:top w:val="nil"/>
          <w:left w:val="nil"/>
          <w:bottom w:val="nil"/>
          <w:right w:val="nil"/>
          <w:between w:val="nil"/>
        </w:pBdr>
        <w:rPr>
          <w:color w:val="000000"/>
        </w:rPr>
      </w:pPr>
    </w:p>
    <w:p w14:paraId="1F2F93CE" w14:textId="77777777" w:rsidR="00256634" w:rsidRDefault="000F0709">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III. Personería. </w:t>
      </w:r>
      <w:r>
        <w:rPr>
          <w:rFonts w:ascii="Arial" w:eastAsia="Arial" w:hAnsi="Arial" w:cs="Arial"/>
          <w:color w:val="000000"/>
          <w:sz w:val="24"/>
          <w:szCs w:val="24"/>
        </w:rPr>
        <w:t>La autoridad instructora tuvo por acreditada la personería del denunciante y l</w:t>
      </w:r>
      <w:r>
        <w:rPr>
          <w:rFonts w:ascii="Arial" w:eastAsia="Arial" w:hAnsi="Arial" w:cs="Arial"/>
          <w:sz w:val="24"/>
          <w:szCs w:val="24"/>
        </w:rPr>
        <w:t>as</w:t>
      </w:r>
      <w:r>
        <w:rPr>
          <w:rFonts w:ascii="Arial" w:eastAsia="Arial" w:hAnsi="Arial" w:cs="Arial"/>
          <w:color w:val="000000"/>
          <w:sz w:val="24"/>
          <w:szCs w:val="24"/>
        </w:rPr>
        <w:t xml:space="preserve"> </w:t>
      </w:r>
      <w:r>
        <w:rPr>
          <w:rFonts w:ascii="Arial" w:eastAsia="Arial" w:hAnsi="Arial" w:cs="Arial"/>
          <w:sz w:val="24"/>
          <w:szCs w:val="24"/>
        </w:rPr>
        <w:t>partes</w:t>
      </w:r>
      <w:r>
        <w:rPr>
          <w:rFonts w:ascii="Arial" w:eastAsia="Arial" w:hAnsi="Arial" w:cs="Arial"/>
          <w:color w:val="000000"/>
          <w:sz w:val="24"/>
          <w:szCs w:val="24"/>
        </w:rPr>
        <w:t xml:space="preserve"> denunciad</w:t>
      </w:r>
      <w:r>
        <w:rPr>
          <w:rFonts w:ascii="Arial" w:eastAsia="Arial" w:hAnsi="Arial" w:cs="Arial"/>
          <w:sz w:val="24"/>
          <w:szCs w:val="24"/>
        </w:rPr>
        <w:t>as, respectivamente</w:t>
      </w:r>
      <w:r>
        <w:rPr>
          <w:rFonts w:ascii="Arial" w:eastAsia="Arial" w:hAnsi="Arial" w:cs="Arial"/>
          <w:color w:val="000000"/>
          <w:sz w:val="24"/>
          <w:szCs w:val="24"/>
        </w:rPr>
        <w:t>.</w:t>
      </w:r>
    </w:p>
    <w:p w14:paraId="7F45FC75" w14:textId="77777777" w:rsidR="00256634" w:rsidRDefault="00256634">
      <w:pPr>
        <w:pBdr>
          <w:top w:val="nil"/>
          <w:left w:val="nil"/>
          <w:bottom w:val="nil"/>
          <w:right w:val="nil"/>
          <w:between w:val="nil"/>
        </w:pBdr>
        <w:rPr>
          <w:color w:val="000000"/>
        </w:rPr>
      </w:pPr>
    </w:p>
    <w:p w14:paraId="3AF2FE4E" w14:textId="59969C86" w:rsidR="00256634" w:rsidRDefault="000F0709">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color w:val="000000"/>
          <w:sz w:val="24"/>
          <w:szCs w:val="24"/>
        </w:rPr>
        <w:t xml:space="preserve">IV. Causales de improcedencia. </w:t>
      </w:r>
      <w:r>
        <w:rPr>
          <w:rFonts w:ascii="Arial" w:eastAsia="Arial" w:hAnsi="Arial" w:cs="Arial"/>
          <w:color w:val="000000"/>
          <w:sz w:val="24"/>
          <w:szCs w:val="24"/>
        </w:rPr>
        <w:t xml:space="preserve">La ciudadana </w:t>
      </w:r>
      <w:r>
        <w:rPr>
          <w:rFonts w:ascii="Arial" w:eastAsia="Arial" w:hAnsi="Arial" w:cs="Arial"/>
          <w:sz w:val="24"/>
          <w:szCs w:val="24"/>
        </w:rPr>
        <w:t xml:space="preserve">Nora Ruvalcaba Gámez y el </w:t>
      </w:r>
      <w:r w:rsidR="009149A7">
        <w:rPr>
          <w:rFonts w:ascii="Arial" w:eastAsia="Arial" w:hAnsi="Arial" w:cs="Arial"/>
          <w:sz w:val="24"/>
          <w:szCs w:val="24"/>
        </w:rPr>
        <w:t>partido Morena</w:t>
      </w:r>
      <w:r>
        <w:rPr>
          <w:rFonts w:ascii="Arial" w:eastAsia="Arial" w:hAnsi="Arial" w:cs="Arial"/>
          <w:sz w:val="24"/>
          <w:szCs w:val="24"/>
        </w:rPr>
        <w:t xml:space="preserve">, en sus escritos de contestación, refieren que la denuncia presentada en su contra es </w:t>
      </w:r>
      <w:r>
        <w:rPr>
          <w:rFonts w:ascii="Arial" w:eastAsia="Arial" w:hAnsi="Arial" w:cs="Arial"/>
          <w:b/>
          <w:sz w:val="24"/>
          <w:szCs w:val="24"/>
        </w:rPr>
        <w:t>frívola y oscura</w:t>
      </w:r>
      <w:r>
        <w:rPr>
          <w:rFonts w:ascii="Arial" w:eastAsia="Arial" w:hAnsi="Arial" w:cs="Arial"/>
          <w:sz w:val="24"/>
          <w:szCs w:val="24"/>
        </w:rPr>
        <w:t>, ya que no se ofrecieron elementos de prueba que permitan acreditar los hechos denunciados.</w:t>
      </w:r>
    </w:p>
    <w:p w14:paraId="1712BC19" w14:textId="77777777" w:rsidR="00256634" w:rsidRDefault="00256634">
      <w:pPr>
        <w:pBdr>
          <w:top w:val="nil"/>
          <w:left w:val="nil"/>
          <w:bottom w:val="nil"/>
          <w:right w:val="nil"/>
          <w:between w:val="nil"/>
        </w:pBdr>
        <w:rPr>
          <w:color w:val="000000"/>
        </w:rPr>
      </w:pPr>
    </w:p>
    <w:p w14:paraId="44C6C2AE" w14:textId="77777777" w:rsidR="00256634" w:rsidRDefault="000F0709">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El artículo 270, fracción V, del Código Electoral</w:t>
      </w:r>
      <w:r>
        <w:rPr>
          <w:rFonts w:ascii="Arial" w:eastAsia="Arial" w:hAnsi="Arial" w:cs="Arial"/>
          <w:sz w:val="24"/>
          <w:szCs w:val="24"/>
          <w:vertAlign w:val="superscript"/>
        </w:rPr>
        <w:footnoteReference w:id="6"/>
      </w:r>
      <w:r>
        <w:rPr>
          <w:rFonts w:ascii="Arial" w:eastAsia="Arial" w:hAnsi="Arial" w:cs="Arial"/>
          <w:sz w:val="24"/>
          <w:szCs w:val="24"/>
        </w:rPr>
        <w:t xml:space="preserve"> establece que la denuncia se desechará de plano, cuando sea evidentemente frívola. Esta causal se actualiza cuando de la denuncia se advierta que las pretensiones de la parte quejosa no podrían lograrse jurídicamente, por no estar al alcance del derecho o bien, que no existan pruebas que sirvan para acreditar la infracción.</w:t>
      </w:r>
    </w:p>
    <w:p w14:paraId="7CAA7ED8" w14:textId="33D12E30" w:rsidR="00B46FE6" w:rsidRDefault="000F0709" w:rsidP="00B46FE6">
      <w:pPr>
        <w:tabs>
          <w:tab w:val="left" w:pos="426"/>
        </w:tabs>
        <w:spacing w:before="240" w:line="360" w:lineRule="auto"/>
        <w:ind w:right="40"/>
        <w:jc w:val="both"/>
        <w:rPr>
          <w:rFonts w:ascii="Arial" w:eastAsia="Arial" w:hAnsi="Arial" w:cs="Arial"/>
          <w:sz w:val="24"/>
          <w:szCs w:val="24"/>
        </w:rPr>
      </w:pPr>
      <w:r>
        <w:rPr>
          <w:rFonts w:ascii="Arial" w:eastAsia="Arial" w:hAnsi="Arial" w:cs="Arial"/>
          <w:sz w:val="24"/>
          <w:szCs w:val="24"/>
        </w:rPr>
        <w:t xml:space="preserve">Al respecto, este Tribunal considera que del escrito de la denuncia y de las constancias del expediente, se advierte que el denunciante señaló los hechos y las infracciones que, a su </w:t>
      </w:r>
      <w:r>
        <w:rPr>
          <w:rFonts w:ascii="Arial" w:eastAsia="Arial" w:hAnsi="Arial" w:cs="Arial"/>
          <w:sz w:val="24"/>
          <w:szCs w:val="24"/>
        </w:rPr>
        <w:lastRenderedPageBreak/>
        <w:t>criterio se acreditan</w:t>
      </w:r>
      <w:r w:rsidR="005D3192">
        <w:rPr>
          <w:rFonts w:ascii="Arial" w:eastAsia="Arial" w:hAnsi="Arial" w:cs="Arial"/>
          <w:sz w:val="24"/>
          <w:szCs w:val="24"/>
        </w:rPr>
        <w:t>, además de que ofreció la pruebas que estimó pertinente</w:t>
      </w:r>
      <w:r>
        <w:rPr>
          <w:rFonts w:ascii="Arial" w:eastAsia="Arial" w:hAnsi="Arial" w:cs="Arial"/>
          <w:sz w:val="24"/>
          <w:szCs w:val="24"/>
        </w:rPr>
        <w:t xml:space="preserve">, por tanto, no es posible actualizar tal causal de improcedencia, pues el quejoso ofreció las pruebas que consideró necesarias para la acreditación de los hechos </w:t>
      </w:r>
      <w:r w:rsidR="005D3192">
        <w:rPr>
          <w:rFonts w:ascii="Arial" w:eastAsia="Arial" w:hAnsi="Arial" w:cs="Arial"/>
          <w:sz w:val="24"/>
          <w:szCs w:val="24"/>
        </w:rPr>
        <w:t>cuestionados</w:t>
      </w:r>
      <w:r>
        <w:rPr>
          <w:rFonts w:ascii="Arial" w:eastAsia="Arial" w:hAnsi="Arial" w:cs="Arial"/>
          <w:sz w:val="24"/>
          <w:szCs w:val="24"/>
        </w:rPr>
        <w:t>. Por tanto, la posible actualización de la infracción, en todo caso, es materia de análisis en el estudio de fondo de la presente resolución.</w:t>
      </w:r>
    </w:p>
    <w:p w14:paraId="6C30E78B" w14:textId="77777777" w:rsidR="00256634" w:rsidRDefault="000F0709">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V. Estudio de fondo</w:t>
      </w:r>
    </w:p>
    <w:p w14:paraId="2B2FAFBE" w14:textId="77777777" w:rsidR="00256634" w:rsidRDefault="00256634">
      <w:pPr>
        <w:pBdr>
          <w:top w:val="nil"/>
          <w:left w:val="nil"/>
          <w:bottom w:val="nil"/>
          <w:right w:val="nil"/>
          <w:between w:val="nil"/>
        </w:pBdr>
        <w:rPr>
          <w:color w:val="000000"/>
          <w:sz w:val="16"/>
          <w:szCs w:val="16"/>
        </w:rPr>
      </w:pPr>
    </w:p>
    <w:p w14:paraId="5F75C365" w14:textId="77777777" w:rsidR="00256634" w:rsidRDefault="000F0709">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w:t>
      </w:r>
    </w:p>
    <w:p w14:paraId="43D5DC72" w14:textId="77777777" w:rsidR="00256634" w:rsidRDefault="00256634">
      <w:pPr>
        <w:pBdr>
          <w:top w:val="nil"/>
          <w:left w:val="nil"/>
          <w:bottom w:val="nil"/>
          <w:right w:val="nil"/>
          <w:between w:val="nil"/>
        </w:pBdr>
        <w:rPr>
          <w:color w:val="000000"/>
        </w:rPr>
      </w:pPr>
    </w:p>
    <w:p w14:paraId="331643A5" w14:textId="065AEE40" w:rsidR="00256634" w:rsidRPr="009149A7" w:rsidRDefault="000F0709" w:rsidP="009149A7">
      <w:pPr>
        <w:numPr>
          <w:ilvl w:val="1"/>
          <w:numId w:val="2"/>
        </w:numPr>
        <w:pBdr>
          <w:top w:val="nil"/>
          <w:left w:val="nil"/>
          <w:bottom w:val="nil"/>
          <w:right w:val="nil"/>
          <w:between w:val="nil"/>
        </w:pBdr>
        <w:tabs>
          <w:tab w:val="left" w:pos="426"/>
        </w:tabs>
        <w:spacing w:line="360" w:lineRule="auto"/>
        <w:ind w:left="0" w:right="36" w:firstLine="0"/>
        <w:jc w:val="both"/>
        <w:rPr>
          <w:rFonts w:ascii="Arial" w:eastAsia="Arial" w:hAnsi="Arial" w:cs="Arial"/>
          <w:color w:val="000000"/>
          <w:sz w:val="24"/>
          <w:szCs w:val="24"/>
        </w:rPr>
      </w:pPr>
      <w:bookmarkStart w:id="3" w:name="_heading=h.1fob9te" w:colFirst="0" w:colLast="0"/>
      <w:bookmarkEnd w:id="3"/>
      <w:r>
        <w:rPr>
          <w:rFonts w:ascii="Arial" w:eastAsia="Arial" w:hAnsi="Arial" w:cs="Arial"/>
          <w:b/>
          <w:color w:val="000000"/>
          <w:sz w:val="24"/>
          <w:szCs w:val="24"/>
        </w:rPr>
        <w:t xml:space="preserve">En contra de Nora Ruvalcaba Gámez. </w:t>
      </w:r>
      <w:r>
        <w:rPr>
          <w:rFonts w:ascii="Arial" w:eastAsia="Arial" w:hAnsi="Arial" w:cs="Arial"/>
          <w:color w:val="000000"/>
          <w:sz w:val="24"/>
          <w:szCs w:val="24"/>
        </w:rPr>
        <w:t xml:space="preserve">El PAN refiere que la denunciada </w:t>
      </w:r>
      <w:r>
        <w:rPr>
          <w:rFonts w:ascii="Arial" w:eastAsia="Arial" w:hAnsi="Arial" w:cs="Arial"/>
          <w:b/>
          <w:color w:val="000000"/>
          <w:sz w:val="24"/>
          <w:szCs w:val="24"/>
        </w:rPr>
        <w:t xml:space="preserve">realizó la difusión de propaganda calumniosa </w:t>
      </w:r>
      <w:r>
        <w:rPr>
          <w:rFonts w:ascii="Arial" w:eastAsia="Arial" w:hAnsi="Arial" w:cs="Arial"/>
          <w:color w:val="000000"/>
          <w:sz w:val="24"/>
          <w:szCs w:val="24"/>
        </w:rPr>
        <w:t xml:space="preserve">en perjuicio del propio instituto político y de la coalición “Va Por Aguascalientes”, en atención a </w:t>
      </w:r>
      <w:r w:rsidR="009149A7">
        <w:rPr>
          <w:rFonts w:ascii="Arial" w:eastAsia="Arial" w:hAnsi="Arial" w:cs="Arial"/>
          <w:color w:val="000000"/>
          <w:sz w:val="24"/>
          <w:szCs w:val="24"/>
        </w:rPr>
        <w:t>que,</w:t>
      </w:r>
      <w:r>
        <w:rPr>
          <w:rFonts w:ascii="Arial" w:eastAsia="Arial" w:hAnsi="Arial" w:cs="Arial"/>
          <w:color w:val="000000"/>
          <w:sz w:val="24"/>
          <w:szCs w:val="24"/>
        </w:rPr>
        <w:t xml:space="preserve"> del contenido de la misma, se genera una imputación del supuesto delito de “robo” </w:t>
      </w:r>
      <w:r>
        <w:rPr>
          <w:rFonts w:ascii="Arial" w:eastAsia="Arial" w:hAnsi="Arial" w:cs="Arial"/>
          <w:sz w:val="24"/>
          <w:szCs w:val="24"/>
        </w:rPr>
        <w:t xml:space="preserve">sin sustento alguno en datos objetivos o verificables, </w:t>
      </w:r>
      <w:r w:rsidR="008E064A">
        <w:rPr>
          <w:rFonts w:ascii="Arial" w:eastAsia="Arial" w:hAnsi="Arial" w:cs="Arial"/>
          <w:sz w:val="24"/>
          <w:szCs w:val="24"/>
        </w:rPr>
        <w:t xml:space="preserve">situación que </w:t>
      </w:r>
      <w:r>
        <w:rPr>
          <w:rFonts w:ascii="Arial" w:eastAsia="Arial" w:hAnsi="Arial" w:cs="Arial"/>
          <w:sz w:val="24"/>
          <w:szCs w:val="24"/>
        </w:rPr>
        <w:t>menoscaba</w:t>
      </w:r>
      <w:r>
        <w:rPr>
          <w:rFonts w:ascii="Arial" w:eastAsia="Arial" w:hAnsi="Arial" w:cs="Arial"/>
          <w:color w:val="000000"/>
          <w:sz w:val="24"/>
          <w:szCs w:val="24"/>
        </w:rPr>
        <w:t xml:space="preserve"> la imagen y proyección política de los quejosos</w:t>
      </w:r>
      <w:r>
        <w:rPr>
          <w:rFonts w:ascii="Arial" w:eastAsia="Arial" w:hAnsi="Arial" w:cs="Arial"/>
          <w:sz w:val="24"/>
          <w:szCs w:val="24"/>
        </w:rPr>
        <w:t>. El contenido del video cuestionado, es el siguiente</w:t>
      </w:r>
      <w:r>
        <w:rPr>
          <w:rFonts w:ascii="Arial" w:eastAsia="Arial" w:hAnsi="Arial" w:cs="Arial"/>
          <w:color w:val="000000"/>
          <w:sz w:val="24"/>
          <w:szCs w:val="24"/>
        </w:rPr>
        <w:t xml:space="preserve">: </w:t>
      </w:r>
    </w:p>
    <w:tbl>
      <w:tblPr>
        <w:tblStyle w:val="Tabladecuadrcula4-nfasis31"/>
        <w:tblW w:w="9634" w:type="dxa"/>
        <w:tblLayout w:type="fixed"/>
        <w:tblLook w:val="0400" w:firstRow="0" w:lastRow="0" w:firstColumn="0" w:lastColumn="0" w:noHBand="0" w:noVBand="1"/>
      </w:tblPr>
      <w:tblGrid>
        <w:gridCol w:w="5098"/>
        <w:gridCol w:w="4536"/>
      </w:tblGrid>
      <w:tr w:rsidR="00256634" w14:paraId="27A1C3EE" w14:textId="77777777" w:rsidTr="007728E6">
        <w:trPr>
          <w:cnfStyle w:val="000000100000" w:firstRow="0" w:lastRow="0" w:firstColumn="0" w:lastColumn="0" w:oddVBand="0" w:evenVBand="0" w:oddHBand="1" w:evenHBand="0" w:firstRowFirstColumn="0" w:firstRowLastColumn="0" w:lastRowFirstColumn="0" w:lastRowLastColumn="0"/>
        </w:trPr>
        <w:tc>
          <w:tcPr>
            <w:tcW w:w="5098" w:type="dxa"/>
          </w:tcPr>
          <w:p w14:paraId="782DE562" w14:textId="77777777" w:rsidR="00256634" w:rsidRDefault="000F0709">
            <w:pPr>
              <w:tabs>
                <w:tab w:val="left" w:pos="426"/>
              </w:tabs>
              <w:spacing w:line="360" w:lineRule="auto"/>
              <w:ind w:right="36"/>
              <w:jc w:val="center"/>
              <w:rPr>
                <w:rFonts w:ascii="Arial" w:eastAsia="Arial" w:hAnsi="Arial" w:cs="Arial"/>
                <w:b/>
                <w:color w:val="000000"/>
                <w:sz w:val="24"/>
                <w:szCs w:val="24"/>
              </w:rPr>
            </w:pPr>
            <w:r>
              <w:rPr>
                <w:rFonts w:ascii="Arial" w:eastAsia="Arial" w:hAnsi="Arial" w:cs="Arial"/>
                <w:b/>
                <w:color w:val="000000"/>
                <w:sz w:val="24"/>
                <w:szCs w:val="24"/>
              </w:rPr>
              <w:t xml:space="preserve">Imagen </w:t>
            </w:r>
          </w:p>
        </w:tc>
        <w:tc>
          <w:tcPr>
            <w:tcW w:w="4536" w:type="dxa"/>
          </w:tcPr>
          <w:p w14:paraId="13C5D5A5" w14:textId="77777777" w:rsidR="00256634" w:rsidRDefault="000F0709">
            <w:pPr>
              <w:tabs>
                <w:tab w:val="left" w:pos="426"/>
              </w:tabs>
              <w:spacing w:line="360" w:lineRule="auto"/>
              <w:ind w:right="36"/>
              <w:jc w:val="center"/>
              <w:rPr>
                <w:rFonts w:ascii="Arial" w:eastAsia="Arial" w:hAnsi="Arial" w:cs="Arial"/>
                <w:b/>
                <w:color w:val="000000"/>
                <w:sz w:val="24"/>
                <w:szCs w:val="24"/>
              </w:rPr>
            </w:pPr>
            <w:r>
              <w:rPr>
                <w:rFonts w:ascii="Arial" w:eastAsia="Arial" w:hAnsi="Arial" w:cs="Arial"/>
                <w:b/>
                <w:color w:val="000000"/>
                <w:sz w:val="24"/>
                <w:szCs w:val="24"/>
              </w:rPr>
              <w:t>Contenido</w:t>
            </w:r>
          </w:p>
        </w:tc>
      </w:tr>
      <w:tr w:rsidR="00256634" w14:paraId="418C0B29" w14:textId="77777777" w:rsidTr="007728E6">
        <w:trPr>
          <w:trHeight w:val="692"/>
        </w:trPr>
        <w:tc>
          <w:tcPr>
            <w:tcW w:w="5098" w:type="dxa"/>
          </w:tcPr>
          <w:p w14:paraId="03E642A7" w14:textId="77777777" w:rsidR="00256634" w:rsidRDefault="000F0709">
            <w:pPr>
              <w:tabs>
                <w:tab w:val="left" w:pos="426"/>
              </w:tabs>
              <w:spacing w:line="360" w:lineRule="auto"/>
              <w:ind w:right="36"/>
              <w:jc w:val="center"/>
              <w:rPr>
                <w:rFonts w:ascii="Arial" w:eastAsia="Arial" w:hAnsi="Arial" w:cs="Arial"/>
                <w:color w:val="000000"/>
                <w:sz w:val="24"/>
                <w:szCs w:val="24"/>
              </w:rPr>
            </w:pPr>
            <w:r>
              <w:rPr>
                <w:noProof/>
              </w:rPr>
              <w:drawing>
                <wp:inline distT="0" distB="0" distL="0" distR="0" wp14:anchorId="295893C7" wp14:editId="4A2322C0">
                  <wp:extent cx="2313305" cy="1065474"/>
                  <wp:effectExtent l="0" t="0" r="0" b="1905"/>
                  <wp:docPr id="6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l="407" t="13518" r="46775" b="33372"/>
                          <a:stretch>
                            <a:fillRect/>
                          </a:stretch>
                        </pic:blipFill>
                        <pic:spPr>
                          <a:xfrm>
                            <a:off x="0" y="0"/>
                            <a:ext cx="2332198" cy="1074176"/>
                          </a:xfrm>
                          <a:prstGeom prst="rect">
                            <a:avLst/>
                          </a:prstGeom>
                          <a:ln/>
                        </pic:spPr>
                      </pic:pic>
                    </a:graphicData>
                  </a:graphic>
                </wp:inline>
              </w:drawing>
            </w:r>
          </w:p>
        </w:tc>
        <w:tc>
          <w:tcPr>
            <w:tcW w:w="4536" w:type="dxa"/>
          </w:tcPr>
          <w:p w14:paraId="3397B532" w14:textId="3FA0E234" w:rsidR="00256634" w:rsidRDefault="000F0709" w:rsidP="007728E6">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i/>
                <w:color w:val="000000"/>
                <w:sz w:val="24"/>
                <w:szCs w:val="24"/>
              </w:rPr>
              <w:t>Voz de la denunciada:</w:t>
            </w:r>
          </w:p>
          <w:p w14:paraId="1A12BC69" w14:textId="77777777" w:rsidR="007728E6" w:rsidRDefault="007728E6" w:rsidP="007728E6">
            <w:pPr>
              <w:pStyle w:val="Sinespaciado"/>
              <w:ind w:left="179" w:right="174"/>
              <w:jc w:val="both"/>
            </w:pPr>
          </w:p>
          <w:p w14:paraId="5E0EFF4D" w14:textId="77777777" w:rsidR="00256634" w:rsidRDefault="000F0709" w:rsidP="007728E6">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 xml:space="preserve">Hay cosas que no se mezclan; </w:t>
            </w:r>
          </w:p>
          <w:p w14:paraId="00651966" w14:textId="77777777" w:rsidR="00256634" w:rsidRDefault="000F0709" w:rsidP="007728E6">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el agua y el aceite;</w:t>
            </w:r>
          </w:p>
        </w:tc>
      </w:tr>
      <w:tr w:rsidR="00256634" w14:paraId="48851931" w14:textId="77777777" w:rsidTr="007728E6">
        <w:trPr>
          <w:cnfStyle w:val="000000100000" w:firstRow="0" w:lastRow="0" w:firstColumn="0" w:lastColumn="0" w:oddVBand="0" w:evenVBand="0" w:oddHBand="1" w:evenHBand="0" w:firstRowFirstColumn="0" w:firstRowLastColumn="0" w:lastRowFirstColumn="0" w:lastRowLastColumn="0"/>
          <w:trHeight w:val="1957"/>
        </w:trPr>
        <w:tc>
          <w:tcPr>
            <w:tcW w:w="5098" w:type="dxa"/>
          </w:tcPr>
          <w:p w14:paraId="34950B13" w14:textId="77777777" w:rsidR="00256634" w:rsidRDefault="000F0709">
            <w:pPr>
              <w:tabs>
                <w:tab w:val="left" w:pos="426"/>
              </w:tabs>
              <w:spacing w:line="360" w:lineRule="auto"/>
              <w:ind w:right="36"/>
              <w:jc w:val="center"/>
              <w:rPr>
                <w:rFonts w:ascii="Arial" w:eastAsia="Arial" w:hAnsi="Arial" w:cs="Arial"/>
                <w:color w:val="000000"/>
                <w:sz w:val="24"/>
                <w:szCs w:val="24"/>
              </w:rPr>
            </w:pPr>
            <w:r>
              <w:rPr>
                <w:noProof/>
              </w:rPr>
              <w:drawing>
                <wp:inline distT="0" distB="0" distL="0" distR="0" wp14:anchorId="51FCCCC5" wp14:editId="5CAF6616">
                  <wp:extent cx="2353310" cy="1160780"/>
                  <wp:effectExtent l="0" t="0" r="8890" b="1270"/>
                  <wp:docPr id="6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l="408" t="14243" r="46910" b="33614"/>
                          <a:stretch>
                            <a:fillRect/>
                          </a:stretch>
                        </pic:blipFill>
                        <pic:spPr>
                          <a:xfrm>
                            <a:off x="0" y="0"/>
                            <a:ext cx="2382064" cy="1174963"/>
                          </a:xfrm>
                          <a:prstGeom prst="rect">
                            <a:avLst/>
                          </a:prstGeom>
                          <a:ln/>
                        </pic:spPr>
                      </pic:pic>
                    </a:graphicData>
                  </a:graphic>
                </wp:inline>
              </w:drawing>
            </w:r>
          </w:p>
        </w:tc>
        <w:tc>
          <w:tcPr>
            <w:tcW w:w="4536" w:type="dxa"/>
          </w:tcPr>
          <w:p w14:paraId="54D69E56" w14:textId="77777777" w:rsidR="00256634" w:rsidRDefault="000F0709" w:rsidP="007728E6">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La navidad y la política;</w:t>
            </w:r>
          </w:p>
        </w:tc>
      </w:tr>
      <w:tr w:rsidR="00256634" w14:paraId="7724F83E" w14:textId="77777777" w:rsidTr="007728E6">
        <w:trPr>
          <w:trHeight w:val="2114"/>
        </w:trPr>
        <w:tc>
          <w:tcPr>
            <w:tcW w:w="5098" w:type="dxa"/>
          </w:tcPr>
          <w:p w14:paraId="35243F5F" w14:textId="6672CB81" w:rsidR="00256634" w:rsidRDefault="000F0709" w:rsidP="009149A7">
            <w:pPr>
              <w:tabs>
                <w:tab w:val="right" w:pos="4846"/>
              </w:tabs>
              <w:spacing w:line="360" w:lineRule="auto"/>
              <w:ind w:right="36"/>
              <w:rPr>
                <w:rFonts w:ascii="Arial" w:eastAsia="Arial" w:hAnsi="Arial" w:cs="Arial"/>
                <w:color w:val="000000"/>
                <w:sz w:val="24"/>
                <w:szCs w:val="24"/>
              </w:rPr>
            </w:pPr>
            <w:r>
              <w:rPr>
                <w:noProof/>
              </w:rPr>
              <w:drawing>
                <wp:anchor distT="0" distB="0" distL="114300" distR="114300" simplePos="0" relativeHeight="251658240" behindDoc="1" locked="0" layoutInCell="1" allowOverlap="1" wp14:anchorId="7D3F6D95" wp14:editId="07A8A662">
                  <wp:simplePos x="0" y="0"/>
                  <wp:positionH relativeFrom="column">
                    <wp:posOffset>355600</wp:posOffset>
                  </wp:positionH>
                  <wp:positionV relativeFrom="paragraph">
                    <wp:posOffset>31750</wp:posOffset>
                  </wp:positionV>
                  <wp:extent cx="2353310" cy="1231900"/>
                  <wp:effectExtent l="0" t="0" r="8890" b="6350"/>
                  <wp:wrapTight wrapText="bothSides">
                    <wp:wrapPolygon edited="0">
                      <wp:start x="0" y="0"/>
                      <wp:lineTo x="0" y="21377"/>
                      <wp:lineTo x="21507" y="21377"/>
                      <wp:lineTo x="21507" y="0"/>
                      <wp:lineTo x="0" y="0"/>
                    </wp:wrapPolygon>
                  </wp:wrapTight>
                  <wp:docPr id="6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rcRect l="407" t="14243" r="46775" b="34098"/>
                          <a:stretch>
                            <a:fillRect/>
                          </a:stretch>
                        </pic:blipFill>
                        <pic:spPr>
                          <a:xfrm>
                            <a:off x="0" y="0"/>
                            <a:ext cx="2353310" cy="1231900"/>
                          </a:xfrm>
                          <a:prstGeom prst="rect">
                            <a:avLst/>
                          </a:prstGeom>
                          <a:ln/>
                        </pic:spPr>
                      </pic:pic>
                    </a:graphicData>
                  </a:graphic>
                  <wp14:sizeRelH relativeFrom="margin">
                    <wp14:pctWidth>0</wp14:pctWidth>
                  </wp14:sizeRelH>
                  <wp14:sizeRelV relativeFrom="margin">
                    <wp14:pctHeight>0</wp14:pctHeight>
                  </wp14:sizeRelV>
                </wp:anchor>
              </w:drawing>
            </w:r>
          </w:p>
        </w:tc>
        <w:tc>
          <w:tcPr>
            <w:tcW w:w="4536" w:type="dxa"/>
          </w:tcPr>
          <w:p w14:paraId="4A9FFFCB" w14:textId="77777777" w:rsidR="00256634" w:rsidRDefault="000F0709" w:rsidP="007728E6">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La fiesta y los celulares.</w:t>
            </w:r>
          </w:p>
        </w:tc>
      </w:tr>
      <w:tr w:rsidR="00256634" w14:paraId="2BEA366B" w14:textId="77777777" w:rsidTr="007728E6">
        <w:trPr>
          <w:cnfStyle w:val="000000100000" w:firstRow="0" w:lastRow="0" w:firstColumn="0" w:lastColumn="0" w:oddVBand="0" w:evenVBand="0" w:oddHBand="1" w:evenHBand="0" w:firstRowFirstColumn="0" w:firstRowLastColumn="0" w:lastRowFirstColumn="0" w:lastRowLastColumn="0"/>
          <w:trHeight w:val="2398"/>
        </w:trPr>
        <w:tc>
          <w:tcPr>
            <w:tcW w:w="5098" w:type="dxa"/>
          </w:tcPr>
          <w:p w14:paraId="60545922" w14:textId="77777777" w:rsidR="00256634" w:rsidRDefault="000F0709" w:rsidP="009149A7">
            <w:pPr>
              <w:tabs>
                <w:tab w:val="left" w:pos="426"/>
              </w:tabs>
              <w:spacing w:line="360" w:lineRule="auto"/>
              <w:ind w:right="36"/>
              <w:rPr>
                <w:rFonts w:ascii="Arial" w:eastAsia="Arial" w:hAnsi="Arial" w:cs="Arial"/>
                <w:color w:val="000000"/>
                <w:sz w:val="24"/>
                <w:szCs w:val="24"/>
              </w:rPr>
            </w:pPr>
            <w:r>
              <w:rPr>
                <w:noProof/>
              </w:rPr>
              <w:drawing>
                <wp:anchor distT="0" distB="0" distL="114300" distR="114300" simplePos="0" relativeHeight="251659264" behindDoc="1" locked="0" layoutInCell="1" allowOverlap="1" wp14:anchorId="32EBE4C8" wp14:editId="465B3B97">
                  <wp:simplePos x="0" y="0"/>
                  <wp:positionH relativeFrom="column">
                    <wp:posOffset>355600</wp:posOffset>
                  </wp:positionH>
                  <wp:positionV relativeFrom="paragraph">
                    <wp:posOffset>79513</wp:posOffset>
                  </wp:positionV>
                  <wp:extent cx="2336800" cy="1240155"/>
                  <wp:effectExtent l="0" t="0" r="6350" b="0"/>
                  <wp:wrapTight wrapText="bothSides">
                    <wp:wrapPolygon edited="0">
                      <wp:start x="0" y="0"/>
                      <wp:lineTo x="0" y="21235"/>
                      <wp:lineTo x="21483" y="21235"/>
                      <wp:lineTo x="21483" y="0"/>
                      <wp:lineTo x="0" y="0"/>
                    </wp:wrapPolygon>
                  </wp:wrapTight>
                  <wp:docPr id="6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cstate="print">
                            <a:extLst>
                              <a:ext uri="{28A0092B-C50C-407E-A947-70E740481C1C}">
                                <a14:useLocalDpi xmlns:a14="http://schemas.microsoft.com/office/drawing/2010/main" val="0"/>
                              </a:ext>
                            </a:extLst>
                          </a:blip>
                          <a:srcRect l="271" t="13760" r="46775" b="33373"/>
                          <a:stretch>
                            <a:fillRect/>
                          </a:stretch>
                        </pic:blipFill>
                        <pic:spPr>
                          <a:xfrm>
                            <a:off x="0" y="0"/>
                            <a:ext cx="2336800" cy="1240155"/>
                          </a:xfrm>
                          <a:prstGeom prst="rect">
                            <a:avLst/>
                          </a:prstGeom>
                          <a:ln/>
                        </pic:spPr>
                      </pic:pic>
                    </a:graphicData>
                  </a:graphic>
                  <wp14:sizeRelH relativeFrom="margin">
                    <wp14:pctWidth>0</wp14:pctWidth>
                  </wp14:sizeRelH>
                  <wp14:sizeRelV relativeFrom="margin">
                    <wp14:pctHeight>0</wp14:pctHeight>
                  </wp14:sizeRelV>
                </wp:anchor>
              </w:drawing>
            </w:r>
          </w:p>
        </w:tc>
        <w:tc>
          <w:tcPr>
            <w:tcW w:w="4536" w:type="dxa"/>
          </w:tcPr>
          <w:p w14:paraId="1EEC5BE0" w14:textId="2E40E065" w:rsidR="00256634" w:rsidRDefault="000F0709" w:rsidP="007728E6">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Hay cosas que cuando se mezclan, son peligrosas.</w:t>
            </w:r>
          </w:p>
          <w:p w14:paraId="09ED5DF5" w14:textId="77777777" w:rsidR="009149A7" w:rsidRPr="009149A7" w:rsidRDefault="009149A7" w:rsidP="007728E6">
            <w:pPr>
              <w:pStyle w:val="Sinespaciado"/>
              <w:ind w:left="179" w:right="174"/>
              <w:jc w:val="both"/>
              <w:rPr>
                <w:sz w:val="14"/>
                <w:szCs w:val="14"/>
              </w:rPr>
            </w:pPr>
          </w:p>
          <w:p w14:paraId="0460C92C" w14:textId="19E02FD0" w:rsidR="00256634" w:rsidRDefault="000F0709" w:rsidP="007728E6">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 xml:space="preserve">Como </w:t>
            </w:r>
            <w:r>
              <w:rPr>
                <w:rFonts w:ascii="Arial" w:eastAsia="Arial" w:hAnsi="Arial" w:cs="Arial"/>
                <w:b/>
                <w:color w:val="000000"/>
                <w:sz w:val="24"/>
                <w:szCs w:val="24"/>
              </w:rPr>
              <w:t>el PRI y el PAN.</w:t>
            </w:r>
            <w:r w:rsidR="007728E6">
              <w:rPr>
                <w:rFonts w:ascii="Arial" w:eastAsia="Arial" w:hAnsi="Arial" w:cs="Arial"/>
                <w:b/>
                <w:color w:val="000000"/>
                <w:sz w:val="24"/>
                <w:szCs w:val="24"/>
              </w:rPr>
              <w:t xml:space="preserve"> </w:t>
            </w:r>
            <w:r>
              <w:rPr>
                <w:rFonts w:ascii="Arial" w:eastAsia="Arial" w:hAnsi="Arial" w:cs="Arial"/>
                <w:b/>
                <w:color w:val="000000"/>
                <w:sz w:val="24"/>
                <w:szCs w:val="24"/>
              </w:rPr>
              <w:t>Separados roban sin control</w:t>
            </w:r>
            <w:r>
              <w:rPr>
                <w:rFonts w:ascii="Arial" w:eastAsia="Arial" w:hAnsi="Arial" w:cs="Arial"/>
                <w:color w:val="000000"/>
                <w:sz w:val="24"/>
                <w:szCs w:val="24"/>
              </w:rPr>
              <w:t>, juntos serán peores.</w:t>
            </w:r>
          </w:p>
          <w:p w14:paraId="3F347794" w14:textId="77777777" w:rsidR="009149A7" w:rsidRPr="009149A7" w:rsidRDefault="009149A7" w:rsidP="007728E6">
            <w:pPr>
              <w:pStyle w:val="Sinespaciado"/>
              <w:ind w:left="179" w:right="174"/>
              <w:jc w:val="both"/>
              <w:rPr>
                <w:sz w:val="14"/>
                <w:szCs w:val="14"/>
              </w:rPr>
            </w:pPr>
          </w:p>
          <w:p w14:paraId="10125F99" w14:textId="77777777" w:rsidR="00256634" w:rsidRDefault="000F0709" w:rsidP="007728E6">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 xml:space="preserve">Lo único que les une, es la corrupción. </w:t>
            </w:r>
          </w:p>
        </w:tc>
      </w:tr>
      <w:tr w:rsidR="00256634" w14:paraId="12AA62F9" w14:textId="77777777" w:rsidTr="007728E6">
        <w:trPr>
          <w:trHeight w:val="692"/>
        </w:trPr>
        <w:tc>
          <w:tcPr>
            <w:tcW w:w="5098" w:type="dxa"/>
          </w:tcPr>
          <w:p w14:paraId="5336656F" w14:textId="77777777" w:rsidR="00256634" w:rsidRDefault="000F0709">
            <w:pPr>
              <w:tabs>
                <w:tab w:val="left" w:pos="426"/>
              </w:tabs>
              <w:spacing w:line="360" w:lineRule="auto"/>
              <w:ind w:right="36"/>
              <w:jc w:val="right"/>
              <w:rPr>
                <w:rFonts w:ascii="Arial" w:eastAsia="Arial" w:hAnsi="Arial" w:cs="Arial"/>
                <w:color w:val="000000"/>
                <w:sz w:val="24"/>
                <w:szCs w:val="24"/>
              </w:rPr>
            </w:pPr>
            <w:r>
              <w:rPr>
                <w:noProof/>
              </w:rPr>
              <w:lastRenderedPageBreak/>
              <w:drawing>
                <wp:anchor distT="0" distB="0" distL="114300" distR="114300" simplePos="0" relativeHeight="251660288" behindDoc="1" locked="0" layoutInCell="1" allowOverlap="1" wp14:anchorId="1247949D" wp14:editId="67567F42">
                  <wp:simplePos x="0" y="0"/>
                  <wp:positionH relativeFrom="column">
                    <wp:posOffset>356235</wp:posOffset>
                  </wp:positionH>
                  <wp:positionV relativeFrom="paragraph">
                    <wp:posOffset>3810</wp:posOffset>
                  </wp:positionV>
                  <wp:extent cx="2337435" cy="1569720"/>
                  <wp:effectExtent l="0" t="0" r="5715" b="0"/>
                  <wp:wrapSquare wrapText="bothSides"/>
                  <wp:docPr id="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cstate="print">
                            <a:extLst>
                              <a:ext uri="{28A0092B-C50C-407E-A947-70E740481C1C}">
                                <a14:useLocalDpi xmlns:a14="http://schemas.microsoft.com/office/drawing/2010/main" val="0"/>
                              </a:ext>
                            </a:extLst>
                          </a:blip>
                          <a:srcRect l="542" t="14243" r="47183" b="33373"/>
                          <a:stretch>
                            <a:fillRect/>
                          </a:stretch>
                        </pic:blipFill>
                        <pic:spPr>
                          <a:xfrm>
                            <a:off x="0" y="0"/>
                            <a:ext cx="2337435" cy="1569720"/>
                          </a:xfrm>
                          <a:prstGeom prst="rect">
                            <a:avLst/>
                          </a:prstGeom>
                          <a:ln/>
                        </pic:spPr>
                      </pic:pic>
                    </a:graphicData>
                  </a:graphic>
                  <wp14:sizeRelV relativeFrom="margin">
                    <wp14:pctHeight>0</wp14:pctHeight>
                  </wp14:sizeRelV>
                </wp:anchor>
              </w:drawing>
            </w:r>
          </w:p>
        </w:tc>
        <w:tc>
          <w:tcPr>
            <w:tcW w:w="4536" w:type="dxa"/>
          </w:tcPr>
          <w:p w14:paraId="68DE46DD" w14:textId="5ADC3E1C" w:rsidR="00256634" w:rsidRDefault="000F0709" w:rsidP="007728E6">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i/>
                <w:color w:val="000000"/>
                <w:sz w:val="24"/>
                <w:szCs w:val="24"/>
              </w:rPr>
              <w:t xml:space="preserve">Voz en off: </w:t>
            </w:r>
          </w:p>
          <w:p w14:paraId="4E478DBD" w14:textId="77777777" w:rsidR="009149A7" w:rsidRDefault="009149A7" w:rsidP="007728E6">
            <w:pPr>
              <w:pStyle w:val="Sinespaciado"/>
              <w:ind w:left="179" w:right="174"/>
              <w:jc w:val="both"/>
            </w:pPr>
          </w:p>
          <w:p w14:paraId="32516992" w14:textId="77777777" w:rsidR="00256634" w:rsidRDefault="000F0709" w:rsidP="007728E6">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 xml:space="preserve">Nora Ruvalcaba, candidata a gobernadora de Aguascalientes. </w:t>
            </w:r>
          </w:p>
          <w:p w14:paraId="784BE558" w14:textId="77777777" w:rsidR="00256634" w:rsidRDefault="000F0709" w:rsidP="007728E6">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 xml:space="preserve">Morena, la esperanza de México. </w:t>
            </w:r>
          </w:p>
        </w:tc>
      </w:tr>
    </w:tbl>
    <w:p w14:paraId="341D7038" w14:textId="384E8270" w:rsidR="00256634" w:rsidRDefault="000F0709">
      <w:pPr>
        <w:pBdr>
          <w:top w:val="nil"/>
          <w:left w:val="nil"/>
          <w:bottom w:val="nil"/>
          <w:right w:val="nil"/>
          <w:between w:val="nil"/>
        </w:pBdr>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1.2. En contra </w:t>
      </w:r>
      <w:r w:rsidR="007728E6">
        <w:rPr>
          <w:rFonts w:ascii="Arial" w:eastAsia="Arial" w:hAnsi="Arial" w:cs="Arial"/>
          <w:b/>
          <w:color w:val="000000"/>
          <w:sz w:val="24"/>
          <w:szCs w:val="24"/>
        </w:rPr>
        <w:t>de Morena</w:t>
      </w:r>
      <w:r>
        <w:rPr>
          <w:rFonts w:ascii="Arial" w:eastAsia="Arial" w:hAnsi="Arial" w:cs="Arial"/>
          <w:b/>
          <w:color w:val="000000"/>
          <w:sz w:val="24"/>
          <w:szCs w:val="24"/>
        </w:rPr>
        <w:t xml:space="preserve">. </w:t>
      </w:r>
      <w:r>
        <w:rPr>
          <w:rFonts w:ascii="Arial" w:eastAsia="Arial" w:hAnsi="Arial" w:cs="Arial"/>
          <w:color w:val="000000"/>
          <w:sz w:val="24"/>
          <w:szCs w:val="24"/>
        </w:rPr>
        <w:t xml:space="preserve">El quejoso </w:t>
      </w:r>
      <w:r w:rsidR="008E064A">
        <w:rPr>
          <w:rFonts w:ascii="Arial" w:eastAsia="Arial" w:hAnsi="Arial" w:cs="Arial"/>
          <w:color w:val="000000"/>
          <w:sz w:val="24"/>
          <w:szCs w:val="24"/>
        </w:rPr>
        <w:t>refiere</w:t>
      </w:r>
      <w:r>
        <w:rPr>
          <w:rFonts w:ascii="Arial" w:eastAsia="Arial" w:hAnsi="Arial" w:cs="Arial"/>
          <w:color w:val="000000"/>
          <w:sz w:val="24"/>
          <w:szCs w:val="24"/>
        </w:rPr>
        <w:t xml:space="preserve"> que </w:t>
      </w:r>
      <w:r w:rsidR="002667C7">
        <w:rPr>
          <w:rFonts w:ascii="Arial" w:eastAsia="Arial" w:hAnsi="Arial" w:cs="Arial"/>
          <w:sz w:val="24"/>
          <w:szCs w:val="24"/>
        </w:rPr>
        <w:t>Morena</w:t>
      </w:r>
      <w:r w:rsidR="002667C7">
        <w:rPr>
          <w:rFonts w:ascii="Arial" w:eastAsia="Arial" w:hAnsi="Arial" w:cs="Arial"/>
          <w:b/>
          <w:color w:val="000000"/>
          <w:sz w:val="24"/>
          <w:szCs w:val="24"/>
        </w:rPr>
        <w:t xml:space="preserve"> </w:t>
      </w:r>
      <w:r>
        <w:rPr>
          <w:rFonts w:ascii="Arial" w:eastAsia="Arial" w:hAnsi="Arial" w:cs="Arial"/>
          <w:b/>
          <w:color w:val="000000"/>
          <w:sz w:val="24"/>
          <w:szCs w:val="24"/>
        </w:rPr>
        <w:t xml:space="preserve">incumplió su deber de cuidar </w:t>
      </w:r>
      <w:r>
        <w:rPr>
          <w:rFonts w:ascii="Arial" w:eastAsia="Arial" w:hAnsi="Arial" w:cs="Arial"/>
          <w:color w:val="000000"/>
          <w:sz w:val="24"/>
          <w:szCs w:val="24"/>
        </w:rPr>
        <w:t>que la candidata no incumpliera la normativa electoral.</w:t>
      </w:r>
    </w:p>
    <w:p w14:paraId="6866D8C0" w14:textId="77777777" w:rsidR="00256634" w:rsidRDefault="00256634">
      <w:pPr>
        <w:pBdr>
          <w:top w:val="nil"/>
          <w:left w:val="nil"/>
          <w:bottom w:val="nil"/>
          <w:right w:val="nil"/>
          <w:between w:val="nil"/>
        </w:pBdr>
        <w:rPr>
          <w:color w:val="000000"/>
        </w:rPr>
      </w:pPr>
    </w:p>
    <w:p w14:paraId="4C9637BC" w14:textId="77777777" w:rsidR="00256634" w:rsidRDefault="000F0709">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2. Defensa. </w:t>
      </w:r>
      <w:r>
        <w:rPr>
          <w:rFonts w:ascii="Arial" w:eastAsia="Arial" w:hAnsi="Arial" w:cs="Arial"/>
          <w:color w:val="000000"/>
          <w:sz w:val="24"/>
          <w:szCs w:val="24"/>
        </w:rPr>
        <w:t xml:space="preserve">La candidata y el partido político como partes denunciadas, manifestaron lo siguiente: </w:t>
      </w:r>
    </w:p>
    <w:p w14:paraId="39E4F60C" w14:textId="77777777" w:rsidR="00256634" w:rsidRDefault="000F0709" w:rsidP="007728E6">
      <w:pPr>
        <w:numPr>
          <w:ilvl w:val="0"/>
          <w:numId w:val="3"/>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 xml:space="preserve">Argumentan que la autoridad administrativa no debió admitir la denuncia, </w:t>
      </w:r>
      <w:r>
        <w:rPr>
          <w:rFonts w:ascii="Arial" w:eastAsia="Arial" w:hAnsi="Arial" w:cs="Arial"/>
          <w:sz w:val="24"/>
          <w:szCs w:val="24"/>
        </w:rPr>
        <w:t>al no existir relación entre los hechos planteados y las probanzas ofrecidas,</w:t>
      </w:r>
      <w:r>
        <w:rPr>
          <w:rFonts w:ascii="Arial" w:eastAsia="Arial" w:hAnsi="Arial" w:cs="Arial"/>
          <w:color w:val="000000"/>
          <w:sz w:val="24"/>
          <w:szCs w:val="24"/>
        </w:rPr>
        <w:t xml:space="preserve"> pues </w:t>
      </w:r>
      <w:r>
        <w:rPr>
          <w:rFonts w:ascii="Arial" w:eastAsia="Arial" w:hAnsi="Arial" w:cs="Arial"/>
          <w:sz w:val="24"/>
          <w:szCs w:val="24"/>
        </w:rPr>
        <w:t>estas no</w:t>
      </w:r>
      <w:r>
        <w:rPr>
          <w:rFonts w:ascii="Arial" w:eastAsia="Arial" w:hAnsi="Arial" w:cs="Arial"/>
          <w:color w:val="000000"/>
          <w:sz w:val="24"/>
          <w:szCs w:val="24"/>
        </w:rPr>
        <w:t xml:space="preserve"> </w:t>
      </w:r>
      <w:r>
        <w:rPr>
          <w:rFonts w:ascii="Arial" w:eastAsia="Arial" w:hAnsi="Arial" w:cs="Arial"/>
          <w:sz w:val="24"/>
          <w:szCs w:val="24"/>
        </w:rPr>
        <w:t>logran</w:t>
      </w:r>
      <w:r>
        <w:rPr>
          <w:rFonts w:ascii="Arial" w:eastAsia="Arial" w:hAnsi="Arial" w:cs="Arial"/>
          <w:color w:val="000000"/>
          <w:sz w:val="24"/>
          <w:szCs w:val="24"/>
        </w:rPr>
        <w:t xml:space="preserve"> </w:t>
      </w:r>
      <w:r>
        <w:rPr>
          <w:rFonts w:ascii="Arial" w:eastAsia="Arial" w:hAnsi="Arial" w:cs="Arial"/>
          <w:sz w:val="24"/>
          <w:szCs w:val="24"/>
        </w:rPr>
        <w:t>acreditar</w:t>
      </w:r>
      <w:r>
        <w:rPr>
          <w:rFonts w:ascii="Arial" w:eastAsia="Arial" w:hAnsi="Arial" w:cs="Arial"/>
          <w:color w:val="000000"/>
          <w:sz w:val="24"/>
          <w:szCs w:val="24"/>
        </w:rPr>
        <w:t xml:space="preserve"> que la candidata cuestionada cometiera calumnia en perjuicio del PAN y del PRI</w:t>
      </w:r>
      <w:r>
        <w:rPr>
          <w:rFonts w:ascii="Arial" w:eastAsia="Arial" w:hAnsi="Arial" w:cs="Arial"/>
          <w:sz w:val="24"/>
          <w:szCs w:val="24"/>
        </w:rPr>
        <w:t>.</w:t>
      </w:r>
      <w:r>
        <w:rPr>
          <w:rFonts w:ascii="Arial" w:eastAsia="Arial" w:hAnsi="Arial" w:cs="Arial"/>
          <w:color w:val="000000"/>
          <w:sz w:val="24"/>
          <w:szCs w:val="24"/>
        </w:rPr>
        <w:t xml:space="preserve"> </w:t>
      </w:r>
    </w:p>
    <w:p w14:paraId="1FC00087" w14:textId="5450414A" w:rsidR="00256634" w:rsidRDefault="008E064A" w:rsidP="007728E6">
      <w:pPr>
        <w:numPr>
          <w:ilvl w:val="0"/>
          <w:numId w:val="3"/>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 xml:space="preserve">Afirman que </w:t>
      </w:r>
      <w:r w:rsidR="000F0709">
        <w:rPr>
          <w:rFonts w:ascii="Arial" w:eastAsia="Arial" w:hAnsi="Arial" w:cs="Arial"/>
          <w:color w:val="000000"/>
          <w:sz w:val="24"/>
          <w:szCs w:val="24"/>
        </w:rPr>
        <w:t xml:space="preserve">el contenido del video denunciado no </w:t>
      </w:r>
      <w:r w:rsidR="000F0709">
        <w:rPr>
          <w:rFonts w:ascii="Arial" w:eastAsia="Arial" w:hAnsi="Arial" w:cs="Arial"/>
          <w:sz w:val="24"/>
          <w:szCs w:val="24"/>
        </w:rPr>
        <w:t>constituye</w:t>
      </w:r>
      <w:r w:rsidR="000F0709">
        <w:rPr>
          <w:rFonts w:ascii="Arial" w:eastAsia="Arial" w:hAnsi="Arial" w:cs="Arial"/>
          <w:color w:val="000000"/>
          <w:sz w:val="24"/>
          <w:szCs w:val="24"/>
        </w:rPr>
        <w:t xml:space="preserve"> la infracción de calumnia, ya que su supuesta existencia está basada en subjetividades del denunciante y no en indicios.</w:t>
      </w:r>
    </w:p>
    <w:p w14:paraId="23E1108A" w14:textId="6E526C0A" w:rsidR="00256634" w:rsidRDefault="000F0709" w:rsidP="007728E6">
      <w:pPr>
        <w:numPr>
          <w:ilvl w:val="0"/>
          <w:numId w:val="3"/>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 xml:space="preserve">Consideran que, en todo caso, el contenido del video denunciado se realizó en el ejercicio de su libertad de expresión, </w:t>
      </w:r>
      <w:r w:rsidR="008E064A">
        <w:rPr>
          <w:rFonts w:ascii="Arial" w:eastAsia="Arial" w:hAnsi="Arial" w:cs="Arial"/>
          <w:color w:val="000000"/>
          <w:sz w:val="24"/>
          <w:szCs w:val="24"/>
        </w:rPr>
        <w:t xml:space="preserve">haciendo referencia a </w:t>
      </w:r>
      <w:r>
        <w:rPr>
          <w:rFonts w:ascii="Arial" w:eastAsia="Arial" w:hAnsi="Arial" w:cs="Arial"/>
          <w:color w:val="000000"/>
          <w:sz w:val="24"/>
          <w:szCs w:val="24"/>
        </w:rPr>
        <w:t xml:space="preserve">un tema de interés general y que forma parte del debate público. </w:t>
      </w:r>
    </w:p>
    <w:p w14:paraId="0C443B47" w14:textId="77777777" w:rsidR="00256634" w:rsidRDefault="000F0709" w:rsidP="007728E6">
      <w:pPr>
        <w:numPr>
          <w:ilvl w:val="0"/>
          <w:numId w:val="3"/>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 xml:space="preserve">Sostienen que no se señala a algún representante de los institutos políticos involucrados, es decir, a una persona en concreto, sobre </w:t>
      </w:r>
      <w:r>
        <w:rPr>
          <w:rFonts w:ascii="Arial" w:eastAsia="Arial" w:hAnsi="Arial" w:cs="Arial"/>
          <w:sz w:val="24"/>
          <w:szCs w:val="24"/>
        </w:rPr>
        <w:t>quien</w:t>
      </w:r>
      <w:r>
        <w:rPr>
          <w:rFonts w:ascii="Arial" w:eastAsia="Arial" w:hAnsi="Arial" w:cs="Arial"/>
          <w:color w:val="000000"/>
          <w:sz w:val="24"/>
          <w:szCs w:val="24"/>
        </w:rPr>
        <w:t xml:space="preserve"> recaiga la infracción de calumnia.</w:t>
      </w:r>
    </w:p>
    <w:p w14:paraId="30A2CEA9" w14:textId="77777777" w:rsidR="00256634" w:rsidRDefault="00256634" w:rsidP="007728E6">
      <w:pPr>
        <w:pStyle w:val="Sinespaciado"/>
        <w:rPr>
          <w:rFonts w:eastAsia="Arial"/>
        </w:rPr>
      </w:pPr>
    </w:p>
    <w:p w14:paraId="70DF0840" w14:textId="3C2EE530" w:rsidR="00256634" w:rsidRDefault="000F0709">
      <w:pPr>
        <w:tabs>
          <w:tab w:val="left" w:pos="567"/>
        </w:tabs>
        <w:spacing w:line="360" w:lineRule="auto"/>
        <w:jc w:val="both"/>
        <w:rPr>
          <w:rFonts w:ascii="Arial" w:eastAsia="Arial" w:hAnsi="Arial" w:cs="Arial"/>
          <w:b/>
          <w:sz w:val="24"/>
          <w:szCs w:val="24"/>
        </w:rPr>
      </w:pPr>
      <w:r>
        <w:rPr>
          <w:rFonts w:ascii="Arial" w:eastAsia="Arial" w:hAnsi="Arial" w:cs="Arial"/>
          <w:b/>
          <w:color w:val="000000"/>
          <w:sz w:val="24"/>
          <w:szCs w:val="24"/>
        </w:rPr>
        <w:t xml:space="preserve">3. Descripción de los medios de prueba. </w:t>
      </w:r>
      <w:r>
        <w:rPr>
          <w:rFonts w:ascii="Arial" w:eastAsia="Arial" w:hAnsi="Arial" w:cs="Arial"/>
          <w:color w:val="000000"/>
          <w:sz w:val="24"/>
          <w:szCs w:val="24"/>
        </w:rPr>
        <w:t xml:space="preserve">Como se advierte, de la audiencia de pruebas y alegatos, </w:t>
      </w:r>
      <w:r w:rsidR="007728E6">
        <w:rPr>
          <w:rFonts w:ascii="Arial" w:eastAsia="Arial" w:hAnsi="Arial" w:cs="Arial"/>
          <w:color w:val="000000"/>
          <w:sz w:val="24"/>
          <w:szCs w:val="24"/>
        </w:rPr>
        <w:t>a las partes</w:t>
      </w:r>
      <w:r>
        <w:rPr>
          <w:rFonts w:ascii="Arial" w:eastAsia="Arial" w:hAnsi="Arial" w:cs="Arial"/>
          <w:color w:val="000000"/>
          <w:sz w:val="24"/>
          <w:szCs w:val="24"/>
        </w:rPr>
        <w:t xml:space="preserve"> le</w:t>
      </w:r>
      <w:r w:rsidR="007728E6">
        <w:rPr>
          <w:rFonts w:ascii="Arial" w:eastAsia="Arial" w:hAnsi="Arial" w:cs="Arial"/>
          <w:color w:val="000000"/>
          <w:sz w:val="24"/>
          <w:szCs w:val="24"/>
        </w:rPr>
        <w:t>s</w:t>
      </w:r>
      <w:r>
        <w:rPr>
          <w:rFonts w:ascii="Arial" w:eastAsia="Arial" w:hAnsi="Arial" w:cs="Arial"/>
          <w:color w:val="000000"/>
          <w:sz w:val="24"/>
          <w:szCs w:val="24"/>
        </w:rPr>
        <w:t xml:space="preserve"> fueron admitidas y desahogadas las siguientes probanzas:</w:t>
      </w:r>
      <w:r>
        <w:rPr>
          <w:rFonts w:ascii="Arial" w:eastAsia="Arial" w:hAnsi="Arial" w:cs="Arial"/>
          <w:b/>
          <w:sz w:val="24"/>
          <w:szCs w:val="24"/>
        </w:rPr>
        <w:t xml:space="preserve"> </w:t>
      </w:r>
    </w:p>
    <w:p w14:paraId="374C7DCE" w14:textId="77777777" w:rsidR="00256634" w:rsidRDefault="00256634">
      <w:pPr>
        <w:pBdr>
          <w:top w:val="nil"/>
          <w:left w:val="nil"/>
          <w:bottom w:val="nil"/>
          <w:right w:val="nil"/>
          <w:between w:val="nil"/>
        </w:pBdr>
        <w:rPr>
          <w:color w:val="000000"/>
        </w:rPr>
      </w:pPr>
    </w:p>
    <w:p w14:paraId="0C8319BC" w14:textId="23C375E4" w:rsidR="00256634" w:rsidRDefault="000F0709">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3.1. Pruebas aportadas por los institutos políticos denunciantes: </w:t>
      </w:r>
    </w:p>
    <w:p w14:paraId="1C8E83A6" w14:textId="77777777" w:rsidR="00274769" w:rsidRDefault="00274769" w:rsidP="00274769">
      <w:pPr>
        <w:pStyle w:val="Sinespaciado"/>
        <w:rPr>
          <w:rFonts w:eastAsia="Arial"/>
        </w:rPr>
      </w:pPr>
    </w:p>
    <w:tbl>
      <w:tblPr>
        <w:tblStyle w:val="Tabladecuadrcula4-nfasis31"/>
        <w:tblW w:w="9634" w:type="dxa"/>
        <w:tblLayout w:type="fixed"/>
        <w:tblLook w:val="04A0" w:firstRow="1" w:lastRow="0" w:firstColumn="1" w:lastColumn="0" w:noHBand="0" w:noVBand="1"/>
      </w:tblPr>
      <w:tblGrid>
        <w:gridCol w:w="499"/>
        <w:gridCol w:w="2757"/>
        <w:gridCol w:w="6378"/>
      </w:tblGrid>
      <w:tr w:rsidR="00256634" w14:paraId="1F763AD3" w14:textId="77777777" w:rsidTr="007728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1C7F093B" w14:textId="77777777" w:rsidR="00256634" w:rsidRDefault="000F0709">
            <w:pPr>
              <w:jc w:val="center"/>
              <w:rPr>
                <w:rFonts w:ascii="Arial" w:eastAsia="Arial" w:hAnsi="Arial" w:cs="Arial"/>
                <w:color w:val="000000"/>
                <w:sz w:val="18"/>
                <w:szCs w:val="18"/>
              </w:rPr>
            </w:pPr>
            <w:r>
              <w:rPr>
                <w:rFonts w:ascii="Arial" w:eastAsia="Arial" w:hAnsi="Arial" w:cs="Arial"/>
                <w:color w:val="000000"/>
                <w:sz w:val="18"/>
                <w:szCs w:val="18"/>
              </w:rPr>
              <w:t>#</w:t>
            </w:r>
          </w:p>
        </w:tc>
        <w:tc>
          <w:tcPr>
            <w:tcW w:w="2757" w:type="dxa"/>
          </w:tcPr>
          <w:p w14:paraId="5091DE4B" w14:textId="77777777" w:rsidR="00256634" w:rsidRDefault="000F0709">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Prueba</w:t>
            </w:r>
          </w:p>
        </w:tc>
        <w:tc>
          <w:tcPr>
            <w:tcW w:w="6378" w:type="dxa"/>
          </w:tcPr>
          <w:p w14:paraId="0709D67D" w14:textId="77777777" w:rsidR="00256634" w:rsidRDefault="000F0709">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Consistente en</w:t>
            </w:r>
          </w:p>
        </w:tc>
      </w:tr>
      <w:tr w:rsidR="00256634" w14:paraId="029AC3A9" w14:textId="77777777" w:rsidTr="007728E6">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15BB7A16" w14:textId="77777777" w:rsidR="00256634" w:rsidRPr="007728E6" w:rsidRDefault="000F0709">
            <w:pPr>
              <w:jc w:val="center"/>
              <w:rPr>
                <w:rFonts w:ascii="Arial" w:eastAsia="Arial" w:hAnsi="Arial" w:cs="Arial"/>
                <w:bCs w:val="0"/>
                <w:sz w:val="18"/>
                <w:szCs w:val="18"/>
              </w:rPr>
            </w:pPr>
            <w:r w:rsidRPr="007728E6">
              <w:rPr>
                <w:rFonts w:ascii="Arial" w:eastAsia="Arial" w:hAnsi="Arial" w:cs="Arial"/>
                <w:bCs w:val="0"/>
                <w:sz w:val="18"/>
                <w:szCs w:val="18"/>
              </w:rPr>
              <w:t>1</w:t>
            </w:r>
          </w:p>
        </w:tc>
        <w:tc>
          <w:tcPr>
            <w:tcW w:w="2757" w:type="dxa"/>
          </w:tcPr>
          <w:p w14:paraId="544751C4" w14:textId="361D6B0B" w:rsidR="00256634" w:rsidRPr="007728E6" w:rsidRDefault="000F0709">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sidRPr="007728E6">
              <w:rPr>
                <w:rFonts w:ascii="Arial" w:eastAsia="Arial" w:hAnsi="Arial" w:cs="Arial"/>
                <w:b/>
                <w:sz w:val="18"/>
                <w:szCs w:val="18"/>
              </w:rPr>
              <w:t>Prueba técnica</w:t>
            </w:r>
          </w:p>
        </w:tc>
        <w:tc>
          <w:tcPr>
            <w:tcW w:w="6378" w:type="dxa"/>
          </w:tcPr>
          <w:p w14:paraId="4F18B9BF" w14:textId="77777777" w:rsidR="00256634" w:rsidRDefault="000F070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Inspección judicial del link </w:t>
            </w:r>
            <w:hyperlink r:id="rId14">
              <w:r>
                <w:rPr>
                  <w:rFonts w:ascii="Arial" w:eastAsia="Arial" w:hAnsi="Arial" w:cs="Arial"/>
                  <w:color w:val="0000FF"/>
                  <w:sz w:val="18"/>
                  <w:szCs w:val="18"/>
                  <w:u w:val="single"/>
                </w:rPr>
                <w:t>https://www.facebook.com/noraruvalcabamx/videos/657593881997892</w:t>
              </w:r>
            </w:hyperlink>
            <w:r>
              <w:rPr>
                <w:rFonts w:ascii="Arial" w:eastAsia="Arial" w:hAnsi="Arial" w:cs="Arial"/>
                <w:sz w:val="18"/>
                <w:szCs w:val="18"/>
              </w:rPr>
              <w:t>, consistente en una publicación de Facebook de la candidata Nora Ruvalcaba Gámez.</w:t>
            </w:r>
          </w:p>
        </w:tc>
      </w:tr>
      <w:tr w:rsidR="00256634" w14:paraId="3C1899DE" w14:textId="77777777" w:rsidTr="007728E6">
        <w:trPr>
          <w:trHeight w:val="344"/>
        </w:trPr>
        <w:tc>
          <w:tcPr>
            <w:cnfStyle w:val="001000000000" w:firstRow="0" w:lastRow="0" w:firstColumn="1" w:lastColumn="0" w:oddVBand="0" w:evenVBand="0" w:oddHBand="0" w:evenHBand="0" w:firstRowFirstColumn="0" w:firstRowLastColumn="0" w:lastRowFirstColumn="0" w:lastRowLastColumn="0"/>
            <w:tcW w:w="499" w:type="dxa"/>
          </w:tcPr>
          <w:p w14:paraId="0650D3C2" w14:textId="77777777" w:rsidR="00256634" w:rsidRPr="007728E6" w:rsidRDefault="000F0709">
            <w:pPr>
              <w:jc w:val="center"/>
              <w:rPr>
                <w:rFonts w:ascii="Arial" w:eastAsia="Arial" w:hAnsi="Arial" w:cs="Arial"/>
                <w:bCs w:val="0"/>
                <w:sz w:val="18"/>
                <w:szCs w:val="18"/>
              </w:rPr>
            </w:pPr>
            <w:r w:rsidRPr="007728E6">
              <w:rPr>
                <w:rFonts w:ascii="Arial" w:eastAsia="Arial" w:hAnsi="Arial" w:cs="Arial"/>
                <w:bCs w:val="0"/>
                <w:sz w:val="18"/>
                <w:szCs w:val="18"/>
              </w:rPr>
              <w:t>2</w:t>
            </w:r>
          </w:p>
        </w:tc>
        <w:tc>
          <w:tcPr>
            <w:tcW w:w="2757" w:type="dxa"/>
          </w:tcPr>
          <w:p w14:paraId="65D87725" w14:textId="283A74A0" w:rsidR="00256634" w:rsidRPr="007728E6" w:rsidRDefault="000F0709">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sidRPr="007728E6">
              <w:rPr>
                <w:rFonts w:ascii="Arial" w:eastAsia="Arial" w:hAnsi="Arial" w:cs="Arial"/>
                <w:b/>
                <w:sz w:val="18"/>
                <w:szCs w:val="18"/>
              </w:rPr>
              <w:t>Prueba técnica</w:t>
            </w:r>
          </w:p>
        </w:tc>
        <w:tc>
          <w:tcPr>
            <w:tcW w:w="6378" w:type="dxa"/>
          </w:tcPr>
          <w:p w14:paraId="3C5FA3B8" w14:textId="77777777" w:rsidR="00256634" w:rsidRDefault="000F070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Inspección judicial del link </w:t>
            </w:r>
            <w:r>
              <w:rPr>
                <w:rFonts w:ascii="Arial" w:eastAsia="Arial" w:hAnsi="Arial" w:cs="Arial"/>
                <w:color w:val="0000FF"/>
                <w:sz w:val="18"/>
                <w:szCs w:val="18"/>
                <w:u w:val="single"/>
              </w:rPr>
              <w:t>http://www.facebook.com/ads/library/?active_suatuts=all&amp;ad_type=political_and_issue_ads&amp;country=MX&amp;view_all_page_id=815161611910553&amp;sort_data[direction]=desc&amp;sort_data[mode]=relevancy_monthly_gruoped&amp;serch_type=page&amp;media_type=all</w:t>
            </w:r>
            <w:r>
              <w:rPr>
                <w:rFonts w:ascii="Arial" w:eastAsia="Arial" w:hAnsi="Arial" w:cs="Arial"/>
                <w:sz w:val="18"/>
                <w:szCs w:val="18"/>
              </w:rPr>
              <w:t xml:space="preserve">, consistente en uno de los apartados del perfil de Facebook de la candidata Nora Ruvalcaba Gámez. </w:t>
            </w:r>
          </w:p>
        </w:tc>
      </w:tr>
      <w:tr w:rsidR="00256634" w14:paraId="6B5F243A" w14:textId="77777777" w:rsidTr="007728E6">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16D3B331" w14:textId="77777777" w:rsidR="00256634" w:rsidRPr="007728E6" w:rsidRDefault="000F0709">
            <w:pPr>
              <w:jc w:val="center"/>
              <w:rPr>
                <w:rFonts w:ascii="Arial" w:eastAsia="Arial" w:hAnsi="Arial" w:cs="Arial"/>
                <w:bCs w:val="0"/>
                <w:sz w:val="18"/>
                <w:szCs w:val="18"/>
              </w:rPr>
            </w:pPr>
            <w:r w:rsidRPr="007728E6">
              <w:rPr>
                <w:rFonts w:ascii="Arial" w:eastAsia="Arial" w:hAnsi="Arial" w:cs="Arial"/>
                <w:bCs w:val="0"/>
                <w:sz w:val="18"/>
                <w:szCs w:val="18"/>
              </w:rPr>
              <w:t>3</w:t>
            </w:r>
          </w:p>
        </w:tc>
        <w:tc>
          <w:tcPr>
            <w:tcW w:w="2757" w:type="dxa"/>
          </w:tcPr>
          <w:p w14:paraId="528E1499" w14:textId="517A5B32" w:rsidR="00256634" w:rsidRPr="007728E6" w:rsidRDefault="000F0709">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sidRPr="007728E6">
              <w:rPr>
                <w:rFonts w:ascii="Arial" w:eastAsia="Arial" w:hAnsi="Arial" w:cs="Arial"/>
                <w:b/>
                <w:sz w:val="18"/>
                <w:szCs w:val="18"/>
              </w:rPr>
              <w:t>Prueba técnica</w:t>
            </w:r>
          </w:p>
        </w:tc>
        <w:tc>
          <w:tcPr>
            <w:tcW w:w="6378" w:type="dxa"/>
          </w:tcPr>
          <w:p w14:paraId="2FB91B75" w14:textId="77777777" w:rsidR="00256634" w:rsidRDefault="000F070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Inspección judicial del link </w:t>
            </w:r>
            <w:hyperlink r:id="rId15">
              <w:r>
                <w:rPr>
                  <w:rFonts w:ascii="Arial" w:eastAsia="Arial" w:hAnsi="Arial" w:cs="Arial"/>
                  <w:color w:val="0000FF"/>
                  <w:sz w:val="18"/>
                  <w:szCs w:val="18"/>
                  <w:u w:val="single"/>
                </w:rPr>
                <w:t>https://www.instagram.com/p/CcUE3ktDOnj/</w:t>
              </w:r>
            </w:hyperlink>
            <w:r>
              <w:rPr>
                <w:rFonts w:ascii="Arial" w:eastAsia="Arial" w:hAnsi="Arial" w:cs="Arial"/>
                <w:sz w:val="18"/>
                <w:szCs w:val="18"/>
              </w:rPr>
              <w:t>, consistente en una publicación de Instagram de la candidata Nora Ruvalcaba Gámez.</w:t>
            </w:r>
          </w:p>
        </w:tc>
      </w:tr>
      <w:tr w:rsidR="00256634" w14:paraId="13392FDC" w14:textId="77777777" w:rsidTr="007728E6">
        <w:trPr>
          <w:trHeight w:val="344"/>
        </w:trPr>
        <w:tc>
          <w:tcPr>
            <w:cnfStyle w:val="001000000000" w:firstRow="0" w:lastRow="0" w:firstColumn="1" w:lastColumn="0" w:oddVBand="0" w:evenVBand="0" w:oddHBand="0" w:evenHBand="0" w:firstRowFirstColumn="0" w:firstRowLastColumn="0" w:lastRowFirstColumn="0" w:lastRowLastColumn="0"/>
            <w:tcW w:w="499" w:type="dxa"/>
          </w:tcPr>
          <w:p w14:paraId="3BFDC546" w14:textId="77777777" w:rsidR="00256634" w:rsidRPr="007728E6" w:rsidRDefault="000F0709">
            <w:pPr>
              <w:jc w:val="center"/>
              <w:rPr>
                <w:rFonts w:ascii="Arial" w:eastAsia="Arial" w:hAnsi="Arial" w:cs="Arial"/>
                <w:bCs w:val="0"/>
                <w:sz w:val="18"/>
                <w:szCs w:val="18"/>
              </w:rPr>
            </w:pPr>
            <w:r w:rsidRPr="007728E6">
              <w:rPr>
                <w:rFonts w:ascii="Arial" w:eastAsia="Arial" w:hAnsi="Arial" w:cs="Arial"/>
                <w:bCs w:val="0"/>
                <w:sz w:val="18"/>
                <w:szCs w:val="18"/>
              </w:rPr>
              <w:t>4</w:t>
            </w:r>
          </w:p>
        </w:tc>
        <w:tc>
          <w:tcPr>
            <w:tcW w:w="2757" w:type="dxa"/>
          </w:tcPr>
          <w:p w14:paraId="1185E02E" w14:textId="54341EE6" w:rsidR="00256634" w:rsidRPr="007728E6" w:rsidRDefault="000F0709">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sidRPr="007728E6">
              <w:rPr>
                <w:rFonts w:ascii="Arial" w:eastAsia="Arial" w:hAnsi="Arial" w:cs="Arial"/>
                <w:b/>
                <w:sz w:val="18"/>
                <w:szCs w:val="18"/>
              </w:rPr>
              <w:t>Prueba técnica</w:t>
            </w:r>
          </w:p>
        </w:tc>
        <w:tc>
          <w:tcPr>
            <w:tcW w:w="6378" w:type="dxa"/>
          </w:tcPr>
          <w:p w14:paraId="57F5FEB4" w14:textId="77777777" w:rsidR="00256634" w:rsidRDefault="000F070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Inspección judicial del link </w:t>
            </w:r>
            <w:hyperlink r:id="rId16">
              <w:r>
                <w:rPr>
                  <w:rFonts w:ascii="Arial" w:eastAsia="Arial" w:hAnsi="Arial" w:cs="Arial"/>
                  <w:color w:val="0000FF"/>
                  <w:sz w:val="18"/>
                  <w:szCs w:val="18"/>
                  <w:u w:val="single"/>
                </w:rPr>
                <w:t>https://www.youtube.com/watch?v=kVBL6pzeBs</w:t>
              </w:r>
            </w:hyperlink>
            <w:r>
              <w:rPr>
                <w:rFonts w:ascii="Arial" w:eastAsia="Arial" w:hAnsi="Arial" w:cs="Arial"/>
                <w:sz w:val="18"/>
                <w:szCs w:val="18"/>
              </w:rPr>
              <w:t xml:space="preserve">, consistente en un vídeo publicado en el perfil de la candidata Nora Ruvalcaba Gámez de </w:t>
            </w:r>
            <w:proofErr w:type="spellStart"/>
            <w:r>
              <w:rPr>
                <w:rFonts w:ascii="Arial" w:eastAsia="Arial" w:hAnsi="Arial" w:cs="Arial"/>
                <w:sz w:val="18"/>
                <w:szCs w:val="18"/>
              </w:rPr>
              <w:t>Youtube</w:t>
            </w:r>
            <w:proofErr w:type="spellEnd"/>
            <w:r>
              <w:rPr>
                <w:rFonts w:ascii="Arial" w:eastAsia="Arial" w:hAnsi="Arial" w:cs="Arial"/>
                <w:sz w:val="18"/>
                <w:szCs w:val="18"/>
              </w:rPr>
              <w:t xml:space="preserve">. </w:t>
            </w:r>
          </w:p>
        </w:tc>
      </w:tr>
      <w:tr w:rsidR="00256634" w14:paraId="217C925F" w14:textId="77777777" w:rsidTr="007728E6">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13EDD70D" w14:textId="77777777" w:rsidR="00256634" w:rsidRPr="007728E6" w:rsidRDefault="000F0709">
            <w:pPr>
              <w:jc w:val="center"/>
              <w:rPr>
                <w:rFonts w:ascii="Arial" w:eastAsia="Arial" w:hAnsi="Arial" w:cs="Arial"/>
                <w:bCs w:val="0"/>
                <w:sz w:val="18"/>
                <w:szCs w:val="18"/>
              </w:rPr>
            </w:pPr>
            <w:r w:rsidRPr="007728E6">
              <w:rPr>
                <w:rFonts w:ascii="Arial" w:eastAsia="Arial" w:hAnsi="Arial" w:cs="Arial"/>
                <w:bCs w:val="0"/>
                <w:sz w:val="18"/>
                <w:szCs w:val="18"/>
              </w:rPr>
              <w:t>5</w:t>
            </w:r>
          </w:p>
        </w:tc>
        <w:tc>
          <w:tcPr>
            <w:tcW w:w="2757" w:type="dxa"/>
          </w:tcPr>
          <w:p w14:paraId="45A86EFD" w14:textId="26E8CE08" w:rsidR="00256634" w:rsidRPr="007728E6" w:rsidRDefault="000F0709">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sidRPr="007728E6">
              <w:rPr>
                <w:rFonts w:ascii="Arial" w:eastAsia="Arial" w:hAnsi="Arial" w:cs="Arial"/>
                <w:b/>
                <w:sz w:val="18"/>
                <w:szCs w:val="18"/>
              </w:rPr>
              <w:t>Instrumental de actuaciones</w:t>
            </w:r>
          </w:p>
        </w:tc>
        <w:tc>
          <w:tcPr>
            <w:tcW w:w="6378" w:type="dxa"/>
          </w:tcPr>
          <w:p w14:paraId="69B6B64D" w14:textId="77777777" w:rsidR="00256634" w:rsidRDefault="000F070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256634" w14:paraId="6A0EE60E" w14:textId="77777777" w:rsidTr="007728E6">
        <w:trPr>
          <w:trHeight w:val="384"/>
        </w:trPr>
        <w:tc>
          <w:tcPr>
            <w:cnfStyle w:val="001000000000" w:firstRow="0" w:lastRow="0" w:firstColumn="1" w:lastColumn="0" w:oddVBand="0" w:evenVBand="0" w:oddHBand="0" w:evenHBand="0" w:firstRowFirstColumn="0" w:firstRowLastColumn="0" w:lastRowFirstColumn="0" w:lastRowLastColumn="0"/>
            <w:tcW w:w="499" w:type="dxa"/>
          </w:tcPr>
          <w:p w14:paraId="43081DA7" w14:textId="77777777" w:rsidR="00256634" w:rsidRPr="007728E6" w:rsidRDefault="000F0709">
            <w:pPr>
              <w:jc w:val="center"/>
              <w:rPr>
                <w:rFonts w:ascii="Arial" w:eastAsia="Arial" w:hAnsi="Arial" w:cs="Arial"/>
                <w:bCs w:val="0"/>
                <w:sz w:val="18"/>
                <w:szCs w:val="18"/>
              </w:rPr>
            </w:pPr>
            <w:r w:rsidRPr="007728E6">
              <w:rPr>
                <w:rFonts w:ascii="Arial" w:eastAsia="Arial" w:hAnsi="Arial" w:cs="Arial"/>
                <w:bCs w:val="0"/>
                <w:sz w:val="18"/>
                <w:szCs w:val="18"/>
              </w:rPr>
              <w:t>6</w:t>
            </w:r>
          </w:p>
        </w:tc>
        <w:tc>
          <w:tcPr>
            <w:tcW w:w="2757" w:type="dxa"/>
          </w:tcPr>
          <w:p w14:paraId="29667306" w14:textId="4C34E1D9" w:rsidR="00256634" w:rsidRPr="007728E6" w:rsidRDefault="000F0709">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sidRPr="007728E6">
              <w:rPr>
                <w:rFonts w:ascii="Arial" w:eastAsia="Arial" w:hAnsi="Arial" w:cs="Arial"/>
                <w:b/>
                <w:sz w:val="18"/>
                <w:szCs w:val="18"/>
              </w:rPr>
              <w:t>Presuncional legal y humana</w:t>
            </w:r>
          </w:p>
        </w:tc>
        <w:tc>
          <w:tcPr>
            <w:tcW w:w="6378" w:type="dxa"/>
          </w:tcPr>
          <w:p w14:paraId="5A578179" w14:textId="77777777" w:rsidR="00256634" w:rsidRDefault="000F070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589CA4E4" w14:textId="77777777" w:rsidR="00256634" w:rsidRPr="00274769" w:rsidRDefault="00256634" w:rsidP="00274769">
      <w:pPr>
        <w:pStyle w:val="Sinespaciado"/>
        <w:rPr>
          <w:sz w:val="36"/>
          <w:szCs w:val="36"/>
        </w:rPr>
      </w:pPr>
    </w:p>
    <w:p w14:paraId="0C6E97B2" w14:textId="0CEA8E03" w:rsidR="00256634" w:rsidRDefault="000F0709">
      <w:pPr>
        <w:tabs>
          <w:tab w:val="left" w:pos="567"/>
        </w:tabs>
        <w:spacing w:line="360" w:lineRule="auto"/>
        <w:jc w:val="both"/>
        <w:rPr>
          <w:rFonts w:ascii="Arial" w:eastAsia="Arial" w:hAnsi="Arial" w:cs="Arial"/>
          <w:b/>
          <w:sz w:val="24"/>
          <w:szCs w:val="24"/>
        </w:rPr>
      </w:pPr>
      <w:r>
        <w:rPr>
          <w:rFonts w:ascii="Arial" w:eastAsia="Arial" w:hAnsi="Arial" w:cs="Arial"/>
          <w:b/>
          <w:sz w:val="24"/>
          <w:szCs w:val="24"/>
        </w:rPr>
        <w:t xml:space="preserve">3.2. Pruebas aportadas por la candidata y el partido político </w:t>
      </w:r>
      <w:r w:rsidR="007728E6">
        <w:rPr>
          <w:rFonts w:ascii="Arial" w:eastAsia="Arial" w:hAnsi="Arial" w:cs="Arial"/>
          <w:b/>
          <w:sz w:val="24"/>
          <w:szCs w:val="24"/>
        </w:rPr>
        <w:t>denunciados</w:t>
      </w:r>
      <w:r>
        <w:rPr>
          <w:rFonts w:ascii="Arial" w:eastAsia="Arial" w:hAnsi="Arial" w:cs="Arial"/>
          <w:b/>
          <w:sz w:val="24"/>
          <w:szCs w:val="24"/>
        </w:rPr>
        <w:t>:</w:t>
      </w:r>
    </w:p>
    <w:p w14:paraId="1D56BDFE" w14:textId="77777777" w:rsidR="00274769" w:rsidRDefault="00274769" w:rsidP="00274769">
      <w:pPr>
        <w:pStyle w:val="Sinespaciado"/>
        <w:rPr>
          <w:rFonts w:eastAsia="Arial"/>
        </w:rPr>
      </w:pPr>
    </w:p>
    <w:tbl>
      <w:tblPr>
        <w:tblStyle w:val="Tabladecuadrcula4-nfasis31"/>
        <w:tblW w:w="9634" w:type="dxa"/>
        <w:tblLayout w:type="fixed"/>
        <w:tblLook w:val="04A0" w:firstRow="1" w:lastRow="0" w:firstColumn="1" w:lastColumn="0" w:noHBand="0" w:noVBand="1"/>
      </w:tblPr>
      <w:tblGrid>
        <w:gridCol w:w="499"/>
        <w:gridCol w:w="2757"/>
        <w:gridCol w:w="6378"/>
      </w:tblGrid>
      <w:tr w:rsidR="00256634" w14:paraId="62C0CF81" w14:textId="77777777" w:rsidTr="007728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09BE4B7A" w14:textId="77777777" w:rsidR="00256634" w:rsidRDefault="000F0709">
            <w:pPr>
              <w:jc w:val="center"/>
              <w:rPr>
                <w:rFonts w:ascii="Arial" w:eastAsia="Arial" w:hAnsi="Arial" w:cs="Arial"/>
                <w:color w:val="000000"/>
                <w:sz w:val="18"/>
                <w:szCs w:val="18"/>
              </w:rPr>
            </w:pPr>
            <w:r>
              <w:rPr>
                <w:rFonts w:ascii="Arial" w:eastAsia="Arial" w:hAnsi="Arial" w:cs="Arial"/>
                <w:color w:val="000000"/>
                <w:sz w:val="18"/>
                <w:szCs w:val="18"/>
              </w:rPr>
              <w:t>#</w:t>
            </w:r>
          </w:p>
        </w:tc>
        <w:tc>
          <w:tcPr>
            <w:tcW w:w="2757" w:type="dxa"/>
          </w:tcPr>
          <w:p w14:paraId="6462498E" w14:textId="77777777" w:rsidR="00256634" w:rsidRDefault="000F0709">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Prueba</w:t>
            </w:r>
          </w:p>
        </w:tc>
        <w:tc>
          <w:tcPr>
            <w:tcW w:w="6378" w:type="dxa"/>
          </w:tcPr>
          <w:p w14:paraId="29ACBC4E" w14:textId="77777777" w:rsidR="00256634" w:rsidRDefault="000F0709">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Consistente en</w:t>
            </w:r>
          </w:p>
        </w:tc>
      </w:tr>
      <w:tr w:rsidR="00256634" w14:paraId="1C246499" w14:textId="77777777" w:rsidTr="007728E6">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19E57988" w14:textId="77777777" w:rsidR="00256634" w:rsidRPr="007728E6" w:rsidRDefault="000F0709">
            <w:pPr>
              <w:jc w:val="center"/>
              <w:rPr>
                <w:rFonts w:ascii="Arial" w:eastAsia="Arial" w:hAnsi="Arial" w:cs="Arial"/>
                <w:bCs w:val="0"/>
                <w:sz w:val="18"/>
                <w:szCs w:val="18"/>
              </w:rPr>
            </w:pPr>
            <w:r w:rsidRPr="007728E6">
              <w:rPr>
                <w:rFonts w:ascii="Arial" w:eastAsia="Arial" w:hAnsi="Arial" w:cs="Arial"/>
                <w:bCs w:val="0"/>
                <w:sz w:val="18"/>
                <w:szCs w:val="18"/>
              </w:rPr>
              <w:t>1</w:t>
            </w:r>
          </w:p>
        </w:tc>
        <w:tc>
          <w:tcPr>
            <w:tcW w:w="2757" w:type="dxa"/>
          </w:tcPr>
          <w:p w14:paraId="13741EF1" w14:textId="23C90C9D" w:rsidR="00256634" w:rsidRPr="007728E6" w:rsidRDefault="000F0709">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sidRPr="007728E6">
              <w:rPr>
                <w:rFonts w:ascii="Arial" w:eastAsia="Arial" w:hAnsi="Arial" w:cs="Arial"/>
                <w:b/>
                <w:sz w:val="18"/>
                <w:szCs w:val="18"/>
              </w:rPr>
              <w:t xml:space="preserve">Instrumental de actuaciones  </w:t>
            </w:r>
          </w:p>
        </w:tc>
        <w:tc>
          <w:tcPr>
            <w:tcW w:w="6378" w:type="dxa"/>
          </w:tcPr>
          <w:p w14:paraId="68D3B06E" w14:textId="77777777" w:rsidR="00256634" w:rsidRDefault="000F0709">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256634" w14:paraId="2E608AB8" w14:textId="77777777" w:rsidTr="007728E6">
        <w:trPr>
          <w:trHeight w:val="418"/>
        </w:trPr>
        <w:tc>
          <w:tcPr>
            <w:cnfStyle w:val="001000000000" w:firstRow="0" w:lastRow="0" w:firstColumn="1" w:lastColumn="0" w:oddVBand="0" w:evenVBand="0" w:oddHBand="0" w:evenHBand="0" w:firstRowFirstColumn="0" w:firstRowLastColumn="0" w:lastRowFirstColumn="0" w:lastRowLastColumn="0"/>
            <w:tcW w:w="499" w:type="dxa"/>
          </w:tcPr>
          <w:p w14:paraId="3B3405FE" w14:textId="77777777" w:rsidR="00256634" w:rsidRPr="007728E6" w:rsidRDefault="000F0709">
            <w:pPr>
              <w:jc w:val="center"/>
              <w:rPr>
                <w:rFonts w:ascii="Arial" w:eastAsia="Arial" w:hAnsi="Arial" w:cs="Arial"/>
                <w:bCs w:val="0"/>
                <w:sz w:val="18"/>
                <w:szCs w:val="18"/>
              </w:rPr>
            </w:pPr>
            <w:r w:rsidRPr="007728E6">
              <w:rPr>
                <w:rFonts w:ascii="Arial" w:eastAsia="Arial" w:hAnsi="Arial" w:cs="Arial"/>
                <w:bCs w:val="0"/>
                <w:sz w:val="18"/>
                <w:szCs w:val="18"/>
              </w:rPr>
              <w:t>2</w:t>
            </w:r>
          </w:p>
        </w:tc>
        <w:tc>
          <w:tcPr>
            <w:tcW w:w="2757" w:type="dxa"/>
          </w:tcPr>
          <w:p w14:paraId="55D6B4E4" w14:textId="77777777" w:rsidR="00256634" w:rsidRPr="007728E6" w:rsidRDefault="000F0709">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sidRPr="007728E6">
              <w:rPr>
                <w:rFonts w:ascii="Arial" w:eastAsia="Arial" w:hAnsi="Arial" w:cs="Arial"/>
                <w:b/>
                <w:sz w:val="18"/>
                <w:szCs w:val="18"/>
              </w:rPr>
              <w:t>Presuncional legal y humana</w:t>
            </w:r>
          </w:p>
        </w:tc>
        <w:tc>
          <w:tcPr>
            <w:tcW w:w="6378" w:type="dxa"/>
          </w:tcPr>
          <w:p w14:paraId="28E683F1" w14:textId="77777777" w:rsidR="00256634" w:rsidRDefault="000F0709">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48B68A56" w14:textId="77777777" w:rsidR="00256634" w:rsidRDefault="00256634">
      <w:pPr>
        <w:tabs>
          <w:tab w:val="left" w:pos="567"/>
        </w:tabs>
        <w:spacing w:line="360" w:lineRule="auto"/>
        <w:jc w:val="both"/>
        <w:rPr>
          <w:rFonts w:ascii="Arial" w:eastAsia="Arial" w:hAnsi="Arial" w:cs="Arial"/>
          <w:b/>
        </w:rPr>
      </w:pPr>
    </w:p>
    <w:p w14:paraId="1DE5E8C0" w14:textId="77777777" w:rsidR="00256634" w:rsidRDefault="000F0709">
      <w:pPr>
        <w:pBdr>
          <w:top w:val="nil"/>
          <w:left w:val="nil"/>
          <w:bottom w:val="nil"/>
          <w:right w:val="nil"/>
          <w:between w:val="nil"/>
        </w:pBdr>
        <w:tabs>
          <w:tab w:val="left" w:pos="567"/>
        </w:tabs>
        <w:spacing w:line="360" w:lineRule="auto"/>
        <w:jc w:val="both"/>
        <w:rPr>
          <w:color w:val="000000"/>
        </w:rPr>
      </w:pPr>
      <w:r>
        <w:rPr>
          <w:rFonts w:ascii="Arial" w:eastAsia="Arial" w:hAnsi="Arial" w:cs="Arial"/>
          <w:b/>
          <w:color w:val="000000"/>
          <w:sz w:val="24"/>
          <w:szCs w:val="24"/>
        </w:rPr>
        <w:t xml:space="preserve">3.3. Valoración de pruebas. </w:t>
      </w:r>
      <w:r>
        <w:rPr>
          <w:rFonts w:ascii="Arial" w:eastAsia="Arial" w:hAnsi="Arial" w:cs="Arial"/>
          <w:color w:val="000000"/>
          <w:sz w:val="24"/>
          <w:szCs w:val="24"/>
        </w:rPr>
        <w:t xml:space="preserve">Las pruebas antes descritas, se valoran </w:t>
      </w:r>
      <w:r>
        <w:rPr>
          <w:rFonts w:ascii="Arial" w:eastAsia="Arial" w:hAnsi="Arial" w:cs="Arial"/>
          <w:sz w:val="24"/>
          <w:szCs w:val="24"/>
        </w:rPr>
        <w:t>conforme al</w:t>
      </w:r>
      <w:r>
        <w:rPr>
          <w:rFonts w:ascii="Arial" w:eastAsia="Arial" w:hAnsi="Arial" w:cs="Arial"/>
          <w:color w:val="000000"/>
          <w:sz w:val="24"/>
          <w:szCs w:val="24"/>
        </w:rPr>
        <w:t xml:space="preserve">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7"/>
      </w:r>
    </w:p>
    <w:p w14:paraId="181EC99F" w14:textId="77777777" w:rsidR="00256634" w:rsidRDefault="00256634">
      <w:pPr>
        <w:pBdr>
          <w:top w:val="nil"/>
          <w:left w:val="nil"/>
          <w:bottom w:val="nil"/>
          <w:right w:val="nil"/>
          <w:between w:val="nil"/>
        </w:pBdr>
        <w:rPr>
          <w:color w:val="000000"/>
        </w:rPr>
      </w:pPr>
    </w:p>
    <w:p w14:paraId="70299141" w14:textId="77777777" w:rsidR="00256634" w:rsidRDefault="000F0709">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4.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05B6692C" w14:textId="77777777" w:rsidR="00256634" w:rsidRDefault="00256634">
      <w:pPr>
        <w:pBdr>
          <w:top w:val="nil"/>
          <w:left w:val="nil"/>
          <w:bottom w:val="nil"/>
          <w:right w:val="nil"/>
          <w:between w:val="nil"/>
        </w:pBdr>
        <w:tabs>
          <w:tab w:val="left" w:pos="426"/>
        </w:tabs>
        <w:spacing w:line="360" w:lineRule="auto"/>
        <w:ind w:right="36"/>
        <w:jc w:val="both"/>
        <w:rPr>
          <w:rFonts w:ascii="Arial" w:eastAsia="Arial" w:hAnsi="Arial" w:cs="Arial"/>
          <w:color w:val="000000"/>
          <w:sz w:val="6"/>
          <w:szCs w:val="6"/>
        </w:rPr>
      </w:pPr>
    </w:p>
    <w:p w14:paraId="41ED6885" w14:textId="3695FCE2" w:rsidR="00256634" w:rsidRPr="008E064A" w:rsidRDefault="000F0709">
      <w:pPr>
        <w:numPr>
          <w:ilvl w:val="0"/>
          <w:numId w:val="4"/>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color w:val="000000"/>
          <w:sz w:val="24"/>
          <w:szCs w:val="24"/>
        </w:rPr>
        <w:t>La calidad de</w:t>
      </w:r>
      <w:r w:rsidR="00BD45A3">
        <w:rPr>
          <w:rFonts w:ascii="Arial" w:eastAsia="Arial" w:hAnsi="Arial" w:cs="Arial"/>
          <w:color w:val="000000"/>
          <w:sz w:val="24"/>
          <w:szCs w:val="24"/>
        </w:rPr>
        <w:t>l ciudadano</w:t>
      </w:r>
      <w:r>
        <w:rPr>
          <w:rFonts w:ascii="Arial" w:eastAsia="Arial" w:hAnsi="Arial" w:cs="Arial"/>
          <w:sz w:val="24"/>
          <w:szCs w:val="24"/>
        </w:rPr>
        <w:t xml:space="preserve"> Israel Ángel Ramírez, como representante suplente del PAN </w:t>
      </w:r>
      <w:r w:rsidR="007728E6">
        <w:rPr>
          <w:rFonts w:ascii="Arial" w:eastAsia="Arial" w:hAnsi="Arial" w:cs="Arial"/>
          <w:sz w:val="24"/>
          <w:szCs w:val="24"/>
        </w:rPr>
        <w:t xml:space="preserve">y de la coalición “Va por Aguascalientes” </w:t>
      </w:r>
      <w:r>
        <w:rPr>
          <w:rFonts w:ascii="Arial" w:eastAsia="Arial" w:hAnsi="Arial" w:cs="Arial"/>
          <w:sz w:val="24"/>
          <w:szCs w:val="24"/>
        </w:rPr>
        <w:t xml:space="preserve">ante el Consejo General. </w:t>
      </w:r>
    </w:p>
    <w:p w14:paraId="01C1243C" w14:textId="0F8318AD" w:rsidR="008E064A" w:rsidRPr="008E064A" w:rsidRDefault="008E064A" w:rsidP="008E064A">
      <w:pPr>
        <w:numPr>
          <w:ilvl w:val="0"/>
          <w:numId w:val="4"/>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color w:val="000000"/>
          <w:sz w:val="24"/>
          <w:szCs w:val="24"/>
        </w:rPr>
        <w:t>La calidad de</w:t>
      </w:r>
      <w:r w:rsidR="00BD45A3">
        <w:rPr>
          <w:rFonts w:ascii="Arial" w:eastAsia="Arial" w:hAnsi="Arial" w:cs="Arial"/>
          <w:sz w:val="24"/>
          <w:szCs w:val="24"/>
        </w:rPr>
        <w:t>l ciudadano **</w:t>
      </w:r>
      <w:r>
        <w:rPr>
          <w:rFonts w:ascii="Arial" w:eastAsia="Arial" w:hAnsi="Arial" w:cs="Arial"/>
          <w:sz w:val="24"/>
          <w:szCs w:val="24"/>
        </w:rPr>
        <w:t>, como representante suplente del P</w:t>
      </w:r>
      <w:r w:rsidR="00BD45A3">
        <w:rPr>
          <w:rFonts w:ascii="Arial" w:eastAsia="Arial" w:hAnsi="Arial" w:cs="Arial"/>
          <w:sz w:val="24"/>
          <w:szCs w:val="24"/>
        </w:rPr>
        <w:t>RI</w:t>
      </w:r>
      <w:r>
        <w:rPr>
          <w:rFonts w:ascii="Arial" w:eastAsia="Arial" w:hAnsi="Arial" w:cs="Arial"/>
          <w:sz w:val="24"/>
          <w:szCs w:val="24"/>
        </w:rPr>
        <w:t xml:space="preserve"> ante el Consejo General. </w:t>
      </w:r>
    </w:p>
    <w:p w14:paraId="4BCF7E3F" w14:textId="160DC74D" w:rsidR="00256634" w:rsidRDefault="000F0709">
      <w:pPr>
        <w:numPr>
          <w:ilvl w:val="0"/>
          <w:numId w:val="4"/>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sz w:val="24"/>
          <w:szCs w:val="24"/>
        </w:rPr>
        <w:t xml:space="preserve">La calidad de Nora Ruvalcaba Gámez, como candidata de </w:t>
      </w:r>
      <w:r w:rsidR="002667C7">
        <w:rPr>
          <w:rFonts w:ascii="Arial" w:eastAsia="Arial" w:hAnsi="Arial" w:cs="Arial"/>
          <w:sz w:val="24"/>
          <w:szCs w:val="24"/>
        </w:rPr>
        <w:t>Morena</w:t>
      </w:r>
      <w:r>
        <w:rPr>
          <w:rFonts w:ascii="Arial" w:eastAsia="Arial" w:hAnsi="Arial" w:cs="Arial"/>
          <w:sz w:val="24"/>
          <w:szCs w:val="24"/>
        </w:rPr>
        <w:t xml:space="preserve"> a la gubernatura del estado para el actual proceso electoral.</w:t>
      </w:r>
    </w:p>
    <w:p w14:paraId="722B1F1C" w14:textId="7FD2A534" w:rsidR="00256634" w:rsidRDefault="000F0709">
      <w:pPr>
        <w:numPr>
          <w:ilvl w:val="0"/>
          <w:numId w:val="4"/>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color w:val="000000"/>
          <w:sz w:val="24"/>
          <w:szCs w:val="24"/>
        </w:rPr>
        <w:t>La existencia del video y, por tanto, del mensaje denunciado</w:t>
      </w:r>
      <w:r w:rsidR="008E064A">
        <w:rPr>
          <w:rFonts w:ascii="Arial" w:eastAsia="Arial" w:hAnsi="Arial" w:cs="Arial"/>
          <w:color w:val="000000"/>
          <w:sz w:val="24"/>
          <w:szCs w:val="24"/>
        </w:rPr>
        <w:t xml:space="preserve"> que se </w:t>
      </w:r>
      <w:r>
        <w:rPr>
          <w:rFonts w:ascii="Arial" w:eastAsia="Arial" w:hAnsi="Arial" w:cs="Arial"/>
          <w:color w:val="000000"/>
          <w:sz w:val="24"/>
          <w:szCs w:val="24"/>
        </w:rPr>
        <w:t>difund</w:t>
      </w:r>
      <w:r w:rsidR="008E064A">
        <w:rPr>
          <w:rFonts w:ascii="Arial" w:eastAsia="Arial" w:hAnsi="Arial" w:cs="Arial"/>
          <w:color w:val="000000"/>
          <w:sz w:val="24"/>
          <w:szCs w:val="24"/>
        </w:rPr>
        <w:t>ió</w:t>
      </w:r>
      <w:r>
        <w:rPr>
          <w:rFonts w:ascii="Arial" w:eastAsia="Arial" w:hAnsi="Arial" w:cs="Arial"/>
          <w:color w:val="000000"/>
          <w:sz w:val="24"/>
          <w:szCs w:val="24"/>
        </w:rPr>
        <w:t xml:space="preserve"> a través de los perfiles de Facebook e Instagram, así como en el canal de </w:t>
      </w:r>
      <w:proofErr w:type="spellStart"/>
      <w:r>
        <w:rPr>
          <w:rFonts w:ascii="Arial" w:eastAsia="Arial" w:hAnsi="Arial" w:cs="Arial"/>
          <w:color w:val="000000"/>
          <w:sz w:val="24"/>
          <w:szCs w:val="24"/>
        </w:rPr>
        <w:t>Youtube</w:t>
      </w:r>
      <w:proofErr w:type="spellEnd"/>
      <w:r>
        <w:rPr>
          <w:rFonts w:ascii="Arial" w:eastAsia="Arial" w:hAnsi="Arial" w:cs="Arial"/>
          <w:color w:val="000000"/>
          <w:sz w:val="24"/>
          <w:szCs w:val="24"/>
        </w:rPr>
        <w:t xml:space="preserve"> de la candidata cuestionada. </w:t>
      </w:r>
    </w:p>
    <w:p w14:paraId="7B556869" w14:textId="77777777" w:rsidR="00256634" w:rsidRDefault="00256634" w:rsidP="00091183">
      <w:pPr>
        <w:pStyle w:val="Sinespaciado"/>
      </w:pPr>
    </w:p>
    <w:p w14:paraId="16936C13" w14:textId="77777777" w:rsidR="00256634" w:rsidRDefault="000F0709">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VI. Análisis de fondo</w:t>
      </w:r>
    </w:p>
    <w:p w14:paraId="30A5C5FB" w14:textId="77777777" w:rsidR="00256634" w:rsidRDefault="00256634">
      <w:pPr>
        <w:pBdr>
          <w:top w:val="nil"/>
          <w:left w:val="nil"/>
          <w:bottom w:val="nil"/>
          <w:right w:val="nil"/>
          <w:between w:val="nil"/>
        </w:pBdr>
        <w:rPr>
          <w:color w:val="000000"/>
          <w:sz w:val="14"/>
          <w:szCs w:val="14"/>
        </w:rPr>
      </w:pPr>
    </w:p>
    <w:p w14:paraId="62A9070C" w14:textId="77777777" w:rsidR="00256634" w:rsidRDefault="000F0709">
      <w:pPr>
        <w:numPr>
          <w:ilvl w:val="0"/>
          <w:numId w:val="1"/>
        </w:numPr>
        <w:pBdr>
          <w:top w:val="nil"/>
          <w:left w:val="nil"/>
          <w:bottom w:val="nil"/>
          <w:right w:val="nil"/>
          <w:between w:val="nil"/>
        </w:pBdr>
        <w:tabs>
          <w:tab w:val="left" w:pos="426"/>
        </w:tabs>
        <w:spacing w:line="360"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09804189" w14:textId="77777777" w:rsidR="00256634" w:rsidRDefault="00256634">
      <w:pPr>
        <w:pBdr>
          <w:top w:val="nil"/>
          <w:left w:val="nil"/>
          <w:bottom w:val="nil"/>
          <w:right w:val="nil"/>
          <w:between w:val="nil"/>
        </w:pBdr>
        <w:rPr>
          <w:color w:val="000000"/>
          <w:sz w:val="14"/>
          <w:szCs w:val="14"/>
        </w:rPr>
      </w:pPr>
    </w:p>
    <w:p w14:paraId="185EE702" w14:textId="1CA1C31E" w:rsidR="00256634" w:rsidRDefault="000F0709">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sz w:val="24"/>
          <w:szCs w:val="24"/>
        </w:rPr>
        <w:t xml:space="preserve"> ¿Si el contenido del video denunciado, actualiza la infracción de </w:t>
      </w:r>
      <w:r>
        <w:rPr>
          <w:rFonts w:ascii="Arial" w:eastAsia="Arial" w:hAnsi="Arial" w:cs="Arial"/>
          <w:b/>
          <w:sz w:val="24"/>
          <w:szCs w:val="24"/>
        </w:rPr>
        <w:t>calumnia</w:t>
      </w:r>
      <w:r>
        <w:rPr>
          <w:rFonts w:ascii="Arial" w:eastAsia="Arial" w:hAnsi="Arial" w:cs="Arial"/>
          <w:sz w:val="24"/>
          <w:szCs w:val="24"/>
        </w:rPr>
        <w:t xml:space="preserve"> a partir de </w:t>
      </w:r>
      <w:r w:rsidR="00BD45A3">
        <w:rPr>
          <w:rFonts w:ascii="Arial" w:eastAsia="Arial" w:hAnsi="Arial" w:cs="Arial"/>
          <w:sz w:val="24"/>
          <w:szCs w:val="24"/>
        </w:rPr>
        <w:t xml:space="preserve">una </w:t>
      </w:r>
      <w:r>
        <w:rPr>
          <w:rFonts w:ascii="Arial" w:eastAsia="Arial" w:hAnsi="Arial" w:cs="Arial"/>
          <w:sz w:val="24"/>
          <w:szCs w:val="24"/>
        </w:rPr>
        <w:t xml:space="preserve">imputación falsa de un delito, </w:t>
      </w:r>
      <w:r w:rsidR="00BD45A3">
        <w:rPr>
          <w:rFonts w:ascii="Arial" w:eastAsia="Arial" w:hAnsi="Arial" w:cs="Arial"/>
          <w:sz w:val="24"/>
          <w:szCs w:val="24"/>
        </w:rPr>
        <w:t>cometida en perjuicio de los partidos políticos PAN y PRI</w:t>
      </w:r>
      <w:r>
        <w:rPr>
          <w:rFonts w:ascii="Arial" w:eastAsia="Arial" w:hAnsi="Arial" w:cs="Arial"/>
          <w:sz w:val="24"/>
          <w:szCs w:val="24"/>
        </w:rPr>
        <w:t>?</w:t>
      </w:r>
    </w:p>
    <w:p w14:paraId="0BD10116" w14:textId="77777777" w:rsidR="00256634" w:rsidRDefault="00256634">
      <w:pPr>
        <w:pBdr>
          <w:top w:val="nil"/>
          <w:left w:val="nil"/>
          <w:bottom w:val="nil"/>
          <w:right w:val="nil"/>
          <w:between w:val="nil"/>
        </w:pBdr>
        <w:rPr>
          <w:color w:val="000000"/>
          <w:sz w:val="14"/>
          <w:szCs w:val="14"/>
        </w:rPr>
      </w:pPr>
    </w:p>
    <w:p w14:paraId="64D6217E" w14:textId="77777777" w:rsidR="00BD45A3" w:rsidRDefault="000F0709">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u w:val="single"/>
        </w:rPr>
        <w:t>Aparatado I.</w:t>
      </w:r>
      <w:r>
        <w:rPr>
          <w:rFonts w:ascii="Arial" w:eastAsia="Arial" w:hAnsi="Arial" w:cs="Arial"/>
          <w:b/>
          <w:sz w:val="24"/>
          <w:szCs w:val="24"/>
        </w:rPr>
        <w:t xml:space="preserve"> Decisión. </w:t>
      </w:r>
    </w:p>
    <w:p w14:paraId="0CF5B031" w14:textId="77777777" w:rsidR="00BD45A3" w:rsidRDefault="00BD45A3" w:rsidP="00B37ECD">
      <w:pPr>
        <w:pStyle w:val="Sinespaciado"/>
        <w:rPr>
          <w:rFonts w:eastAsia="Arial"/>
        </w:rPr>
      </w:pPr>
    </w:p>
    <w:p w14:paraId="6C2355CC" w14:textId="17BD5763" w:rsidR="00256634" w:rsidRDefault="000F0709">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lastRenderedPageBreak/>
        <w:t>Este Tribunal Electoral</w:t>
      </w:r>
      <w:r>
        <w:rPr>
          <w:rFonts w:ascii="Arial" w:eastAsia="Arial" w:hAnsi="Arial" w:cs="Arial"/>
          <w:b/>
          <w:sz w:val="24"/>
          <w:szCs w:val="24"/>
        </w:rPr>
        <w:t xml:space="preserve"> </w:t>
      </w:r>
      <w:r>
        <w:rPr>
          <w:rFonts w:ascii="Arial" w:eastAsia="Arial" w:hAnsi="Arial" w:cs="Arial"/>
          <w:sz w:val="24"/>
          <w:szCs w:val="24"/>
        </w:rPr>
        <w:t xml:space="preserve">estima que debe declararse la </w:t>
      </w:r>
      <w:r>
        <w:rPr>
          <w:rFonts w:ascii="Arial" w:eastAsia="Arial" w:hAnsi="Arial" w:cs="Arial"/>
          <w:b/>
          <w:sz w:val="24"/>
          <w:szCs w:val="24"/>
        </w:rPr>
        <w:t xml:space="preserve">existencia </w:t>
      </w:r>
      <w:r>
        <w:rPr>
          <w:rFonts w:ascii="Arial" w:eastAsia="Arial" w:hAnsi="Arial" w:cs="Arial"/>
          <w:sz w:val="24"/>
          <w:szCs w:val="24"/>
        </w:rPr>
        <w:t>de la infracción de calumnia en perjuicio de los institutos políticos Partido Revolucionario Institucional y Partido Acción Nacional, atribuida a la ciudadana Nora Ruvalcaba Gámez, candidata a la gubernatura del estado por el partido Morena</w:t>
      </w:r>
      <w:r w:rsidR="00BD45A3">
        <w:rPr>
          <w:rFonts w:ascii="Arial" w:eastAsia="Arial" w:hAnsi="Arial" w:cs="Arial"/>
          <w:sz w:val="24"/>
          <w:szCs w:val="24"/>
        </w:rPr>
        <w:t>,</w:t>
      </w:r>
      <w:r>
        <w:rPr>
          <w:rFonts w:ascii="Arial" w:eastAsia="Arial" w:hAnsi="Arial" w:cs="Arial"/>
          <w:sz w:val="24"/>
          <w:szCs w:val="24"/>
        </w:rPr>
        <w:t xml:space="preserve"> derivado de la difusión de un video a través de sus redes sociales, mismo que contiene expresiones calumniosas</w:t>
      </w:r>
      <w:r w:rsidR="00661E36" w:rsidRPr="00661E36">
        <w:rPr>
          <w:rFonts w:ascii="Arial" w:eastAsia="Arial" w:hAnsi="Arial" w:cs="Arial"/>
          <w:sz w:val="24"/>
          <w:szCs w:val="24"/>
        </w:rPr>
        <w:t xml:space="preserve">; y, en consecuencia, se acredita la </w:t>
      </w:r>
      <w:r w:rsidR="00661E36" w:rsidRPr="00661E36">
        <w:rPr>
          <w:rFonts w:ascii="Arial" w:eastAsia="Arial" w:hAnsi="Arial" w:cs="Arial"/>
          <w:b/>
          <w:bCs/>
          <w:sz w:val="24"/>
          <w:szCs w:val="24"/>
        </w:rPr>
        <w:t>existencia</w:t>
      </w:r>
      <w:r w:rsidR="00661E36" w:rsidRPr="00661E36">
        <w:rPr>
          <w:rFonts w:ascii="Arial" w:eastAsia="Arial" w:hAnsi="Arial" w:cs="Arial"/>
          <w:sz w:val="24"/>
          <w:szCs w:val="24"/>
        </w:rPr>
        <w:t xml:space="preserve"> de la infracción de </w:t>
      </w:r>
      <w:r w:rsidR="00661E36" w:rsidRPr="00661E36">
        <w:rPr>
          <w:rFonts w:ascii="Arial" w:eastAsia="Arial" w:hAnsi="Arial" w:cs="Arial"/>
          <w:i/>
          <w:iCs/>
          <w:sz w:val="24"/>
          <w:szCs w:val="24"/>
        </w:rPr>
        <w:t>culpa in vigilando</w:t>
      </w:r>
      <w:r w:rsidR="00661E36" w:rsidRPr="00661E36">
        <w:rPr>
          <w:rFonts w:ascii="Arial" w:eastAsia="Arial" w:hAnsi="Arial" w:cs="Arial"/>
          <w:sz w:val="24"/>
          <w:szCs w:val="24"/>
        </w:rPr>
        <w:t xml:space="preserve"> atribuida al partido político Morena.</w:t>
      </w:r>
    </w:p>
    <w:p w14:paraId="21C3E1D3" w14:textId="77777777" w:rsidR="00274769" w:rsidRDefault="00274769">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p>
    <w:p w14:paraId="229F64C7" w14:textId="74FFA031" w:rsidR="00256634" w:rsidRDefault="000F0709">
      <w:pPr>
        <w:spacing w:before="240" w:after="240" w:line="360" w:lineRule="auto"/>
        <w:jc w:val="both"/>
        <w:rPr>
          <w:color w:val="000000"/>
        </w:rPr>
      </w:pPr>
      <w:r>
        <w:rPr>
          <w:rFonts w:ascii="Arial" w:eastAsia="Arial" w:hAnsi="Arial" w:cs="Arial"/>
          <w:sz w:val="24"/>
          <w:szCs w:val="24"/>
        </w:rPr>
        <w:t xml:space="preserve">Ello, porque </w:t>
      </w:r>
      <w:r>
        <w:rPr>
          <w:rFonts w:ascii="Arial" w:eastAsia="Arial" w:hAnsi="Arial" w:cs="Arial"/>
          <w:b/>
          <w:sz w:val="24"/>
          <w:szCs w:val="24"/>
        </w:rPr>
        <w:t>este órgano jurisdiccional considera</w:t>
      </w:r>
      <w:r>
        <w:rPr>
          <w:rFonts w:ascii="Arial" w:eastAsia="Arial" w:hAnsi="Arial" w:cs="Arial"/>
          <w:sz w:val="24"/>
          <w:szCs w:val="24"/>
        </w:rPr>
        <w:t xml:space="preserve"> </w:t>
      </w:r>
      <w:proofErr w:type="gramStart"/>
      <w:r>
        <w:rPr>
          <w:rFonts w:ascii="Arial" w:eastAsia="Arial" w:hAnsi="Arial" w:cs="Arial"/>
          <w:sz w:val="24"/>
          <w:szCs w:val="24"/>
        </w:rPr>
        <w:t>que</w:t>
      </w:r>
      <w:proofErr w:type="gramEnd"/>
      <w:r>
        <w:rPr>
          <w:rFonts w:ascii="Arial" w:eastAsia="Arial" w:hAnsi="Arial" w:cs="Arial"/>
          <w:sz w:val="24"/>
          <w:szCs w:val="24"/>
        </w:rPr>
        <w:t xml:space="preserve"> del análisis del video denunciado, se advierte que la candidata cuestionada</w:t>
      </w:r>
      <w:r w:rsidR="00BD45A3">
        <w:rPr>
          <w:rFonts w:ascii="Arial" w:eastAsia="Arial" w:hAnsi="Arial" w:cs="Arial"/>
          <w:sz w:val="24"/>
          <w:szCs w:val="24"/>
        </w:rPr>
        <w:t xml:space="preserve"> le</w:t>
      </w:r>
      <w:r>
        <w:rPr>
          <w:rFonts w:ascii="Arial" w:eastAsia="Arial" w:hAnsi="Arial" w:cs="Arial"/>
          <w:sz w:val="24"/>
          <w:szCs w:val="24"/>
        </w:rPr>
        <w:t xml:space="preserve"> atribuyó de manera directa a los partidos denunciantes la comisión del delito de robo, sin que de las constancias que existen en el expediente se advierta prueba alguna que sustente su dicho. Lo anterior, con el propósito de provocar un daño a su reputación, en relación con su imagen frente al electorado.</w:t>
      </w:r>
    </w:p>
    <w:p w14:paraId="57E9EEE6" w14:textId="77777777" w:rsidR="00256634" w:rsidRDefault="000F0709">
      <w:pPr>
        <w:spacing w:line="360" w:lineRule="auto"/>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447EC7C5" w14:textId="77777777" w:rsidR="00256634" w:rsidRDefault="00256634">
      <w:pPr>
        <w:pBdr>
          <w:top w:val="nil"/>
          <w:left w:val="nil"/>
          <w:bottom w:val="nil"/>
          <w:right w:val="nil"/>
          <w:between w:val="nil"/>
        </w:pBdr>
        <w:rPr>
          <w:color w:val="000000"/>
        </w:rPr>
      </w:pPr>
    </w:p>
    <w:p w14:paraId="4EC29EB7" w14:textId="732B12C5" w:rsidR="00256634" w:rsidRDefault="000F0709">
      <w:pPr>
        <w:spacing w:line="360" w:lineRule="auto"/>
        <w:jc w:val="both"/>
        <w:rPr>
          <w:rFonts w:ascii="Arial" w:eastAsia="Arial" w:hAnsi="Arial" w:cs="Arial"/>
          <w:b/>
          <w:sz w:val="24"/>
          <w:szCs w:val="24"/>
        </w:rPr>
      </w:pPr>
      <w:r>
        <w:rPr>
          <w:rFonts w:ascii="Arial" w:eastAsia="Arial" w:hAnsi="Arial" w:cs="Arial"/>
          <w:b/>
          <w:sz w:val="24"/>
          <w:szCs w:val="24"/>
        </w:rPr>
        <w:t xml:space="preserve">1. Marco normativo </w:t>
      </w:r>
    </w:p>
    <w:p w14:paraId="567C044E" w14:textId="77777777" w:rsidR="00091183" w:rsidRDefault="00091183" w:rsidP="00091183">
      <w:pPr>
        <w:pStyle w:val="Sinespaciado"/>
        <w:rPr>
          <w:rFonts w:eastAsia="Arial"/>
        </w:rPr>
      </w:pPr>
    </w:p>
    <w:p w14:paraId="1B4FBDA1" w14:textId="40ECB8FF" w:rsidR="00256634" w:rsidRPr="00091183" w:rsidRDefault="000F0709" w:rsidP="00091183">
      <w:pPr>
        <w:pStyle w:val="Prrafodelista"/>
        <w:numPr>
          <w:ilvl w:val="1"/>
          <w:numId w:val="5"/>
        </w:numPr>
        <w:spacing w:line="360" w:lineRule="auto"/>
        <w:ind w:left="567" w:hanging="567"/>
        <w:jc w:val="both"/>
        <w:rPr>
          <w:rFonts w:ascii="Arial" w:eastAsia="Arial" w:hAnsi="Arial" w:cs="Arial"/>
          <w:b/>
          <w:sz w:val="24"/>
          <w:szCs w:val="24"/>
        </w:rPr>
      </w:pPr>
      <w:r w:rsidRPr="00091183">
        <w:rPr>
          <w:rFonts w:ascii="Arial" w:eastAsia="Arial" w:hAnsi="Arial" w:cs="Arial"/>
          <w:b/>
          <w:sz w:val="24"/>
          <w:szCs w:val="24"/>
        </w:rPr>
        <w:t>Marco normativo de calumnia.</w:t>
      </w:r>
    </w:p>
    <w:p w14:paraId="50212135" w14:textId="77777777" w:rsidR="00091183" w:rsidRDefault="00091183" w:rsidP="00091183">
      <w:pPr>
        <w:pStyle w:val="Sinespaciado"/>
        <w:rPr>
          <w:rFonts w:eastAsia="Arial"/>
        </w:rPr>
      </w:pPr>
    </w:p>
    <w:p w14:paraId="5D2A9996" w14:textId="777A1DAD" w:rsidR="00256634" w:rsidRDefault="000F0709">
      <w:pPr>
        <w:spacing w:line="360" w:lineRule="auto"/>
        <w:jc w:val="both"/>
      </w:pPr>
      <w:r w:rsidRPr="00B46FE6">
        <w:rPr>
          <w:rFonts w:ascii="Arial" w:eastAsia="Arial" w:hAnsi="Arial" w:cs="Arial"/>
          <w:sz w:val="24"/>
          <w:szCs w:val="24"/>
        </w:rPr>
        <w:t>El artículo 6</w:t>
      </w:r>
      <w:r w:rsidR="00B37ECD" w:rsidRPr="00B46FE6">
        <w:rPr>
          <w:rFonts w:ascii="Arial" w:eastAsia="Arial" w:hAnsi="Arial" w:cs="Arial"/>
          <w:sz w:val="24"/>
          <w:szCs w:val="24"/>
        </w:rPr>
        <w:t>°</w:t>
      </w:r>
      <w:r w:rsidRPr="00B46FE6">
        <w:rPr>
          <w:rFonts w:ascii="Arial" w:eastAsia="Arial" w:hAnsi="Arial" w:cs="Arial"/>
          <w:sz w:val="24"/>
          <w:szCs w:val="24"/>
        </w:rPr>
        <w:t>,</w:t>
      </w:r>
      <w:r>
        <w:rPr>
          <w:rFonts w:ascii="Arial" w:eastAsia="Arial" w:hAnsi="Arial" w:cs="Arial"/>
          <w:sz w:val="24"/>
          <w:szCs w:val="24"/>
        </w:rPr>
        <w:t xml:space="preserve"> de la Constitución Federal</w:t>
      </w:r>
      <w:r>
        <w:rPr>
          <w:rFonts w:ascii="Arial" w:eastAsia="Arial" w:hAnsi="Arial" w:cs="Arial"/>
          <w:sz w:val="24"/>
          <w:szCs w:val="24"/>
          <w:vertAlign w:val="superscript"/>
        </w:rPr>
        <w:footnoteReference w:id="8"/>
      </w:r>
      <w:r>
        <w:rPr>
          <w:rFonts w:ascii="Arial" w:eastAsia="Arial" w:hAnsi="Arial" w:cs="Arial"/>
          <w:sz w:val="24"/>
          <w:szCs w:val="24"/>
        </w:rPr>
        <w:t xml:space="preserve"> establece que los supuestos en los cuales la libertad de expresión se encuentra limitada, son los siguientes: </w:t>
      </w:r>
      <w:r>
        <w:rPr>
          <w:rFonts w:ascii="Arial" w:eastAsia="Arial" w:hAnsi="Arial" w:cs="Arial"/>
          <w:b/>
          <w:i/>
          <w:sz w:val="24"/>
          <w:szCs w:val="24"/>
        </w:rPr>
        <w:t>a)</w:t>
      </w:r>
      <w:r>
        <w:rPr>
          <w:rFonts w:ascii="Arial" w:eastAsia="Arial" w:hAnsi="Arial" w:cs="Arial"/>
          <w:sz w:val="24"/>
          <w:szCs w:val="24"/>
        </w:rPr>
        <w:t xml:space="preserve"> cuando se ataque a la moral, a la vida privada y los derechos de terceros, </w:t>
      </w:r>
      <w:r>
        <w:rPr>
          <w:rFonts w:ascii="Arial" w:eastAsia="Arial" w:hAnsi="Arial" w:cs="Arial"/>
          <w:b/>
          <w:i/>
          <w:sz w:val="24"/>
          <w:szCs w:val="24"/>
        </w:rPr>
        <w:t>b)</w:t>
      </w:r>
      <w:r>
        <w:rPr>
          <w:rFonts w:ascii="Arial" w:eastAsia="Arial" w:hAnsi="Arial" w:cs="Arial"/>
          <w:sz w:val="24"/>
          <w:szCs w:val="24"/>
        </w:rPr>
        <w:t xml:space="preserve"> cuando se provoque algún delito y/o, </w:t>
      </w:r>
      <w:r>
        <w:rPr>
          <w:rFonts w:ascii="Arial" w:eastAsia="Arial" w:hAnsi="Arial" w:cs="Arial"/>
          <w:b/>
          <w:i/>
          <w:sz w:val="24"/>
          <w:szCs w:val="24"/>
        </w:rPr>
        <w:t>c)</w:t>
      </w:r>
      <w:r>
        <w:rPr>
          <w:rFonts w:ascii="Arial" w:eastAsia="Arial" w:hAnsi="Arial" w:cs="Arial"/>
          <w:sz w:val="24"/>
          <w:szCs w:val="24"/>
        </w:rPr>
        <w:t xml:space="preserve"> se perturbe el orden público.</w:t>
      </w:r>
    </w:p>
    <w:p w14:paraId="4652F000" w14:textId="77777777" w:rsidR="00256634" w:rsidRDefault="000F0709">
      <w:pPr>
        <w:spacing w:before="240" w:after="240" w:line="360" w:lineRule="auto"/>
        <w:jc w:val="both"/>
      </w:pPr>
      <w:r>
        <w:rPr>
          <w:rFonts w:ascii="Arial" w:eastAsia="Arial" w:hAnsi="Arial" w:cs="Arial"/>
          <w:sz w:val="24"/>
          <w:szCs w:val="24"/>
        </w:rPr>
        <w:t xml:space="preserve">De ahí que las limitaciones a la libertad de expresión tienen como finalidad: </w:t>
      </w:r>
      <w:r>
        <w:rPr>
          <w:rFonts w:ascii="Arial" w:eastAsia="Arial" w:hAnsi="Arial" w:cs="Arial"/>
          <w:b/>
          <w:i/>
          <w:sz w:val="24"/>
          <w:szCs w:val="24"/>
        </w:rPr>
        <w:t>i)</w:t>
      </w:r>
      <w:r>
        <w:rPr>
          <w:rFonts w:ascii="Arial" w:eastAsia="Arial" w:hAnsi="Arial" w:cs="Arial"/>
          <w:sz w:val="24"/>
          <w:szCs w:val="24"/>
        </w:rPr>
        <w:t xml:space="preserve"> el respeto a los derechos y reputación de los demás y,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la protección a la seguridad nacional y el orden público.</w:t>
      </w:r>
    </w:p>
    <w:p w14:paraId="76CE080A" w14:textId="77777777" w:rsidR="00256634" w:rsidRDefault="000F0709">
      <w:pPr>
        <w:spacing w:before="240" w:after="240" w:line="360" w:lineRule="auto"/>
        <w:jc w:val="both"/>
      </w:pPr>
      <w:r>
        <w:rPr>
          <w:rFonts w:ascii="Arial" w:eastAsia="Arial" w:hAnsi="Arial" w:cs="Arial"/>
          <w:sz w:val="24"/>
          <w:szCs w:val="24"/>
        </w:rPr>
        <w:t>A su vez, el artículo 41, Base II, apartado C</w:t>
      </w:r>
      <w:r>
        <w:rPr>
          <w:rFonts w:ascii="Arial" w:eastAsia="Arial" w:hAnsi="Arial" w:cs="Arial"/>
          <w:sz w:val="24"/>
          <w:szCs w:val="24"/>
          <w:vertAlign w:val="superscript"/>
        </w:rPr>
        <w:footnoteReference w:id="9"/>
      </w:r>
      <w:r>
        <w:rPr>
          <w:rFonts w:ascii="Arial" w:eastAsia="Arial" w:hAnsi="Arial" w:cs="Arial"/>
          <w:sz w:val="24"/>
          <w:szCs w:val="24"/>
        </w:rPr>
        <w:t xml:space="preserve"> del mismo ordenamiento, establece que los partidos políticos y candidatos deben abstenerse de difundir propaganda que calumnie a las personas o que cometan alguna infracción electoral.</w:t>
      </w:r>
    </w:p>
    <w:p w14:paraId="591751E1" w14:textId="0D949044" w:rsidR="00256634" w:rsidRDefault="000F0709">
      <w:pPr>
        <w:spacing w:before="240" w:after="240" w:line="360" w:lineRule="auto"/>
        <w:jc w:val="both"/>
      </w:pPr>
      <w:r>
        <w:rPr>
          <w:rFonts w:ascii="Arial" w:eastAsia="Arial" w:hAnsi="Arial" w:cs="Arial"/>
          <w:sz w:val="24"/>
          <w:szCs w:val="24"/>
        </w:rPr>
        <w:lastRenderedPageBreak/>
        <w:t xml:space="preserve">Por otro lado, el artículo 471, segundo párrafo, de la </w:t>
      </w:r>
      <w:r w:rsidRPr="00B46FE6">
        <w:rPr>
          <w:rFonts w:ascii="Arial" w:eastAsia="Arial" w:hAnsi="Arial" w:cs="Arial"/>
          <w:sz w:val="24"/>
          <w:szCs w:val="24"/>
        </w:rPr>
        <w:t>L</w:t>
      </w:r>
      <w:r w:rsidR="00B46FE6" w:rsidRPr="00B46FE6">
        <w:rPr>
          <w:rFonts w:ascii="Arial" w:eastAsia="Arial" w:hAnsi="Arial" w:cs="Arial"/>
          <w:sz w:val="24"/>
          <w:szCs w:val="24"/>
        </w:rPr>
        <w:t>E</w:t>
      </w:r>
      <w:r w:rsidRPr="00B46FE6">
        <w:rPr>
          <w:rFonts w:ascii="Arial" w:eastAsia="Arial" w:hAnsi="Arial" w:cs="Arial"/>
          <w:sz w:val="24"/>
          <w:szCs w:val="24"/>
        </w:rPr>
        <w:t>GIPE</w:t>
      </w:r>
      <w:r w:rsidRPr="00B46FE6">
        <w:rPr>
          <w:rFonts w:ascii="Arial" w:eastAsia="Arial" w:hAnsi="Arial" w:cs="Arial"/>
          <w:sz w:val="24"/>
          <w:szCs w:val="24"/>
          <w:vertAlign w:val="superscript"/>
        </w:rPr>
        <w:footnoteReference w:id="10"/>
      </w:r>
      <w:r w:rsidRPr="00B46FE6">
        <w:rPr>
          <w:rFonts w:ascii="Arial" w:eastAsia="Arial" w:hAnsi="Arial" w:cs="Arial"/>
          <w:sz w:val="24"/>
          <w:szCs w:val="24"/>
        </w:rPr>
        <w:t xml:space="preserve"> establece</w:t>
      </w:r>
      <w:r>
        <w:rPr>
          <w:rFonts w:ascii="Arial" w:eastAsia="Arial" w:hAnsi="Arial" w:cs="Arial"/>
          <w:sz w:val="24"/>
          <w:szCs w:val="24"/>
        </w:rPr>
        <w:t xml:space="preserve"> que </w:t>
      </w:r>
      <w:r>
        <w:rPr>
          <w:rFonts w:ascii="Arial" w:eastAsia="Arial" w:hAnsi="Arial" w:cs="Arial"/>
          <w:b/>
          <w:sz w:val="24"/>
          <w:szCs w:val="24"/>
        </w:rPr>
        <w:t>la calumnia es la imputación de hechos o delitos falsos por parte de partidos políticos</w:t>
      </w:r>
      <w:r>
        <w:rPr>
          <w:rFonts w:ascii="Arial" w:eastAsia="Arial" w:hAnsi="Arial" w:cs="Arial"/>
          <w:sz w:val="24"/>
          <w:szCs w:val="24"/>
        </w:rPr>
        <w:t xml:space="preserve"> </w:t>
      </w:r>
      <w:r>
        <w:rPr>
          <w:rFonts w:ascii="Arial" w:eastAsia="Arial" w:hAnsi="Arial" w:cs="Arial"/>
          <w:b/>
          <w:sz w:val="24"/>
          <w:szCs w:val="24"/>
        </w:rPr>
        <w:t>o candidatos</w:t>
      </w:r>
      <w:r>
        <w:rPr>
          <w:rFonts w:ascii="Arial" w:eastAsia="Arial" w:hAnsi="Arial" w:cs="Arial"/>
          <w:sz w:val="24"/>
          <w:szCs w:val="24"/>
        </w:rPr>
        <w:t>, con impacto en un proceso electoral.</w:t>
      </w:r>
    </w:p>
    <w:p w14:paraId="6EAD1474" w14:textId="7352A0E0" w:rsidR="00256634" w:rsidRDefault="000F0709">
      <w:pPr>
        <w:spacing w:before="240" w:after="240" w:line="360" w:lineRule="auto"/>
        <w:jc w:val="both"/>
      </w:pPr>
      <w:r>
        <w:rPr>
          <w:rFonts w:ascii="Arial" w:eastAsia="Arial" w:hAnsi="Arial" w:cs="Arial"/>
          <w:sz w:val="24"/>
          <w:szCs w:val="24"/>
        </w:rPr>
        <w:t xml:space="preserve">En tal sentido, </w:t>
      </w:r>
      <w:r w:rsidRPr="00B46FE6">
        <w:rPr>
          <w:rFonts w:ascii="Arial" w:eastAsia="Arial" w:hAnsi="Arial" w:cs="Arial"/>
          <w:sz w:val="24"/>
          <w:szCs w:val="24"/>
        </w:rPr>
        <w:t>la SCJN</w:t>
      </w:r>
      <w:r>
        <w:rPr>
          <w:rFonts w:ascii="Arial" w:eastAsia="Arial" w:hAnsi="Arial" w:cs="Arial"/>
          <w:sz w:val="24"/>
          <w:szCs w:val="24"/>
          <w:vertAlign w:val="superscript"/>
        </w:rPr>
        <w:footnoteReference w:id="11"/>
      </w:r>
      <w:r>
        <w:rPr>
          <w:rFonts w:ascii="Arial" w:eastAsia="Arial" w:hAnsi="Arial" w:cs="Arial"/>
          <w:sz w:val="24"/>
          <w:szCs w:val="24"/>
        </w:rPr>
        <w:t xml:space="preserve"> estableció que para poder acreditar la calumnia es necesario que se cumplan dos elementos, estos son: </w:t>
      </w:r>
      <w:r w:rsidR="009C0B6C" w:rsidRPr="009C0B6C">
        <w:rPr>
          <w:rFonts w:ascii="Arial" w:eastAsia="Arial" w:hAnsi="Arial" w:cs="Arial"/>
          <w:b/>
          <w:bCs/>
          <w:i/>
          <w:iCs/>
          <w:sz w:val="24"/>
          <w:szCs w:val="24"/>
        </w:rPr>
        <w:t>a)</w:t>
      </w:r>
      <w:r w:rsidR="009C0B6C" w:rsidRPr="009C0B6C">
        <w:rPr>
          <w:rFonts w:ascii="Arial" w:eastAsia="Arial" w:hAnsi="Arial" w:cs="Arial"/>
          <w:b/>
          <w:bCs/>
          <w:sz w:val="24"/>
          <w:szCs w:val="24"/>
        </w:rPr>
        <w:t xml:space="preserve"> personal</w:t>
      </w:r>
      <w:r w:rsidR="009C0B6C">
        <w:rPr>
          <w:rFonts w:ascii="Arial" w:eastAsia="Arial" w:hAnsi="Arial" w:cs="Arial"/>
          <w:sz w:val="24"/>
          <w:szCs w:val="24"/>
        </w:rPr>
        <w:t xml:space="preserve">, que implica valorar al sujeto que fue denunciado que, por lo general, solo pueden ser sancionados por calumnia electoral los partidos políticos, las coaliciones y las </w:t>
      </w:r>
      <w:r w:rsidR="009C0B6C" w:rsidRPr="009C0B6C">
        <w:rPr>
          <w:rFonts w:ascii="Arial" w:eastAsia="Arial" w:hAnsi="Arial" w:cs="Arial"/>
          <w:b/>
          <w:bCs/>
          <w:sz w:val="24"/>
          <w:szCs w:val="24"/>
        </w:rPr>
        <w:t>candidaturas</w:t>
      </w:r>
      <w:r w:rsidR="009C0B6C">
        <w:rPr>
          <w:rFonts w:ascii="Arial" w:eastAsia="Arial" w:hAnsi="Arial" w:cs="Arial"/>
          <w:sz w:val="24"/>
          <w:szCs w:val="24"/>
        </w:rPr>
        <w:t xml:space="preserve">, </w:t>
      </w:r>
      <w:r w:rsidR="009C0B6C">
        <w:rPr>
          <w:rFonts w:ascii="Arial" w:eastAsia="Arial" w:hAnsi="Arial" w:cs="Arial"/>
          <w:b/>
          <w:i/>
          <w:sz w:val="24"/>
          <w:szCs w:val="24"/>
        </w:rPr>
        <w:t>b</w:t>
      </w:r>
      <w:r>
        <w:rPr>
          <w:rFonts w:ascii="Arial" w:eastAsia="Arial" w:hAnsi="Arial" w:cs="Arial"/>
          <w:b/>
          <w:i/>
          <w:sz w:val="24"/>
          <w:szCs w:val="24"/>
        </w:rPr>
        <w:t>)</w:t>
      </w:r>
      <w:r>
        <w:rPr>
          <w:rFonts w:ascii="Arial" w:eastAsia="Arial" w:hAnsi="Arial" w:cs="Arial"/>
          <w:sz w:val="24"/>
          <w:szCs w:val="24"/>
        </w:rPr>
        <w:t xml:space="preserve"> el</w:t>
      </w:r>
      <w:r>
        <w:rPr>
          <w:rFonts w:ascii="Arial" w:eastAsia="Arial" w:hAnsi="Arial" w:cs="Arial"/>
          <w:b/>
          <w:sz w:val="24"/>
          <w:szCs w:val="24"/>
        </w:rPr>
        <w:t xml:space="preserve"> objetivo, </w:t>
      </w:r>
      <w:r>
        <w:rPr>
          <w:rFonts w:ascii="Arial" w:eastAsia="Arial" w:hAnsi="Arial" w:cs="Arial"/>
          <w:sz w:val="24"/>
          <w:szCs w:val="24"/>
        </w:rPr>
        <w:t xml:space="preserve">es decir, que exista una imputación de hechos o delitos falsos y, </w:t>
      </w:r>
      <w:r w:rsidR="009C0B6C" w:rsidRPr="009C0B6C">
        <w:rPr>
          <w:rFonts w:ascii="Arial" w:eastAsia="Arial" w:hAnsi="Arial" w:cs="Arial"/>
          <w:b/>
          <w:bCs/>
          <w:sz w:val="24"/>
          <w:szCs w:val="24"/>
        </w:rPr>
        <w:t>c</w:t>
      </w:r>
      <w:r w:rsidRPr="009C0B6C">
        <w:rPr>
          <w:rFonts w:ascii="Arial" w:eastAsia="Arial" w:hAnsi="Arial" w:cs="Arial"/>
          <w:b/>
          <w:bCs/>
          <w:i/>
          <w:sz w:val="24"/>
          <w:szCs w:val="24"/>
        </w:rPr>
        <w:t>)</w:t>
      </w:r>
      <w:r>
        <w:rPr>
          <w:rFonts w:ascii="Arial" w:eastAsia="Arial" w:hAnsi="Arial" w:cs="Arial"/>
          <w:b/>
          <w:i/>
          <w:sz w:val="24"/>
          <w:szCs w:val="24"/>
        </w:rPr>
        <w:t xml:space="preserve"> </w:t>
      </w:r>
      <w:r>
        <w:rPr>
          <w:rFonts w:ascii="Arial" w:eastAsia="Arial" w:hAnsi="Arial" w:cs="Arial"/>
          <w:sz w:val="24"/>
          <w:szCs w:val="24"/>
        </w:rPr>
        <w:t>el elemento</w:t>
      </w:r>
      <w:r>
        <w:rPr>
          <w:rFonts w:ascii="Arial" w:eastAsia="Arial" w:hAnsi="Arial" w:cs="Arial"/>
          <w:b/>
          <w:sz w:val="24"/>
          <w:szCs w:val="24"/>
        </w:rPr>
        <w:t xml:space="preserve"> subjetivo</w:t>
      </w:r>
      <w:r>
        <w:rPr>
          <w:rFonts w:ascii="Arial" w:eastAsia="Arial" w:hAnsi="Arial" w:cs="Arial"/>
          <w:sz w:val="24"/>
          <w:szCs w:val="24"/>
        </w:rPr>
        <w:t>, que implica que quien realiza la imputación sepa que los hechos y delitos son falsos.</w:t>
      </w:r>
    </w:p>
    <w:p w14:paraId="00F69FAE" w14:textId="77777777" w:rsidR="00256634" w:rsidRDefault="000F0709">
      <w:pPr>
        <w:spacing w:before="240" w:after="240" w:line="360" w:lineRule="auto"/>
        <w:jc w:val="both"/>
      </w:pPr>
      <w:r>
        <w:rPr>
          <w:rFonts w:ascii="Arial" w:eastAsia="Arial" w:hAnsi="Arial" w:cs="Arial"/>
          <w:sz w:val="24"/>
          <w:szCs w:val="24"/>
        </w:rPr>
        <w:t xml:space="preserve">Por su parte, la Sala Superior estableció dos elementos adicionales para poder acreditar tal infracción y, en su caso, sancionar la calumnia. Estos son: </w:t>
      </w:r>
      <w:r>
        <w:rPr>
          <w:rFonts w:ascii="Arial" w:eastAsia="Arial" w:hAnsi="Arial" w:cs="Arial"/>
          <w:b/>
          <w:i/>
          <w:sz w:val="24"/>
          <w:szCs w:val="24"/>
        </w:rPr>
        <w:t>i)</w:t>
      </w:r>
      <w:r>
        <w:rPr>
          <w:rFonts w:ascii="Arial" w:eastAsia="Arial" w:hAnsi="Arial" w:cs="Arial"/>
          <w:sz w:val="24"/>
          <w:szCs w:val="24"/>
        </w:rPr>
        <w:t xml:space="preserve"> que las expresiones tengan un </w:t>
      </w:r>
      <w:r>
        <w:rPr>
          <w:rFonts w:ascii="Arial" w:eastAsia="Arial" w:hAnsi="Arial" w:cs="Arial"/>
          <w:b/>
          <w:sz w:val="24"/>
          <w:szCs w:val="24"/>
        </w:rPr>
        <w:t>impacto en el proceso</w:t>
      </w:r>
      <w:r>
        <w:rPr>
          <w:rFonts w:ascii="Arial" w:eastAsia="Arial" w:hAnsi="Arial" w:cs="Arial"/>
          <w:sz w:val="24"/>
          <w:szCs w:val="24"/>
        </w:rPr>
        <w:t xml:space="preserve"> electoral y;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que las expresiones se hubiesen realizado de </w:t>
      </w:r>
      <w:r>
        <w:rPr>
          <w:rFonts w:ascii="Arial" w:eastAsia="Arial" w:hAnsi="Arial" w:cs="Arial"/>
          <w:b/>
          <w:sz w:val="24"/>
          <w:szCs w:val="24"/>
        </w:rPr>
        <w:t>forma maliciosa</w:t>
      </w:r>
      <w:r>
        <w:rPr>
          <w:rFonts w:ascii="Arial" w:eastAsia="Arial" w:hAnsi="Arial" w:cs="Arial"/>
          <w:sz w:val="24"/>
          <w:szCs w:val="24"/>
        </w:rPr>
        <w:t>. Asimismo, sostuvo que al establecer las expresiones que presuntamente constituyen calumnia no solo deben ser analizadas por su contenido, sino también en su contexto.</w:t>
      </w:r>
      <w:r>
        <w:rPr>
          <w:rFonts w:ascii="Arial" w:eastAsia="Arial" w:hAnsi="Arial" w:cs="Arial"/>
          <w:sz w:val="24"/>
          <w:szCs w:val="24"/>
          <w:vertAlign w:val="superscript"/>
        </w:rPr>
        <w:footnoteReference w:id="12"/>
      </w:r>
    </w:p>
    <w:p w14:paraId="10587B4E" w14:textId="77777777" w:rsidR="00256634" w:rsidRDefault="000F0709">
      <w:pPr>
        <w:spacing w:before="240" w:after="240" w:line="360" w:lineRule="auto"/>
        <w:jc w:val="both"/>
      </w:pPr>
      <w:r>
        <w:rPr>
          <w:rFonts w:ascii="Arial" w:eastAsia="Arial" w:hAnsi="Arial" w:cs="Arial"/>
          <w:sz w:val="24"/>
          <w:szCs w:val="24"/>
        </w:rPr>
        <w:t xml:space="preserve">De lo anterior, podemos concluir que </w:t>
      </w:r>
      <w:r>
        <w:rPr>
          <w:rFonts w:ascii="Arial" w:eastAsia="Arial" w:hAnsi="Arial" w:cs="Arial"/>
          <w:b/>
          <w:sz w:val="24"/>
          <w:szCs w:val="24"/>
        </w:rPr>
        <w:t>la restricción a la libertad de expresión en el ámbito electoral, es constitucional</w:t>
      </w:r>
      <w:r>
        <w:rPr>
          <w:rFonts w:ascii="Arial" w:eastAsia="Arial" w:hAnsi="Arial" w:cs="Arial"/>
          <w:sz w:val="24"/>
          <w:szCs w:val="24"/>
        </w:rPr>
        <w:t xml:space="preserve">. Pues dicha restricción no limita la libre circulación de crítica, ya que </w:t>
      </w:r>
      <w:r>
        <w:rPr>
          <w:rFonts w:ascii="Arial" w:eastAsia="Arial" w:hAnsi="Arial" w:cs="Arial"/>
          <w:b/>
          <w:sz w:val="24"/>
          <w:szCs w:val="24"/>
        </w:rPr>
        <w:t>incluso permite expresiones severas, vehementes, molestas o perturbadoras</w:t>
      </w:r>
      <w:r>
        <w:rPr>
          <w:rFonts w:ascii="Arial" w:eastAsia="Arial" w:hAnsi="Arial" w:cs="Arial"/>
          <w:sz w:val="24"/>
          <w:szCs w:val="24"/>
        </w:rPr>
        <w:t>.</w:t>
      </w:r>
    </w:p>
    <w:p w14:paraId="2D7F0F71" w14:textId="1DA63B17" w:rsidR="00256634" w:rsidRDefault="00091183">
      <w:pPr>
        <w:spacing w:before="240" w:after="240" w:line="360" w:lineRule="auto"/>
        <w:jc w:val="both"/>
      </w:pPr>
      <w:r>
        <w:rPr>
          <w:rFonts w:ascii="Arial" w:eastAsia="Arial" w:hAnsi="Arial" w:cs="Arial"/>
          <w:b/>
          <w:sz w:val="24"/>
          <w:szCs w:val="24"/>
        </w:rPr>
        <w:t>1.</w:t>
      </w:r>
      <w:r w:rsidR="000F0709">
        <w:rPr>
          <w:rFonts w:ascii="Arial" w:eastAsia="Arial" w:hAnsi="Arial" w:cs="Arial"/>
          <w:b/>
          <w:sz w:val="24"/>
          <w:szCs w:val="24"/>
        </w:rPr>
        <w:t>2.</w:t>
      </w:r>
      <w:r w:rsidR="000F0709">
        <w:rPr>
          <w:sz w:val="14"/>
          <w:szCs w:val="14"/>
        </w:rPr>
        <w:t xml:space="preserve">     </w:t>
      </w:r>
      <w:r w:rsidR="000F0709">
        <w:rPr>
          <w:rFonts w:ascii="Arial" w:eastAsia="Arial" w:hAnsi="Arial" w:cs="Arial"/>
          <w:b/>
          <w:sz w:val="24"/>
          <w:szCs w:val="24"/>
        </w:rPr>
        <w:t>Marco normativo de la libertad de expresión en las redes sociales.</w:t>
      </w:r>
    </w:p>
    <w:p w14:paraId="7E80388D" w14:textId="77777777" w:rsidR="00256634" w:rsidRDefault="000F0709">
      <w:pPr>
        <w:spacing w:before="240" w:after="240" w:line="360" w:lineRule="auto"/>
        <w:jc w:val="both"/>
      </w:pPr>
      <w:r>
        <w:rPr>
          <w:rFonts w:ascii="Arial" w:eastAsia="Arial" w:hAnsi="Arial" w:cs="Arial"/>
          <w:sz w:val="24"/>
          <w:szCs w:val="24"/>
        </w:rPr>
        <w:t>Las redes sociales constituyen una herramienta útil para general la comunicación social, ya que permite a un número indefinido de personas, a fin de que puedan acceder, compartir e intercambiar información, de manera global, instantánea y a un bajo costo.</w:t>
      </w:r>
    </w:p>
    <w:p w14:paraId="18068142" w14:textId="77777777" w:rsidR="00256634" w:rsidRDefault="000F0709">
      <w:pPr>
        <w:spacing w:before="240" w:after="240" w:line="360" w:lineRule="auto"/>
        <w:jc w:val="both"/>
      </w:pPr>
      <w:r>
        <w:rPr>
          <w:rFonts w:ascii="Arial" w:eastAsia="Arial" w:hAnsi="Arial" w:cs="Arial"/>
          <w:sz w:val="24"/>
          <w:szCs w:val="24"/>
        </w:rPr>
        <w:t>Además, este medio de comunicación tiene la ventaja de que la comunicación no es unidireccional, esto es, que los usuarios pueden interactuar de diferentes maneras y con varias personas a la vez. Por otro lado, las redes sociales son el medio idóneo para que las personas ejerzan de manera plena sus derechos a la libertad de expresión, opinión, asociación y reunión.</w:t>
      </w:r>
    </w:p>
    <w:p w14:paraId="4C997ECB" w14:textId="77777777" w:rsidR="00256634" w:rsidRDefault="000F0709">
      <w:pPr>
        <w:spacing w:before="240" w:after="240" w:line="360" w:lineRule="auto"/>
        <w:jc w:val="both"/>
      </w:pPr>
      <w:r>
        <w:rPr>
          <w:rFonts w:ascii="Arial" w:eastAsia="Arial" w:hAnsi="Arial" w:cs="Arial"/>
          <w:sz w:val="24"/>
          <w:szCs w:val="24"/>
        </w:rPr>
        <w:lastRenderedPageBreak/>
        <w:t xml:space="preserve">Igualmente, tales medios fungen como un medio de comunicación masivo que </w:t>
      </w:r>
      <w:r>
        <w:rPr>
          <w:rFonts w:ascii="Arial" w:eastAsia="Arial" w:hAnsi="Arial" w:cs="Arial"/>
          <w:b/>
          <w:sz w:val="24"/>
          <w:szCs w:val="24"/>
        </w:rPr>
        <w:t>permite a los usuarios tener un debate amplio y robusto</w:t>
      </w:r>
      <w:r>
        <w:rPr>
          <w:rFonts w:ascii="Arial" w:eastAsia="Arial" w:hAnsi="Arial" w:cs="Arial"/>
          <w:sz w:val="24"/>
          <w:szCs w:val="24"/>
        </w:rPr>
        <w:t xml:space="preserve">, en el que los usuarios </w:t>
      </w:r>
      <w:r>
        <w:rPr>
          <w:rFonts w:ascii="Arial" w:eastAsia="Arial" w:hAnsi="Arial" w:cs="Arial"/>
          <w:b/>
          <w:sz w:val="24"/>
          <w:szCs w:val="24"/>
        </w:rPr>
        <w:t>intercambien ideas y opiniones, positivas o negativas</w:t>
      </w:r>
      <w:r>
        <w:rPr>
          <w:rFonts w:ascii="Arial" w:eastAsia="Arial" w:hAnsi="Arial" w:cs="Arial"/>
          <w:sz w:val="24"/>
          <w:szCs w:val="24"/>
        </w:rPr>
        <w:t>, de manera ágil y fluida. Por ende, las redes sociales se vuelven un vehículo de suma importancia para la democracia.</w:t>
      </w:r>
      <w:r>
        <w:t xml:space="preserve"> </w:t>
      </w:r>
    </w:p>
    <w:p w14:paraId="37A205F7" w14:textId="20DA8186" w:rsidR="00256634" w:rsidRDefault="000F0709">
      <w:pPr>
        <w:spacing w:before="240" w:line="360" w:lineRule="auto"/>
        <w:jc w:val="both"/>
        <w:rPr>
          <w:rFonts w:ascii="Arial" w:eastAsia="Arial" w:hAnsi="Arial" w:cs="Arial"/>
          <w:sz w:val="24"/>
          <w:szCs w:val="24"/>
        </w:rPr>
      </w:pPr>
      <w:r>
        <w:rPr>
          <w:rFonts w:ascii="Arial" w:eastAsia="Arial" w:hAnsi="Arial" w:cs="Arial"/>
          <w:sz w:val="24"/>
          <w:szCs w:val="24"/>
        </w:rPr>
        <w:t xml:space="preserve">De lo anterior es posible concluir </w:t>
      </w:r>
      <w:r w:rsidR="00091183">
        <w:rPr>
          <w:rFonts w:ascii="Arial" w:eastAsia="Arial" w:hAnsi="Arial" w:cs="Arial"/>
          <w:sz w:val="24"/>
          <w:szCs w:val="24"/>
        </w:rPr>
        <w:t>que,</w:t>
      </w:r>
      <w:r>
        <w:rPr>
          <w:rFonts w:ascii="Arial" w:eastAsia="Arial" w:hAnsi="Arial" w:cs="Arial"/>
          <w:sz w:val="24"/>
          <w:szCs w:val="24"/>
        </w:rPr>
        <w:t xml:space="preserve"> si bien los contenidos en las redes sociales pueden ser susceptibles de constituir una infracción en materia electoral, también lo es que la </w:t>
      </w:r>
      <w:r>
        <w:rPr>
          <w:rFonts w:ascii="Arial" w:eastAsia="Arial" w:hAnsi="Arial" w:cs="Arial"/>
          <w:b/>
          <w:sz w:val="24"/>
          <w:szCs w:val="24"/>
        </w:rPr>
        <w:t>libertad de expresión a través de redes sociales goza, en principio, de una presunción de espontaneidad</w:t>
      </w:r>
      <w:r>
        <w:rPr>
          <w:rFonts w:ascii="Arial" w:eastAsia="Arial" w:hAnsi="Arial" w:cs="Arial"/>
          <w:sz w:val="24"/>
          <w:szCs w:val="24"/>
        </w:rPr>
        <w:t>, es decir, que la difusión de mensajes, videos, fotografías o cualquier elemento audiovisual cuenta con una protección amplia.</w:t>
      </w:r>
    </w:p>
    <w:p w14:paraId="5DCBB4DD" w14:textId="72BB0E87" w:rsidR="00256634" w:rsidRDefault="00256634">
      <w:pPr>
        <w:pBdr>
          <w:top w:val="nil"/>
          <w:left w:val="nil"/>
          <w:bottom w:val="nil"/>
          <w:right w:val="nil"/>
          <w:between w:val="nil"/>
        </w:pBdr>
        <w:tabs>
          <w:tab w:val="left" w:pos="284"/>
        </w:tabs>
        <w:ind w:right="36"/>
        <w:jc w:val="both"/>
        <w:rPr>
          <w:rFonts w:ascii="Arial" w:eastAsia="Arial" w:hAnsi="Arial" w:cs="Arial"/>
          <w:sz w:val="24"/>
          <w:szCs w:val="24"/>
        </w:rPr>
      </w:pPr>
    </w:p>
    <w:p w14:paraId="0D2937B3" w14:textId="014A7BD0" w:rsidR="00274769" w:rsidRDefault="00274769">
      <w:pPr>
        <w:pBdr>
          <w:top w:val="nil"/>
          <w:left w:val="nil"/>
          <w:bottom w:val="nil"/>
          <w:right w:val="nil"/>
          <w:between w:val="nil"/>
        </w:pBdr>
        <w:tabs>
          <w:tab w:val="left" w:pos="284"/>
        </w:tabs>
        <w:ind w:right="36"/>
        <w:jc w:val="both"/>
        <w:rPr>
          <w:rFonts w:ascii="Arial" w:eastAsia="Arial" w:hAnsi="Arial" w:cs="Arial"/>
          <w:sz w:val="24"/>
          <w:szCs w:val="24"/>
        </w:rPr>
      </w:pPr>
    </w:p>
    <w:p w14:paraId="217C8D5E" w14:textId="42480878" w:rsidR="00274769" w:rsidRDefault="00274769">
      <w:pPr>
        <w:pBdr>
          <w:top w:val="nil"/>
          <w:left w:val="nil"/>
          <w:bottom w:val="nil"/>
          <w:right w:val="nil"/>
          <w:between w:val="nil"/>
        </w:pBdr>
        <w:tabs>
          <w:tab w:val="left" w:pos="284"/>
        </w:tabs>
        <w:ind w:right="36"/>
        <w:jc w:val="both"/>
        <w:rPr>
          <w:rFonts w:ascii="Arial" w:eastAsia="Arial" w:hAnsi="Arial" w:cs="Arial"/>
          <w:sz w:val="24"/>
          <w:szCs w:val="24"/>
        </w:rPr>
      </w:pPr>
    </w:p>
    <w:p w14:paraId="6079C736" w14:textId="3ADC3C15" w:rsidR="00274769" w:rsidRDefault="00274769">
      <w:pPr>
        <w:pBdr>
          <w:top w:val="nil"/>
          <w:left w:val="nil"/>
          <w:bottom w:val="nil"/>
          <w:right w:val="nil"/>
          <w:between w:val="nil"/>
        </w:pBdr>
        <w:tabs>
          <w:tab w:val="left" w:pos="284"/>
        </w:tabs>
        <w:ind w:right="36"/>
        <w:jc w:val="both"/>
        <w:rPr>
          <w:rFonts w:ascii="Arial" w:eastAsia="Arial" w:hAnsi="Arial" w:cs="Arial"/>
          <w:sz w:val="24"/>
          <w:szCs w:val="24"/>
        </w:rPr>
      </w:pPr>
    </w:p>
    <w:p w14:paraId="2DF9C6D3" w14:textId="77777777" w:rsidR="00274769" w:rsidRDefault="00274769">
      <w:pPr>
        <w:pBdr>
          <w:top w:val="nil"/>
          <w:left w:val="nil"/>
          <w:bottom w:val="nil"/>
          <w:right w:val="nil"/>
          <w:between w:val="nil"/>
        </w:pBdr>
        <w:tabs>
          <w:tab w:val="left" w:pos="284"/>
        </w:tabs>
        <w:ind w:right="36"/>
        <w:jc w:val="both"/>
        <w:rPr>
          <w:rFonts w:ascii="Arial" w:eastAsia="Arial" w:hAnsi="Arial" w:cs="Arial"/>
          <w:sz w:val="24"/>
          <w:szCs w:val="24"/>
        </w:rPr>
      </w:pPr>
    </w:p>
    <w:p w14:paraId="6AE65DD8" w14:textId="77777777" w:rsidR="00256634" w:rsidRDefault="000F0709">
      <w:pPr>
        <w:pBdr>
          <w:top w:val="nil"/>
          <w:left w:val="nil"/>
          <w:bottom w:val="nil"/>
          <w:right w:val="nil"/>
          <w:between w:val="nil"/>
        </w:pBdr>
        <w:tabs>
          <w:tab w:val="left" w:pos="284"/>
        </w:tabs>
        <w:spacing w:line="360" w:lineRule="auto"/>
        <w:ind w:right="36"/>
        <w:jc w:val="both"/>
        <w:rPr>
          <w:rFonts w:ascii="Arial" w:eastAsia="Arial" w:hAnsi="Arial" w:cs="Arial"/>
          <w:b/>
          <w:color w:val="000000"/>
          <w:sz w:val="24"/>
          <w:szCs w:val="24"/>
        </w:rPr>
      </w:pPr>
      <w:r>
        <w:rPr>
          <w:rFonts w:ascii="Arial" w:eastAsia="Arial" w:hAnsi="Arial" w:cs="Arial"/>
          <w:b/>
          <w:color w:val="000000"/>
          <w:sz w:val="24"/>
          <w:szCs w:val="24"/>
        </w:rPr>
        <w:t>2. Caso Concreto</w:t>
      </w:r>
    </w:p>
    <w:p w14:paraId="22AB2653" w14:textId="77777777" w:rsidR="00256634" w:rsidRDefault="00256634" w:rsidP="00091183">
      <w:pPr>
        <w:pStyle w:val="Sinespaciado"/>
        <w:rPr>
          <w:rFonts w:eastAsia="Arial"/>
        </w:rPr>
      </w:pPr>
    </w:p>
    <w:p w14:paraId="1AEA0590" w14:textId="3E3448D1" w:rsidR="00256634" w:rsidRDefault="000F0709">
      <w:pPr>
        <w:spacing w:line="360" w:lineRule="auto"/>
        <w:jc w:val="both"/>
        <w:rPr>
          <w:rFonts w:ascii="Arial" w:eastAsia="Arial" w:hAnsi="Arial" w:cs="Arial"/>
          <w:sz w:val="24"/>
          <w:szCs w:val="24"/>
        </w:rPr>
      </w:pPr>
      <w:r>
        <w:rPr>
          <w:rFonts w:ascii="Arial" w:eastAsia="Arial" w:hAnsi="Arial" w:cs="Arial"/>
          <w:sz w:val="24"/>
          <w:szCs w:val="24"/>
        </w:rPr>
        <w:t xml:space="preserve">El PAN y PRI, en el contexto del proceso electoral 2021-2022 en el que se renueva a la gubernatura de Aguascalientes, presentaron una queja ante el Instituto Local en contra de Nora Ruvalcaba Gámez, en su calidad de candidata por </w:t>
      </w:r>
      <w:r w:rsidR="002667C7">
        <w:rPr>
          <w:rFonts w:ascii="Arial" w:eastAsia="Arial" w:hAnsi="Arial" w:cs="Arial"/>
          <w:sz w:val="24"/>
          <w:szCs w:val="24"/>
        </w:rPr>
        <w:t>Morena</w:t>
      </w:r>
      <w:r>
        <w:rPr>
          <w:rFonts w:ascii="Arial" w:eastAsia="Arial" w:hAnsi="Arial" w:cs="Arial"/>
          <w:sz w:val="24"/>
          <w:szCs w:val="24"/>
        </w:rPr>
        <w:t xml:space="preserve">, y del propio instituto político porque, a su parecer, la primera cometió calumnia en su contra a partir de la difusión de un video difundido en los perfiles de Facebook e Instagram, así como en el canal de </w:t>
      </w:r>
      <w:proofErr w:type="spellStart"/>
      <w:r>
        <w:rPr>
          <w:rFonts w:ascii="Arial" w:eastAsia="Arial" w:hAnsi="Arial" w:cs="Arial"/>
          <w:sz w:val="24"/>
          <w:szCs w:val="24"/>
        </w:rPr>
        <w:t>Youtube</w:t>
      </w:r>
      <w:proofErr w:type="spellEnd"/>
      <w:r>
        <w:rPr>
          <w:rFonts w:ascii="Arial" w:eastAsia="Arial" w:hAnsi="Arial" w:cs="Arial"/>
          <w:sz w:val="24"/>
          <w:szCs w:val="24"/>
        </w:rPr>
        <w:t xml:space="preserve"> de la candidata cuestionada, en el cual se realiza</w:t>
      </w:r>
      <w:r w:rsidR="009C0B6C">
        <w:rPr>
          <w:rFonts w:ascii="Arial" w:eastAsia="Arial" w:hAnsi="Arial" w:cs="Arial"/>
          <w:sz w:val="24"/>
          <w:szCs w:val="24"/>
        </w:rPr>
        <w:t>ron</w:t>
      </w:r>
      <w:r>
        <w:rPr>
          <w:rFonts w:ascii="Arial" w:eastAsia="Arial" w:hAnsi="Arial" w:cs="Arial"/>
          <w:sz w:val="24"/>
          <w:szCs w:val="24"/>
        </w:rPr>
        <w:t xml:space="preserve"> una serie de expresiones que consistieron en la imputación de un delito previsto en la normativa penal de dicha entidad. </w:t>
      </w:r>
    </w:p>
    <w:p w14:paraId="1EE41CC3" w14:textId="77777777" w:rsidR="00256634" w:rsidRDefault="00256634">
      <w:pPr>
        <w:pBdr>
          <w:top w:val="nil"/>
          <w:left w:val="nil"/>
          <w:bottom w:val="nil"/>
          <w:right w:val="nil"/>
          <w:between w:val="nil"/>
        </w:pBdr>
        <w:rPr>
          <w:color w:val="000000"/>
        </w:rPr>
      </w:pPr>
    </w:p>
    <w:p w14:paraId="30302834" w14:textId="77777777" w:rsidR="00256634" w:rsidRDefault="000F0709">
      <w:pPr>
        <w:spacing w:line="360" w:lineRule="auto"/>
        <w:jc w:val="both"/>
        <w:rPr>
          <w:rFonts w:ascii="Arial" w:eastAsia="Arial" w:hAnsi="Arial" w:cs="Arial"/>
          <w:sz w:val="24"/>
          <w:szCs w:val="24"/>
        </w:rPr>
      </w:pPr>
      <w:r>
        <w:rPr>
          <w:rFonts w:ascii="Arial" w:eastAsia="Arial" w:hAnsi="Arial" w:cs="Arial"/>
          <w:sz w:val="24"/>
          <w:szCs w:val="24"/>
        </w:rPr>
        <w:t xml:space="preserve">Las frases que fueron cuestionadas son las siguientes: </w:t>
      </w:r>
    </w:p>
    <w:p w14:paraId="428311AE" w14:textId="77777777" w:rsidR="00256634" w:rsidRDefault="00256634">
      <w:pPr>
        <w:pBdr>
          <w:top w:val="nil"/>
          <w:left w:val="nil"/>
          <w:bottom w:val="nil"/>
          <w:right w:val="nil"/>
          <w:between w:val="nil"/>
        </w:pBdr>
        <w:rPr>
          <w:color w:val="000000"/>
        </w:rPr>
      </w:pPr>
    </w:p>
    <w:p w14:paraId="394A224B" w14:textId="77777777" w:rsidR="00256634" w:rsidRDefault="000F0709" w:rsidP="00091183">
      <w:pPr>
        <w:tabs>
          <w:tab w:val="left" w:pos="8789"/>
          <w:tab w:val="left" w:pos="8931"/>
        </w:tabs>
        <w:spacing w:line="360" w:lineRule="auto"/>
        <w:ind w:left="709" w:right="616"/>
        <w:jc w:val="both"/>
        <w:rPr>
          <w:rFonts w:ascii="Arial" w:eastAsia="Arial" w:hAnsi="Arial" w:cs="Arial"/>
          <w:i/>
          <w:sz w:val="22"/>
          <w:szCs w:val="22"/>
        </w:rPr>
      </w:pPr>
      <w:r>
        <w:rPr>
          <w:rFonts w:ascii="Arial" w:eastAsia="Arial" w:hAnsi="Arial" w:cs="Arial"/>
          <w:i/>
          <w:sz w:val="22"/>
          <w:szCs w:val="22"/>
        </w:rPr>
        <w:t>“Hay cosas que no se mezclan: el agua y el aceite; la navidad y la política; la fiesta y los celulares.</w:t>
      </w:r>
    </w:p>
    <w:p w14:paraId="6C12682B" w14:textId="77777777" w:rsidR="00256634" w:rsidRDefault="000F0709" w:rsidP="00091183">
      <w:pPr>
        <w:tabs>
          <w:tab w:val="left" w:pos="8789"/>
          <w:tab w:val="left" w:pos="8931"/>
        </w:tabs>
        <w:spacing w:line="360" w:lineRule="auto"/>
        <w:ind w:left="709" w:right="616"/>
        <w:jc w:val="both"/>
        <w:rPr>
          <w:rFonts w:ascii="Arial" w:eastAsia="Arial" w:hAnsi="Arial" w:cs="Arial"/>
          <w:i/>
          <w:sz w:val="22"/>
          <w:szCs w:val="22"/>
        </w:rPr>
      </w:pPr>
      <w:r>
        <w:rPr>
          <w:rFonts w:ascii="Arial" w:eastAsia="Arial" w:hAnsi="Arial" w:cs="Arial"/>
          <w:i/>
          <w:sz w:val="22"/>
          <w:szCs w:val="22"/>
        </w:rPr>
        <w:t xml:space="preserve">Hay cosas que cuando se mezclan, son peligrosas. Como el </w:t>
      </w:r>
      <w:r>
        <w:rPr>
          <w:rFonts w:ascii="Arial" w:eastAsia="Arial" w:hAnsi="Arial" w:cs="Arial"/>
          <w:b/>
          <w:i/>
          <w:sz w:val="22"/>
          <w:szCs w:val="22"/>
        </w:rPr>
        <w:t xml:space="preserve">PRI y el PAN. </w:t>
      </w:r>
      <w:r>
        <w:rPr>
          <w:rFonts w:ascii="Arial" w:eastAsia="Arial" w:hAnsi="Arial" w:cs="Arial"/>
          <w:i/>
          <w:sz w:val="22"/>
          <w:szCs w:val="22"/>
        </w:rPr>
        <w:t>Separados</w:t>
      </w:r>
      <w:r>
        <w:rPr>
          <w:rFonts w:ascii="Arial" w:eastAsia="Arial" w:hAnsi="Arial" w:cs="Arial"/>
          <w:b/>
          <w:i/>
          <w:sz w:val="22"/>
          <w:szCs w:val="22"/>
        </w:rPr>
        <w:t xml:space="preserve"> robaron si control</w:t>
      </w:r>
      <w:r>
        <w:rPr>
          <w:rFonts w:ascii="Arial" w:eastAsia="Arial" w:hAnsi="Arial" w:cs="Arial"/>
          <w:i/>
          <w:sz w:val="22"/>
          <w:szCs w:val="22"/>
        </w:rPr>
        <w:t xml:space="preserve">, juntos serán peores. </w:t>
      </w:r>
      <w:r>
        <w:rPr>
          <w:rFonts w:ascii="Arial" w:eastAsia="Arial" w:hAnsi="Arial" w:cs="Arial"/>
          <w:b/>
          <w:i/>
          <w:sz w:val="22"/>
          <w:szCs w:val="22"/>
        </w:rPr>
        <w:t>Lo único que les une, es la corrupción</w:t>
      </w:r>
      <w:r>
        <w:rPr>
          <w:rFonts w:ascii="Arial" w:eastAsia="Arial" w:hAnsi="Arial" w:cs="Arial"/>
          <w:i/>
          <w:sz w:val="22"/>
          <w:szCs w:val="22"/>
        </w:rPr>
        <w:t xml:space="preserve">. </w:t>
      </w:r>
    </w:p>
    <w:p w14:paraId="19331A0E" w14:textId="77777777" w:rsidR="00256634" w:rsidRDefault="000F0709" w:rsidP="00091183">
      <w:pPr>
        <w:tabs>
          <w:tab w:val="left" w:pos="8789"/>
          <w:tab w:val="left" w:pos="8931"/>
        </w:tabs>
        <w:spacing w:line="360" w:lineRule="auto"/>
        <w:ind w:left="709" w:right="616"/>
        <w:jc w:val="both"/>
        <w:rPr>
          <w:rFonts w:ascii="Arial" w:eastAsia="Arial" w:hAnsi="Arial" w:cs="Arial"/>
          <w:i/>
          <w:sz w:val="22"/>
          <w:szCs w:val="22"/>
        </w:rPr>
      </w:pPr>
      <w:r>
        <w:rPr>
          <w:rFonts w:ascii="Arial" w:eastAsia="Arial" w:hAnsi="Arial" w:cs="Arial"/>
          <w:i/>
          <w:sz w:val="22"/>
          <w:szCs w:val="22"/>
        </w:rPr>
        <w:t>Nora Ruvalcaba, candidata a gobernadora de Aguascalientes. Morena, la esperanza de México.”</w:t>
      </w:r>
    </w:p>
    <w:p w14:paraId="587B5C3B" w14:textId="77777777" w:rsidR="00256634" w:rsidRDefault="00256634" w:rsidP="00091183">
      <w:pPr>
        <w:pStyle w:val="Sinespaciado"/>
        <w:rPr>
          <w:rFonts w:eastAsia="Arial"/>
        </w:rPr>
      </w:pPr>
    </w:p>
    <w:p w14:paraId="0F8E38C6" w14:textId="77777777" w:rsidR="00256634" w:rsidRDefault="000F0709">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3. Valoración </w:t>
      </w:r>
    </w:p>
    <w:p w14:paraId="5E24C8A3" w14:textId="77777777" w:rsidR="00256634" w:rsidRDefault="00256634">
      <w:pPr>
        <w:pBdr>
          <w:top w:val="nil"/>
          <w:left w:val="nil"/>
          <w:bottom w:val="nil"/>
          <w:right w:val="nil"/>
          <w:between w:val="nil"/>
        </w:pBdr>
        <w:rPr>
          <w:color w:val="000000"/>
        </w:rPr>
      </w:pPr>
    </w:p>
    <w:p w14:paraId="443204B5" w14:textId="26F91385" w:rsidR="00256634" w:rsidRDefault="000F0709">
      <w:pPr>
        <w:spacing w:line="360" w:lineRule="auto"/>
        <w:jc w:val="both"/>
        <w:rPr>
          <w:rFonts w:ascii="Arial" w:eastAsia="Arial" w:hAnsi="Arial" w:cs="Arial"/>
          <w:sz w:val="24"/>
          <w:szCs w:val="24"/>
        </w:rPr>
      </w:pPr>
      <w:r>
        <w:rPr>
          <w:rFonts w:ascii="Arial" w:eastAsia="Arial" w:hAnsi="Arial" w:cs="Arial"/>
          <w:sz w:val="24"/>
          <w:szCs w:val="24"/>
        </w:rPr>
        <w:t xml:space="preserve">Este Tribunal Electoral considera que de un análisis gramatical e integral del contexto en el que se emitió la expresión cuestionada, es posible advertir que efectivamente se </w:t>
      </w:r>
      <w:r>
        <w:rPr>
          <w:rFonts w:ascii="Arial" w:eastAsia="Arial" w:hAnsi="Arial" w:cs="Arial"/>
          <w:b/>
          <w:sz w:val="24"/>
          <w:szCs w:val="24"/>
        </w:rPr>
        <w:t>acredit</w:t>
      </w:r>
      <w:r w:rsidR="00934640">
        <w:rPr>
          <w:rFonts w:ascii="Arial" w:eastAsia="Arial" w:hAnsi="Arial" w:cs="Arial"/>
          <w:b/>
          <w:sz w:val="24"/>
          <w:szCs w:val="24"/>
        </w:rPr>
        <w:t>ó</w:t>
      </w:r>
      <w:r>
        <w:rPr>
          <w:rFonts w:ascii="Arial" w:eastAsia="Arial" w:hAnsi="Arial" w:cs="Arial"/>
          <w:b/>
          <w:sz w:val="24"/>
          <w:szCs w:val="24"/>
        </w:rPr>
        <w:t xml:space="preserve"> la infracción de calumnia</w:t>
      </w:r>
      <w:r>
        <w:rPr>
          <w:rFonts w:ascii="Arial" w:eastAsia="Arial" w:hAnsi="Arial" w:cs="Arial"/>
          <w:sz w:val="24"/>
          <w:szCs w:val="24"/>
        </w:rPr>
        <w:t xml:space="preserve">, al considerar que tal manifestación rebasó los límites permitidos por el derecho a la libertad de expresión en el contexto de un proceso comicial, pues a través de esta, se les atribuyó de forma vinculante un delito de forma directa al PAN y al PRI, en específico, el tipo penal de robo. </w:t>
      </w:r>
    </w:p>
    <w:p w14:paraId="4DEB7862" w14:textId="77777777" w:rsidR="00256634" w:rsidRDefault="00256634">
      <w:pPr>
        <w:pBdr>
          <w:top w:val="nil"/>
          <w:left w:val="nil"/>
          <w:bottom w:val="nil"/>
          <w:right w:val="nil"/>
          <w:between w:val="nil"/>
        </w:pBdr>
        <w:rPr>
          <w:color w:val="000000"/>
        </w:rPr>
      </w:pPr>
    </w:p>
    <w:p w14:paraId="5D761F44" w14:textId="0AA76D3F" w:rsidR="00256634" w:rsidRDefault="000F0709">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Lo anterior, porque tanto de las constancias que existen en el expediente como de las pruebas ofrecidas por la parte denunciada, </w:t>
      </w:r>
      <w:r>
        <w:rPr>
          <w:rFonts w:ascii="Arial" w:eastAsia="Arial" w:hAnsi="Arial" w:cs="Arial"/>
          <w:b/>
          <w:sz w:val="24"/>
          <w:szCs w:val="24"/>
        </w:rPr>
        <w:t>no se advierte ninguna prueba idónea que sustente tal imputación</w:t>
      </w:r>
      <w:r>
        <w:rPr>
          <w:rFonts w:ascii="Arial" w:eastAsia="Arial" w:hAnsi="Arial" w:cs="Arial"/>
          <w:sz w:val="24"/>
          <w:szCs w:val="24"/>
        </w:rPr>
        <w:t>, es decir, que omitió ofrecer alguna prueba -consistente en una resolución firme emitida por una autoridad judicial federal y/o local o algún documento que evidenci</w:t>
      </w:r>
      <w:r w:rsidR="00934640">
        <w:rPr>
          <w:rFonts w:ascii="Arial" w:eastAsia="Arial" w:hAnsi="Arial" w:cs="Arial"/>
          <w:sz w:val="24"/>
          <w:szCs w:val="24"/>
        </w:rPr>
        <w:t>ara</w:t>
      </w:r>
      <w:r>
        <w:rPr>
          <w:rFonts w:ascii="Arial" w:eastAsia="Arial" w:hAnsi="Arial" w:cs="Arial"/>
          <w:sz w:val="24"/>
          <w:szCs w:val="24"/>
        </w:rPr>
        <w:t xml:space="preserve"> la existencia de un proceso penal iniciado en contra de los partidos políticos denunciantes-, que tuvieran como efecto condenarlos o vincularlos por haber cometido o participado en el delito de robo y, a su vez, responsabilizarlos por la comisión del delito en cuestión, a fin de que la candidata denunciada hubiese estado en posibilidad </w:t>
      </w:r>
      <w:r w:rsidR="00934640">
        <w:rPr>
          <w:rFonts w:ascii="Arial" w:eastAsia="Arial" w:hAnsi="Arial" w:cs="Arial"/>
          <w:sz w:val="24"/>
          <w:szCs w:val="24"/>
        </w:rPr>
        <w:t xml:space="preserve">legal </w:t>
      </w:r>
      <w:r>
        <w:rPr>
          <w:rFonts w:ascii="Arial" w:eastAsia="Arial" w:hAnsi="Arial" w:cs="Arial"/>
          <w:sz w:val="24"/>
          <w:szCs w:val="24"/>
        </w:rPr>
        <w:t xml:space="preserve">de emitir una expresión de tal </w:t>
      </w:r>
      <w:r w:rsidR="00934640">
        <w:rPr>
          <w:rFonts w:ascii="Arial" w:eastAsia="Arial" w:hAnsi="Arial" w:cs="Arial"/>
          <w:sz w:val="24"/>
          <w:szCs w:val="24"/>
        </w:rPr>
        <w:t xml:space="preserve">índole. </w:t>
      </w:r>
    </w:p>
    <w:p w14:paraId="179A617A" w14:textId="77777777" w:rsidR="00256634" w:rsidRDefault="00256634">
      <w:pPr>
        <w:pBdr>
          <w:top w:val="nil"/>
          <w:left w:val="nil"/>
          <w:bottom w:val="nil"/>
          <w:right w:val="nil"/>
          <w:between w:val="nil"/>
        </w:pBdr>
        <w:rPr>
          <w:color w:val="000000"/>
        </w:rPr>
      </w:pPr>
    </w:p>
    <w:p w14:paraId="189A3CC5" w14:textId="77777777" w:rsidR="00256634" w:rsidRDefault="000F0709">
      <w:pPr>
        <w:spacing w:line="360" w:lineRule="auto"/>
        <w:jc w:val="both"/>
        <w:rPr>
          <w:rFonts w:ascii="Arial" w:eastAsia="Arial" w:hAnsi="Arial" w:cs="Arial"/>
          <w:sz w:val="24"/>
          <w:szCs w:val="24"/>
        </w:rPr>
      </w:pPr>
      <w:r>
        <w:rPr>
          <w:rFonts w:ascii="Arial" w:eastAsia="Arial" w:hAnsi="Arial" w:cs="Arial"/>
          <w:sz w:val="24"/>
          <w:szCs w:val="24"/>
        </w:rPr>
        <w:t xml:space="preserve">Contrario a lo anterior, de las constancias que obran en el expediente se advierte que la parte denunciada dejó de ofrecer pruebas, -con independencia del carácter de estas- que demostraran la situación jurídica en la que se encontraban los instituto políticos denunciantes (PAN y PRI), situación que evidencia que la imputación cuestionada -delito de robo- </w:t>
      </w:r>
      <w:r>
        <w:rPr>
          <w:rFonts w:ascii="Arial" w:eastAsia="Arial" w:hAnsi="Arial" w:cs="Arial"/>
          <w:b/>
          <w:sz w:val="24"/>
          <w:szCs w:val="24"/>
        </w:rPr>
        <w:t>tuvo como propósito generar un daño a la reputación</w:t>
      </w:r>
      <w:r>
        <w:rPr>
          <w:rFonts w:ascii="Arial" w:eastAsia="Arial" w:hAnsi="Arial" w:cs="Arial"/>
          <w:sz w:val="24"/>
          <w:szCs w:val="24"/>
        </w:rPr>
        <w:t xml:space="preserve"> de tales partidos políticos, en relación con su imagen frente al electorado del Estado de Aguascalientes. </w:t>
      </w:r>
    </w:p>
    <w:p w14:paraId="701A14ED" w14:textId="77777777" w:rsidR="00256634" w:rsidRDefault="00256634">
      <w:pPr>
        <w:pBdr>
          <w:top w:val="nil"/>
          <w:left w:val="nil"/>
          <w:bottom w:val="nil"/>
          <w:right w:val="nil"/>
          <w:between w:val="nil"/>
        </w:pBdr>
        <w:rPr>
          <w:color w:val="000000"/>
        </w:rPr>
      </w:pPr>
    </w:p>
    <w:p w14:paraId="33A1AD40" w14:textId="77777777" w:rsidR="00256634" w:rsidRDefault="000F0709">
      <w:pPr>
        <w:spacing w:line="360" w:lineRule="auto"/>
        <w:jc w:val="both"/>
        <w:rPr>
          <w:rFonts w:ascii="Arial" w:eastAsia="Arial" w:hAnsi="Arial" w:cs="Arial"/>
          <w:sz w:val="24"/>
          <w:szCs w:val="24"/>
        </w:rPr>
      </w:pPr>
      <w:r>
        <w:rPr>
          <w:rFonts w:ascii="Arial" w:eastAsia="Arial" w:hAnsi="Arial" w:cs="Arial"/>
          <w:sz w:val="24"/>
          <w:szCs w:val="24"/>
        </w:rPr>
        <w:t xml:space="preserve">Lo argumentado es así, porque de acuerdo a la línea jurisprudencial emitida por </w:t>
      </w:r>
      <w:r w:rsidRPr="00B46FE6">
        <w:rPr>
          <w:rFonts w:ascii="Arial" w:eastAsia="Arial" w:hAnsi="Arial" w:cs="Arial"/>
          <w:sz w:val="24"/>
          <w:szCs w:val="24"/>
        </w:rPr>
        <w:t>la SCJN y</w:t>
      </w:r>
      <w:r>
        <w:rPr>
          <w:rFonts w:ascii="Arial" w:eastAsia="Arial" w:hAnsi="Arial" w:cs="Arial"/>
          <w:sz w:val="24"/>
          <w:szCs w:val="24"/>
        </w:rPr>
        <w:t xml:space="preserve"> reiterada por la Sala Superior, para analizar los hechos que posiblemente puedan constituir calumnia, es necesario estudiarlos a través de los elementos siguientes: </w:t>
      </w:r>
      <w:r>
        <w:rPr>
          <w:rFonts w:ascii="Arial" w:eastAsia="Arial" w:hAnsi="Arial" w:cs="Arial"/>
          <w:b/>
          <w:i/>
          <w:sz w:val="24"/>
          <w:szCs w:val="24"/>
        </w:rPr>
        <w:t>a)</w:t>
      </w:r>
      <w:r>
        <w:rPr>
          <w:rFonts w:ascii="Arial" w:eastAsia="Arial" w:hAnsi="Arial" w:cs="Arial"/>
          <w:sz w:val="24"/>
          <w:szCs w:val="24"/>
        </w:rPr>
        <w:t xml:space="preserve"> </w:t>
      </w:r>
      <w:r>
        <w:rPr>
          <w:rFonts w:ascii="Arial" w:eastAsia="Arial" w:hAnsi="Arial" w:cs="Arial"/>
          <w:b/>
          <w:i/>
          <w:sz w:val="24"/>
          <w:szCs w:val="24"/>
        </w:rPr>
        <w:t>personal</w:t>
      </w:r>
      <w:r>
        <w:rPr>
          <w:rFonts w:ascii="Arial" w:eastAsia="Arial" w:hAnsi="Arial" w:cs="Arial"/>
          <w:b/>
          <w:sz w:val="24"/>
          <w:szCs w:val="24"/>
        </w:rPr>
        <w:t>:</w:t>
      </w:r>
      <w:r>
        <w:rPr>
          <w:rFonts w:ascii="Arial" w:eastAsia="Arial" w:hAnsi="Arial" w:cs="Arial"/>
          <w:sz w:val="24"/>
          <w:szCs w:val="24"/>
        </w:rPr>
        <w:t xml:space="preserve"> entendido como el sujeto que fue denunciado -solo pueden ser sancionados por calumnia electoral los partidos políticos, coaliciones y </w:t>
      </w:r>
      <w:r w:rsidRPr="00934640">
        <w:rPr>
          <w:rFonts w:ascii="Arial" w:eastAsia="Arial" w:hAnsi="Arial" w:cs="Arial"/>
          <w:b/>
          <w:bCs/>
          <w:sz w:val="24"/>
          <w:szCs w:val="24"/>
          <w:u w:val="single"/>
        </w:rPr>
        <w:t>candidaturas</w:t>
      </w:r>
      <w:r>
        <w:rPr>
          <w:rFonts w:ascii="Arial" w:eastAsia="Arial" w:hAnsi="Arial" w:cs="Arial"/>
          <w:sz w:val="24"/>
          <w:szCs w:val="24"/>
        </w:rPr>
        <w:t xml:space="preserve">-, </w:t>
      </w:r>
      <w:r>
        <w:rPr>
          <w:rFonts w:ascii="Arial" w:eastAsia="Arial" w:hAnsi="Arial" w:cs="Arial"/>
          <w:b/>
          <w:i/>
          <w:sz w:val="24"/>
          <w:szCs w:val="24"/>
        </w:rPr>
        <w:t>b)</w:t>
      </w:r>
      <w:r>
        <w:rPr>
          <w:rFonts w:ascii="Arial" w:eastAsia="Arial" w:hAnsi="Arial" w:cs="Arial"/>
          <w:sz w:val="24"/>
          <w:szCs w:val="24"/>
        </w:rPr>
        <w:t xml:space="preserve"> </w:t>
      </w:r>
      <w:r>
        <w:rPr>
          <w:rFonts w:ascii="Arial" w:eastAsia="Arial" w:hAnsi="Arial" w:cs="Arial"/>
          <w:b/>
          <w:sz w:val="24"/>
          <w:szCs w:val="24"/>
        </w:rPr>
        <w:t xml:space="preserve">objetivo: </w:t>
      </w:r>
      <w:r>
        <w:rPr>
          <w:rFonts w:ascii="Arial" w:eastAsia="Arial" w:hAnsi="Arial" w:cs="Arial"/>
          <w:sz w:val="24"/>
          <w:szCs w:val="24"/>
        </w:rPr>
        <w:t xml:space="preserve">es decir, que exista la imputación de algún hecho o delito falso y, </w:t>
      </w:r>
      <w:r>
        <w:rPr>
          <w:rFonts w:ascii="Arial" w:eastAsia="Arial" w:hAnsi="Arial" w:cs="Arial"/>
          <w:b/>
          <w:i/>
          <w:sz w:val="24"/>
          <w:szCs w:val="24"/>
        </w:rPr>
        <w:t xml:space="preserve">c) </w:t>
      </w:r>
      <w:r>
        <w:rPr>
          <w:rFonts w:ascii="Arial" w:eastAsia="Arial" w:hAnsi="Arial" w:cs="Arial"/>
          <w:b/>
          <w:sz w:val="24"/>
          <w:szCs w:val="24"/>
        </w:rPr>
        <w:t>subjetivo:</w:t>
      </w:r>
      <w:r>
        <w:rPr>
          <w:rFonts w:ascii="Arial" w:eastAsia="Arial" w:hAnsi="Arial" w:cs="Arial"/>
          <w:sz w:val="24"/>
          <w:szCs w:val="24"/>
        </w:rPr>
        <w:t xml:space="preserve"> a sabiendas que el hecho o delito que se imputa es falso. </w:t>
      </w:r>
    </w:p>
    <w:p w14:paraId="5C80527B" w14:textId="77777777" w:rsidR="00256634" w:rsidRDefault="00256634">
      <w:pPr>
        <w:pBdr>
          <w:top w:val="nil"/>
          <w:left w:val="nil"/>
          <w:bottom w:val="nil"/>
          <w:right w:val="nil"/>
          <w:between w:val="nil"/>
        </w:pBdr>
        <w:rPr>
          <w:color w:val="000000"/>
        </w:rPr>
      </w:pPr>
    </w:p>
    <w:p w14:paraId="41E9178B" w14:textId="3012EC33" w:rsidR="00256634" w:rsidRDefault="000F0709">
      <w:pPr>
        <w:spacing w:line="360" w:lineRule="auto"/>
        <w:jc w:val="both"/>
        <w:rPr>
          <w:rFonts w:ascii="Arial" w:eastAsia="Arial" w:hAnsi="Arial" w:cs="Arial"/>
          <w:sz w:val="24"/>
          <w:szCs w:val="24"/>
        </w:rPr>
      </w:pPr>
      <w:r>
        <w:rPr>
          <w:rFonts w:ascii="Arial" w:eastAsia="Arial" w:hAnsi="Arial" w:cs="Arial"/>
          <w:sz w:val="24"/>
          <w:szCs w:val="24"/>
        </w:rPr>
        <w:t xml:space="preserve">Ante ello, en primer lugar, </w:t>
      </w:r>
      <w:r>
        <w:rPr>
          <w:rFonts w:ascii="Arial" w:eastAsia="Arial" w:hAnsi="Arial" w:cs="Arial"/>
          <w:b/>
          <w:i/>
          <w:sz w:val="24"/>
          <w:szCs w:val="24"/>
        </w:rPr>
        <w:t>a)</w:t>
      </w:r>
      <w:r>
        <w:rPr>
          <w:rFonts w:ascii="Arial" w:eastAsia="Arial" w:hAnsi="Arial" w:cs="Arial"/>
          <w:sz w:val="24"/>
          <w:szCs w:val="24"/>
        </w:rPr>
        <w:t xml:space="preserve"> </w:t>
      </w:r>
      <w:r>
        <w:rPr>
          <w:rFonts w:ascii="Arial" w:eastAsia="Arial" w:hAnsi="Arial" w:cs="Arial"/>
          <w:b/>
          <w:sz w:val="24"/>
          <w:szCs w:val="24"/>
        </w:rPr>
        <w:t>el elemento personal se acredita</w:t>
      </w:r>
      <w:r>
        <w:rPr>
          <w:rFonts w:ascii="Arial" w:eastAsia="Arial" w:hAnsi="Arial" w:cs="Arial"/>
          <w:sz w:val="24"/>
          <w:szCs w:val="24"/>
        </w:rPr>
        <w:t xml:space="preserve">, ya que es un hecho no controvertido que a quien se le atribuye la imputación de calumnia es a la candidata Nora Ruvalcaba Gámez, quien es postulada por </w:t>
      </w:r>
      <w:r w:rsidR="002667C7">
        <w:rPr>
          <w:rFonts w:ascii="Arial" w:eastAsia="Arial" w:hAnsi="Arial" w:cs="Arial"/>
          <w:sz w:val="24"/>
          <w:szCs w:val="24"/>
        </w:rPr>
        <w:t xml:space="preserve">Morena </w:t>
      </w:r>
      <w:r>
        <w:rPr>
          <w:rFonts w:ascii="Arial" w:eastAsia="Arial" w:hAnsi="Arial" w:cs="Arial"/>
          <w:sz w:val="24"/>
          <w:szCs w:val="24"/>
        </w:rPr>
        <w:t xml:space="preserve">para el proceso electoral (2021-2022) en el que se renovará la gubernatura de Aguascalientes.  </w:t>
      </w:r>
    </w:p>
    <w:p w14:paraId="263907B0" w14:textId="77777777" w:rsidR="00256634" w:rsidRDefault="00256634"/>
    <w:p w14:paraId="74E8BCC2" w14:textId="77777777" w:rsidR="00256634" w:rsidRDefault="000F0709">
      <w:pPr>
        <w:spacing w:line="360" w:lineRule="auto"/>
        <w:jc w:val="both"/>
        <w:rPr>
          <w:rFonts w:ascii="Arial" w:eastAsia="Arial" w:hAnsi="Arial" w:cs="Arial"/>
          <w:sz w:val="24"/>
          <w:szCs w:val="24"/>
        </w:rPr>
      </w:pPr>
      <w:r>
        <w:rPr>
          <w:rFonts w:ascii="Arial" w:eastAsia="Arial" w:hAnsi="Arial" w:cs="Arial"/>
          <w:sz w:val="24"/>
          <w:szCs w:val="24"/>
        </w:rPr>
        <w:t xml:space="preserve">En segundo término, </w:t>
      </w:r>
      <w:r>
        <w:rPr>
          <w:rFonts w:ascii="Arial" w:eastAsia="Arial" w:hAnsi="Arial" w:cs="Arial"/>
          <w:b/>
          <w:i/>
          <w:sz w:val="24"/>
          <w:szCs w:val="24"/>
        </w:rPr>
        <w:t xml:space="preserve">b) </w:t>
      </w:r>
      <w:r>
        <w:rPr>
          <w:rFonts w:ascii="Arial" w:eastAsia="Arial" w:hAnsi="Arial" w:cs="Arial"/>
          <w:b/>
          <w:sz w:val="24"/>
          <w:szCs w:val="24"/>
        </w:rPr>
        <w:t>el elemento objetivo también se colma</w:t>
      </w:r>
      <w:r>
        <w:rPr>
          <w:rFonts w:ascii="Arial" w:eastAsia="Arial" w:hAnsi="Arial" w:cs="Arial"/>
          <w:sz w:val="24"/>
          <w:szCs w:val="24"/>
        </w:rPr>
        <w:t>, porque del contenido expreso del video se advierte la expresión siguiente: “</w:t>
      </w:r>
      <w:r>
        <w:rPr>
          <w:rFonts w:ascii="Arial" w:eastAsia="Arial" w:hAnsi="Arial" w:cs="Arial"/>
          <w:i/>
          <w:sz w:val="22"/>
          <w:szCs w:val="22"/>
        </w:rPr>
        <w:t xml:space="preserve">hay cosas que cuando se mezclan, son peligrosas. Como el </w:t>
      </w:r>
      <w:r>
        <w:rPr>
          <w:rFonts w:ascii="Arial" w:eastAsia="Arial" w:hAnsi="Arial" w:cs="Arial"/>
          <w:b/>
          <w:i/>
          <w:sz w:val="22"/>
          <w:szCs w:val="22"/>
        </w:rPr>
        <w:t xml:space="preserve">PRI y el PAN. </w:t>
      </w:r>
      <w:r>
        <w:rPr>
          <w:rFonts w:ascii="Arial" w:eastAsia="Arial" w:hAnsi="Arial" w:cs="Arial"/>
          <w:i/>
          <w:sz w:val="22"/>
          <w:szCs w:val="22"/>
        </w:rPr>
        <w:t>Separados</w:t>
      </w:r>
      <w:r>
        <w:rPr>
          <w:rFonts w:ascii="Arial" w:eastAsia="Arial" w:hAnsi="Arial" w:cs="Arial"/>
          <w:b/>
          <w:i/>
          <w:sz w:val="22"/>
          <w:szCs w:val="22"/>
        </w:rPr>
        <w:t xml:space="preserve"> robaron sin control</w:t>
      </w:r>
      <w:r>
        <w:rPr>
          <w:rFonts w:ascii="Arial" w:eastAsia="Arial" w:hAnsi="Arial" w:cs="Arial"/>
          <w:i/>
          <w:sz w:val="22"/>
          <w:szCs w:val="22"/>
        </w:rPr>
        <w:t>, juntos serán peores.”</w:t>
      </w:r>
    </w:p>
    <w:p w14:paraId="1F9E45CE" w14:textId="77777777" w:rsidR="00256634" w:rsidRDefault="00256634">
      <w:pPr>
        <w:pBdr>
          <w:top w:val="nil"/>
          <w:left w:val="nil"/>
          <w:bottom w:val="nil"/>
          <w:right w:val="nil"/>
          <w:between w:val="nil"/>
        </w:pBdr>
        <w:rPr>
          <w:color w:val="000000"/>
        </w:rPr>
      </w:pPr>
    </w:p>
    <w:p w14:paraId="15E8B5E6" w14:textId="77777777" w:rsidR="00256634" w:rsidRDefault="000F0709">
      <w:pPr>
        <w:spacing w:line="360" w:lineRule="auto"/>
        <w:jc w:val="both"/>
        <w:rPr>
          <w:rFonts w:ascii="Arial" w:eastAsia="Arial" w:hAnsi="Arial" w:cs="Arial"/>
          <w:sz w:val="24"/>
          <w:szCs w:val="24"/>
        </w:rPr>
      </w:pPr>
      <w:r>
        <w:rPr>
          <w:rFonts w:ascii="Arial" w:eastAsia="Arial" w:hAnsi="Arial" w:cs="Arial"/>
          <w:sz w:val="24"/>
          <w:szCs w:val="24"/>
        </w:rPr>
        <w:t>De ahí que, es posible concluir que del contenido del mensaje se identifica plenamente la atribución directa de un delito al PAN y al PRI, específicamente, el delito de robo. Esta situación demuestra que, en el caso, se está en presencia de la imputación de un tipo penal previsto por el artículo 140, del Código Penal para el Estado de Aguascalientes.</w:t>
      </w:r>
      <w:r>
        <w:rPr>
          <w:rFonts w:ascii="Arial" w:eastAsia="Arial" w:hAnsi="Arial" w:cs="Arial"/>
          <w:sz w:val="24"/>
          <w:szCs w:val="24"/>
          <w:vertAlign w:val="superscript"/>
        </w:rPr>
        <w:footnoteReference w:id="13"/>
      </w:r>
      <w:r>
        <w:rPr>
          <w:rFonts w:ascii="Arial" w:eastAsia="Arial" w:hAnsi="Arial" w:cs="Arial"/>
          <w:sz w:val="24"/>
          <w:szCs w:val="24"/>
        </w:rPr>
        <w:t xml:space="preserve"> Dicho en </w:t>
      </w:r>
      <w:r>
        <w:rPr>
          <w:rFonts w:ascii="Arial" w:eastAsia="Arial" w:hAnsi="Arial" w:cs="Arial"/>
          <w:sz w:val="24"/>
          <w:szCs w:val="24"/>
        </w:rPr>
        <w:lastRenderedPageBreak/>
        <w:t>otras palabras, se advierte que existe una imputación directa entre los hechos delictivos cuestionados en relación con los institutos políticos involucrados.</w:t>
      </w:r>
    </w:p>
    <w:p w14:paraId="1B96E5AA" w14:textId="77777777" w:rsidR="00256634" w:rsidRDefault="00256634">
      <w:pPr>
        <w:pBdr>
          <w:top w:val="nil"/>
          <w:left w:val="nil"/>
          <w:bottom w:val="nil"/>
          <w:right w:val="nil"/>
          <w:between w:val="nil"/>
        </w:pBdr>
        <w:rPr>
          <w:color w:val="000000"/>
        </w:rPr>
      </w:pPr>
    </w:p>
    <w:p w14:paraId="06F56B93" w14:textId="083BEE79" w:rsidR="00256634" w:rsidRDefault="000F0709">
      <w:pPr>
        <w:spacing w:line="360" w:lineRule="auto"/>
        <w:jc w:val="both"/>
        <w:rPr>
          <w:rFonts w:ascii="Arial" w:eastAsia="Arial" w:hAnsi="Arial" w:cs="Arial"/>
          <w:sz w:val="24"/>
          <w:szCs w:val="24"/>
        </w:rPr>
      </w:pPr>
      <w:r>
        <w:rPr>
          <w:rFonts w:ascii="Arial" w:eastAsia="Arial" w:hAnsi="Arial" w:cs="Arial"/>
          <w:sz w:val="24"/>
          <w:szCs w:val="24"/>
        </w:rPr>
        <w:t xml:space="preserve">Finalmente, en lo que respecta al </w:t>
      </w:r>
      <w:r>
        <w:rPr>
          <w:rFonts w:ascii="Arial" w:eastAsia="Arial" w:hAnsi="Arial" w:cs="Arial"/>
          <w:b/>
          <w:i/>
          <w:sz w:val="24"/>
          <w:szCs w:val="24"/>
        </w:rPr>
        <w:t xml:space="preserve">c) </w:t>
      </w:r>
      <w:r>
        <w:rPr>
          <w:rFonts w:ascii="Arial" w:eastAsia="Arial" w:hAnsi="Arial" w:cs="Arial"/>
          <w:b/>
          <w:sz w:val="24"/>
          <w:szCs w:val="24"/>
        </w:rPr>
        <w:t>elemento subjetivo</w:t>
      </w:r>
      <w:r>
        <w:rPr>
          <w:rFonts w:ascii="Arial" w:eastAsia="Arial" w:hAnsi="Arial" w:cs="Arial"/>
          <w:sz w:val="24"/>
          <w:szCs w:val="24"/>
        </w:rPr>
        <w:t xml:space="preserve">, igualmente </w:t>
      </w:r>
      <w:r>
        <w:rPr>
          <w:rFonts w:ascii="Arial" w:eastAsia="Arial" w:hAnsi="Arial" w:cs="Arial"/>
          <w:b/>
          <w:sz w:val="24"/>
          <w:szCs w:val="24"/>
        </w:rPr>
        <w:t>se acredita</w:t>
      </w:r>
      <w:r>
        <w:rPr>
          <w:rFonts w:ascii="Arial" w:eastAsia="Arial" w:hAnsi="Arial" w:cs="Arial"/>
          <w:sz w:val="24"/>
          <w:szCs w:val="24"/>
        </w:rPr>
        <w:t xml:space="preserve">, porque </w:t>
      </w:r>
      <w:r>
        <w:rPr>
          <w:rFonts w:ascii="Arial" w:eastAsia="Arial" w:hAnsi="Arial" w:cs="Arial"/>
          <w:b/>
          <w:sz w:val="24"/>
          <w:szCs w:val="24"/>
        </w:rPr>
        <w:t xml:space="preserve">la parte denunciada omitió </w:t>
      </w:r>
      <w:r w:rsidR="000D5635">
        <w:rPr>
          <w:rFonts w:ascii="Arial" w:eastAsia="Arial" w:hAnsi="Arial" w:cs="Arial"/>
          <w:b/>
          <w:sz w:val="24"/>
          <w:szCs w:val="24"/>
        </w:rPr>
        <w:t>-</w:t>
      </w:r>
      <w:r>
        <w:rPr>
          <w:rFonts w:ascii="Arial" w:eastAsia="Arial" w:hAnsi="Arial" w:cs="Arial"/>
          <w:b/>
          <w:sz w:val="24"/>
          <w:szCs w:val="24"/>
        </w:rPr>
        <w:t>por completo</w:t>
      </w:r>
      <w:r w:rsidR="000D5635">
        <w:rPr>
          <w:rFonts w:ascii="Arial" w:eastAsia="Arial" w:hAnsi="Arial" w:cs="Arial"/>
          <w:b/>
          <w:sz w:val="24"/>
          <w:szCs w:val="24"/>
        </w:rPr>
        <w:t>-</w:t>
      </w:r>
      <w:r>
        <w:rPr>
          <w:rFonts w:ascii="Arial" w:eastAsia="Arial" w:hAnsi="Arial" w:cs="Arial"/>
          <w:b/>
          <w:sz w:val="24"/>
          <w:szCs w:val="24"/>
        </w:rPr>
        <w:t xml:space="preserve"> ofrecer alguna prueba en la que sustentara la expresión realizada</w:t>
      </w:r>
      <w:r>
        <w:rPr>
          <w:rFonts w:ascii="Arial" w:eastAsia="Arial" w:hAnsi="Arial" w:cs="Arial"/>
          <w:sz w:val="24"/>
          <w:szCs w:val="24"/>
        </w:rPr>
        <w:t xml:space="preserve">, es decir, que cuando fue </w:t>
      </w:r>
      <w:proofErr w:type="spellStart"/>
      <w:r>
        <w:rPr>
          <w:rFonts w:ascii="Arial" w:eastAsia="Arial" w:hAnsi="Arial" w:cs="Arial"/>
          <w:sz w:val="24"/>
          <w:szCs w:val="24"/>
        </w:rPr>
        <w:t>emplazada</w:t>
      </w:r>
      <w:proofErr w:type="spellEnd"/>
      <w:r>
        <w:rPr>
          <w:rFonts w:ascii="Arial" w:eastAsia="Arial" w:hAnsi="Arial" w:cs="Arial"/>
          <w:sz w:val="24"/>
          <w:szCs w:val="24"/>
        </w:rPr>
        <w:t xml:space="preserve"> por la autoridad administrativa</w:t>
      </w:r>
      <w:r w:rsidR="000D5635">
        <w:rPr>
          <w:rFonts w:ascii="Arial" w:eastAsia="Arial" w:hAnsi="Arial" w:cs="Arial"/>
          <w:sz w:val="24"/>
          <w:szCs w:val="24"/>
        </w:rPr>
        <w:t xml:space="preserve"> y, en su momento, compareció a la audiencia para deshojar las pruebas y emitir alegatos,</w:t>
      </w:r>
      <w:r>
        <w:rPr>
          <w:rFonts w:ascii="Arial" w:eastAsia="Arial" w:hAnsi="Arial" w:cs="Arial"/>
          <w:sz w:val="24"/>
          <w:szCs w:val="24"/>
        </w:rPr>
        <w:t xml:space="preserve"> únicamente ofreció como medios de prueba la instrumental de actuaciones y la </w:t>
      </w:r>
      <w:proofErr w:type="spellStart"/>
      <w:r>
        <w:rPr>
          <w:rFonts w:ascii="Arial" w:eastAsia="Arial" w:hAnsi="Arial" w:cs="Arial"/>
          <w:sz w:val="24"/>
          <w:szCs w:val="24"/>
        </w:rPr>
        <w:t>presuncional</w:t>
      </w:r>
      <w:proofErr w:type="spellEnd"/>
      <w:r>
        <w:rPr>
          <w:rFonts w:ascii="Arial" w:eastAsia="Arial" w:hAnsi="Arial" w:cs="Arial"/>
          <w:sz w:val="24"/>
          <w:szCs w:val="24"/>
        </w:rPr>
        <w:t xml:space="preserve"> en su doble aspecto, legal y humana, lo cual</w:t>
      </w:r>
      <w:r w:rsidR="00934640">
        <w:rPr>
          <w:rFonts w:ascii="Arial" w:eastAsia="Arial" w:hAnsi="Arial" w:cs="Arial"/>
          <w:sz w:val="24"/>
          <w:szCs w:val="24"/>
        </w:rPr>
        <w:t>,</w:t>
      </w:r>
      <w:r>
        <w:rPr>
          <w:rFonts w:ascii="Arial" w:eastAsia="Arial" w:hAnsi="Arial" w:cs="Arial"/>
          <w:sz w:val="24"/>
          <w:szCs w:val="24"/>
        </w:rPr>
        <w:t xml:space="preserve"> implica la ausencia total de materia</w:t>
      </w:r>
      <w:r w:rsidR="000D5635">
        <w:rPr>
          <w:rFonts w:ascii="Arial" w:eastAsia="Arial" w:hAnsi="Arial" w:cs="Arial"/>
          <w:sz w:val="24"/>
          <w:szCs w:val="24"/>
        </w:rPr>
        <w:t>l</w:t>
      </w:r>
      <w:r>
        <w:rPr>
          <w:rFonts w:ascii="Arial" w:eastAsia="Arial" w:hAnsi="Arial" w:cs="Arial"/>
          <w:sz w:val="24"/>
          <w:szCs w:val="24"/>
        </w:rPr>
        <w:t xml:space="preserve"> probatorio que, en su caso, hubiese motivado la emisión de la </w:t>
      </w:r>
      <w:r w:rsidR="00934640">
        <w:rPr>
          <w:rFonts w:ascii="Arial" w:eastAsia="Arial" w:hAnsi="Arial" w:cs="Arial"/>
          <w:sz w:val="24"/>
          <w:szCs w:val="24"/>
        </w:rPr>
        <w:t xml:space="preserve">expresión </w:t>
      </w:r>
      <w:r>
        <w:rPr>
          <w:rFonts w:ascii="Arial" w:eastAsia="Arial" w:hAnsi="Arial" w:cs="Arial"/>
          <w:sz w:val="24"/>
          <w:szCs w:val="24"/>
        </w:rPr>
        <w:t xml:space="preserve">denunciada. </w:t>
      </w:r>
    </w:p>
    <w:p w14:paraId="102C9E74" w14:textId="77777777" w:rsidR="00256634" w:rsidRDefault="00256634">
      <w:pPr>
        <w:pBdr>
          <w:top w:val="nil"/>
          <w:left w:val="nil"/>
          <w:bottom w:val="nil"/>
          <w:right w:val="nil"/>
          <w:between w:val="nil"/>
        </w:pBdr>
        <w:rPr>
          <w:color w:val="000000"/>
        </w:rPr>
      </w:pPr>
    </w:p>
    <w:p w14:paraId="1AC77686" w14:textId="77777777" w:rsidR="00256634" w:rsidRDefault="000F0709">
      <w:pPr>
        <w:spacing w:line="360" w:lineRule="auto"/>
        <w:jc w:val="both"/>
        <w:rPr>
          <w:rFonts w:ascii="Arial" w:eastAsia="Arial" w:hAnsi="Arial" w:cs="Arial"/>
          <w:sz w:val="24"/>
          <w:szCs w:val="24"/>
        </w:rPr>
      </w:pPr>
      <w:r>
        <w:rPr>
          <w:rFonts w:ascii="Arial" w:eastAsia="Arial" w:hAnsi="Arial" w:cs="Arial"/>
          <w:sz w:val="24"/>
          <w:szCs w:val="24"/>
        </w:rPr>
        <w:t xml:space="preserve">En consecuencia, a criterio de esta autoridad jurisdiccional, se considera que el hecho de que la candidata denunciada calumniara un delito en perjuicio del PAN y PRI, sin contar con sustento fáctico alguno, implicó que se evidenciara una </w:t>
      </w:r>
      <w:r>
        <w:rPr>
          <w:rFonts w:ascii="Arial" w:eastAsia="Arial" w:hAnsi="Arial" w:cs="Arial"/>
          <w:b/>
          <w:sz w:val="24"/>
          <w:szCs w:val="24"/>
        </w:rPr>
        <w:t>intención maliciosa de afectarlos sin razón</w:t>
      </w:r>
      <w:r>
        <w:rPr>
          <w:rFonts w:ascii="Arial" w:eastAsia="Arial" w:hAnsi="Arial" w:cs="Arial"/>
          <w:sz w:val="24"/>
          <w:szCs w:val="24"/>
        </w:rPr>
        <w:t>, es decir, que se realizó con la única intención de dañar la imagen de dichos institutos,</w:t>
      </w:r>
      <w:r>
        <w:rPr>
          <w:rFonts w:ascii="Arial" w:eastAsia="Arial" w:hAnsi="Arial" w:cs="Arial"/>
          <w:b/>
          <w:sz w:val="24"/>
          <w:szCs w:val="24"/>
        </w:rPr>
        <w:t xml:space="preserve"> a sabiendas de que ello era falso</w:t>
      </w:r>
      <w:r>
        <w:rPr>
          <w:rFonts w:ascii="Arial" w:eastAsia="Arial" w:hAnsi="Arial" w:cs="Arial"/>
          <w:sz w:val="24"/>
          <w:szCs w:val="24"/>
        </w:rPr>
        <w:t xml:space="preserve">.  </w:t>
      </w:r>
    </w:p>
    <w:p w14:paraId="711AB6DD" w14:textId="77777777" w:rsidR="00256634" w:rsidRDefault="00256634">
      <w:pPr>
        <w:pBdr>
          <w:top w:val="nil"/>
          <w:left w:val="nil"/>
          <w:bottom w:val="nil"/>
          <w:right w:val="nil"/>
          <w:between w:val="nil"/>
        </w:pBdr>
        <w:rPr>
          <w:color w:val="000000"/>
        </w:rPr>
      </w:pPr>
    </w:p>
    <w:p w14:paraId="28E6215D" w14:textId="77777777" w:rsidR="00256634" w:rsidRDefault="000F0709">
      <w:pPr>
        <w:spacing w:line="360" w:lineRule="auto"/>
        <w:jc w:val="both"/>
        <w:rPr>
          <w:rFonts w:ascii="Arial" w:eastAsia="Arial" w:hAnsi="Arial" w:cs="Arial"/>
          <w:sz w:val="24"/>
          <w:szCs w:val="24"/>
        </w:rPr>
      </w:pPr>
      <w:r>
        <w:rPr>
          <w:rFonts w:ascii="Arial" w:eastAsia="Arial" w:hAnsi="Arial" w:cs="Arial"/>
          <w:sz w:val="24"/>
          <w:szCs w:val="24"/>
        </w:rPr>
        <w:t xml:space="preserve">La postura asumida por este Tribunal Electoral no resulta contraria a las permisiones que existen entorno a las críticas en contra de las figura públicas en el debate político, pues si bien se tiene en cuenta que se trata del derecho a la libertad de expresión, que reviste una especial protección, también es que </w:t>
      </w:r>
      <w:r>
        <w:rPr>
          <w:rFonts w:ascii="Arial" w:eastAsia="Arial" w:hAnsi="Arial" w:cs="Arial"/>
          <w:b/>
          <w:sz w:val="24"/>
          <w:szCs w:val="24"/>
        </w:rPr>
        <w:t>tal libertad no es absoluta ni ilimitada</w:t>
      </w:r>
      <w:r>
        <w:rPr>
          <w:rFonts w:ascii="Arial" w:eastAsia="Arial" w:hAnsi="Arial" w:cs="Arial"/>
          <w:sz w:val="24"/>
          <w:szCs w:val="24"/>
        </w:rPr>
        <w:t xml:space="preserve">, ya que la imagen y reputación de los institutos políticos en el contexto de un proceso electoral es de suma relevancia para incidir en la perspectiva de las y los electores. </w:t>
      </w:r>
    </w:p>
    <w:p w14:paraId="1F9AC7FA" w14:textId="77777777" w:rsidR="00256634" w:rsidRDefault="00256634">
      <w:pPr>
        <w:pBdr>
          <w:top w:val="nil"/>
          <w:left w:val="nil"/>
          <w:bottom w:val="nil"/>
          <w:right w:val="nil"/>
          <w:between w:val="nil"/>
        </w:pBdr>
        <w:rPr>
          <w:color w:val="000000"/>
        </w:rPr>
      </w:pPr>
    </w:p>
    <w:p w14:paraId="0FF67779" w14:textId="77777777" w:rsidR="00256634" w:rsidRDefault="000F0709">
      <w:pPr>
        <w:spacing w:line="360" w:lineRule="auto"/>
        <w:jc w:val="both"/>
        <w:rPr>
          <w:rFonts w:ascii="Arial" w:eastAsia="Arial" w:hAnsi="Arial" w:cs="Arial"/>
          <w:sz w:val="24"/>
          <w:szCs w:val="24"/>
        </w:rPr>
      </w:pPr>
      <w:r>
        <w:rPr>
          <w:rFonts w:ascii="Arial" w:eastAsia="Arial" w:hAnsi="Arial" w:cs="Arial"/>
          <w:sz w:val="24"/>
          <w:szCs w:val="24"/>
        </w:rPr>
        <w:t xml:space="preserve">Por lo cual, es necesario considerar que, ante un análisis de ponderación entre el derecho a la libertad de expresión en el debate político y el derecho a la buena imagen y reputación de los institutos políticos frente a la ciudadanía, </w:t>
      </w:r>
      <w:r>
        <w:rPr>
          <w:rFonts w:ascii="Arial" w:eastAsia="Arial" w:hAnsi="Arial" w:cs="Arial"/>
          <w:b/>
          <w:sz w:val="24"/>
          <w:szCs w:val="24"/>
        </w:rPr>
        <w:t>debe resolverse en favor del bien constitucionalmente protegido</w:t>
      </w:r>
      <w:r>
        <w:rPr>
          <w:rFonts w:ascii="Arial" w:eastAsia="Arial" w:hAnsi="Arial" w:cs="Arial"/>
          <w:sz w:val="24"/>
          <w:szCs w:val="24"/>
        </w:rPr>
        <w:t xml:space="preserve"> por el texto constitucional, que prohíbe la difusión de propaganda política o electoral de carácter calumnioso.</w:t>
      </w:r>
      <w:r>
        <w:rPr>
          <w:rFonts w:ascii="Arial" w:eastAsia="Arial" w:hAnsi="Arial" w:cs="Arial"/>
          <w:sz w:val="24"/>
          <w:szCs w:val="24"/>
          <w:vertAlign w:val="superscript"/>
        </w:rPr>
        <w:footnoteReference w:id="14"/>
      </w:r>
      <w:r>
        <w:rPr>
          <w:rFonts w:ascii="Arial" w:eastAsia="Arial" w:hAnsi="Arial" w:cs="Arial"/>
          <w:sz w:val="24"/>
          <w:szCs w:val="24"/>
        </w:rPr>
        <w:t xml:space="preserve"> </w:t>
      </w:r>
    </w:p>
    <w:p w14:paraId="7D521287" w14:textId="77777777" w:rsidR="00256634" w:rsidRDefault="00256634">
      <w:pPr>
        <w:pBdr>
          <w:top w:val="nil"/>
          <w:left w:val="nil"/>
          <w:bottom w:val="nil"/>
          <w:right w:val="nil"/>
          <w:between w:val="nil"/>
        </w:pBdr>
        <w:rPr>
          <w:color w:val="000000"/>
        </w:rPr>
      </w:pPr>
    </w:p>
    <w:p w14:paraId="7C80033B" w14:textId="5E56B60F" w:rsidR="009C729B" w:rsidRDefault="009C729B">
      <w:pPr>
        <w:spacing w:line="360" w:lineRule="auto"/>
        <w:jc w:val="both"/>
        <w:rPr>
          <w:rFonts w:ascii="Arial" w:eastAsia="Arial" w:hAnsi="Arial" w:cs="Arial"/>
          <w:sz w:val="24"/>
          <w:szCs w:val="24"/>
        </w:rPr>
      </w:pPr>
      <w:r>
        <w:rPr>
          <w:rFonts w:ascii="Arial" w:eastAsia="Arial" w:hAnsi="Arial" w:cs="Arial"/>
          <w:sz w:val="24"/>
          <w:szCs w:val="24"/>
        </w:rPr>
        <w:t>Ante ello</w:t>
      </w:r>
      <w:r w:rsidR="000F0709">
        <w:rPr>
          <w:rFonts w:ascii="Arial" w:eastAsia="Arial" w:hAnsi="Arial" w:cs="Arial"/>
          <w:sz w:val="24"/>
          <w:szCs w:val="24"/>
        </w:rPr>
        <w:t xml:space="preserve">, es posible concluir que las autoridades electorales, en el ámbito de sus atribuciones y competencias, </w:t>
      </w:r>
      <w:r w:rsidR="000F0709">
        <w:rPr>
          <w:rFonts w:ascii="Arial" w:eastAsia="Arial" w:hAnsi="Arial" w:cs="Arial"/>
          <w:b/>
          <w:sz w:val="24"/>
          <w:szCs w:val="24"/>
        </w:rPr>
        <w:t xml:space="preserve">cuentan con la facultad de limitar la libertad de expresión cuando se pretende proteger la imputación de delitos que calumnien </w:t>
      </w:r>
      <w:r w:rsidR="000F0709">
        <w:rPr>
          <w:rFonts w:ascii="Arial" w:eastAsia="Arial" w:hAnsi="Arial" w:cs="Arial"/>
          <w:sz w:val="24"/>
          <w:szCs w:val="24"/>
        </w:rPr>
        <w:t xml:space="preserve">a los institutos políticos a fin de evitar una incidencia en el voto informado de las y los electores que participan en un proceso comicial. </w:t>
      </w:r>
      <w:r>
        <w:rPr>
          <w:rFonts w:ascii="Arial" w:eastAsia="Arial" w:hAnsi="Arial" w:cs="Arial"/>
          <w:sz w:val="24"/>
          <w:szCs w:val="24"/>
        </w:rPr>
        <w:t xml:space="preserve">Así que a la parte denunciada no le asiste la razón en </w:t>
      </w:r>
      <w:r>
        <w:rPr>
          <w:rFonts w:ascii="Arial" w:eastAsia="Arial" w:hAnsi="Arial" w:cs="Arial"/>
          <w:sz w:val="24"/>
          <w:szCs w:val="24"/>
        </w:rPr>
        <w:lastRenderedPageBreak/>
        <w:t>cuanto a que los partidos políticos no pueden ser víctimas de calumnia, pues ha sido criterio de la Sala Superior que tales institutos políticos sí pueden cuestionar la infracción calumnia cuando consideren que se les está atribuyendo hechos o delitos injustificadamente</w:t>
      </w:r>
      <w:r>
        <w:rPr>
          <w:rStyle w:val="Refdenotaalpie"/>
          <w:rFonts w:ascii="Arial" w:eastAsia="Arial" w:hAnsi="Arial" w:cs="Arial"/>
          <w:sz w:val="24"/>
          <w:szCs w:val="24"/>
        </w:rPr>
        <w:footnoteReference w:id="15"/>
      </w:r>
      <w:r>
        <w:rPr>
          <w:rFonts w:ascii="Arial" w:eastAsia="Arial" w:hAnsi="Arial" w:cs="Arial"/>
          <w:sz w:val="24"/>
          <w:szCs w:val="24"/>
        </w:rPr>
        <w:t xml:space="preserve">. </w:t>
      </w:r>
    </w:p>
    <w:p w14:paraId="68FD43FD" w14:textId="57262251" w:rsidR="009C729B" w:rsidRDefault="009C729B" w:rsidP="00B46FE6">
      <w:pPr>
        <w:pStyle w:val="Sinespaciado"/>
        <w:rPr>
          <w:rFonts w:eastAsia="Arial"/>
        </w:rPr>
      </w:pPr>
    </w:p>
    <w:p w14:paraId="509DC060" w14:textId="5608F6F4" w:rsidR="00256634" w:rsidRDefault="000F0709">
      <w:pPr>
        <w:spacing w:line="360" w:lineRule="auto"/>
        <w:jc w:val="both"/>
        <w:rPr>
          <w:rFonts w:ascii="Arial" w:eastAsia="Arial" w:hAnsi="Arial" w:cs="Arial"/>
          <w:sz w:val="24"/>
          <w:szCs w:val="24"/>
        </w:rPr>
      </w:pPr>
      <w:r>
        <w:rPr>
          <w:rFonts w:ascii="Arial" w:eastAsia="Arial" w:hAnsi="Arial" w:cs="Arial"/>
          <w:sz w:val="24"/>
          <w:szCs w:val="24"/>
        </w:rPr>
        <w:t xml:space="preserve">De ahí que, como se adelantó, en el caso </w:t>
      </w:r>
      <w:r>
        <w:rPr>
          <w:rFonts w:ascii="Arial" w:eastAsia="Arial" w:hAnsi="Arial" w:cs="Arial"/>
          <w:b/>
          <w:sz w:val="24"/>
          <w:szCs w:val="24"/>
        </w:rPr>
        <w:t xml:space="preserve">quedó acreditada la existencia de calumnia </w:t>
      </w:r>
      <w:r>
        <w:rPr>
          <w:rFonts w:ascii="Arial" w:eastAsia="Arial" w:hAnsi="Arial" w:cs="Arial"/>
          <w:sz w:val="24"/>
          <w:szCs w:val="24"/>
        </w:rPr>
        <w:t xml:space="preserve">en perjuicio de los partidos políticos denunciantes. </w:t>
      </w:r>
    </w:p>
    <w:p w14:paraId="4EE9FC1D" w14:textId="77777777" w:rsidR="00256634" w:rsidRDefault="00256634">
      <w:pPr>
        <w:jc w:val="both"/>
        <w:rPr>
          <w:rFonts w:ascii="Arial" w:eastAsia="Arial" w:hAnsi="Arial" w:cs="Arial"/>
          <w:sz w:val="24"/>
          <w:szCs w:val="24"/>
        </w:rPr>
      </w:pPr>
    </w:p>
    <w:p w14:paraId="0179CB31" w14:textId="77777777" w:rsidR="00256634" w:rsidRPr="00091183" w:rsidRDefault="000F0709" w:rsidP="00091183">
      <w:pPr>
        <w:pStyle w:val="Prrafodelista"/>
        <w:numPr>
          <w:ilvl w:val="0"/>
          <w:numId w:val="6"/>
        </w:numPr>
        <w:spacing w:after="280" w:line="360" w:lineRule="auto"/>
        <w:ind w:left="284" w:hanging="284"/>
        <w:jc w:val="both"/>
        <w:rPr>
          <w:rFonts w:ascii="Arial" w:eastAsia="Arial" w:hAnsi="Arial" w:cs="Arial"/>
          <w:b/>
          <w:sz w:val="24"/>
          <w:szCs w:val="24"/>
          <w:u w:val="single"/>
        </w:rPr>
      </w:pPr>
      <w:r w:rsidRPr="00091183">
        <w:rPr>
          <w:rFonts w:ascii="Arial" w:eastAsia="Arial" w:hAnsi="Arial" w:cs="Arial"/>
          <w:b/>
          <w:sz w:val="24"/>
          <w:szCs w:val="24"/>
          <w:u w:val="single"/>
        </w:rPr>
        <w:t>Responsabilidad de las partes involucradas</w:t>
      </w:r>
    </w:p>
    <w:p w14:paraId="3874C46F" w14:textId="66AA752D" w:rsidR="00256634" w:rsidRDefault="000F0709">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Este órgano jurisdiccional estima que: </w:t>
      </w:r>
      <w:r>
        <w:rPr>
          <w:rFonts w:ascii="Arial" w:eastAsia="Arial" w:hAnsi="Arial" w:cs="Arial"/>
          <w:b/>
          <w:i/>
          <w:sz w:val="24"/>
          <w:szCs w:val="24"/>
        </w:rPr>
        <w:t xml:space="preserve">a) </w:t>
      </w:r>
      <w:r>
        <w:rPr>
          <w:rFonts w:ascii="Arial" w:eastAsia="Arial" w:hAnsi="Arial" w:cs="Arial"/>
          <w:sz w:val="24"/>
          <w:szCs w:val="24"/>
        </w:rPr>
        <w:t xml:space="preserve">Norma Ruvalcaba Gámez, candidata a la gubernatura de esta entidad, por el partido Morena, vulneró lo dispuesto por el artículo 244, primer párrafo, fracción IV, del Código Electoral y, </w:t>
      </w:r>
      <w:r>
        <w:rPr>
          <w:rFonts w:ascii="Arial" w:eastAsia="Arial" w:hAnsi="Arial" w:cs="Arial"/>
          <w:b/>
          <w:i/>
          <w:sz w:val="24"/>
          <w:szCs w:val="24"/>
        </w:rPr>
        <w:t xml:space="preserve">b) </w:t>
      </w:r>
      <w:r w:rsidR="00717B8D" w:rsidRPr="00717B8D">
        <w:rPr>
          <w:rFonts w:ascii="Arial" w:eastAsia="Arial" w:hAnsi="Arial" w:cs="Arial"/>
          <w:bCs/>
          <w:i/>
          <w:sz w:val="24"/>
          <w:szCs w:val="24"/>
        </w:rPr>
        <w:t>el partido político</w:t>
      </w:r>
      <w:r w:rsidR="00717B8D">
        <w:rPr>
          <w:rFonts w:ascii="Arial" w:eastAsia="Arial" w:hAnsi="Arial" w:cs="Arial"/>
          <w:b/>
          <w:i/>
          <w:sz w:val="24"/>
          <w:szCs w:val="24"/>
        </w:rPr>
        <w:t xml:space="preserve"> </w:t>
      </w:r>
      <w:r>
        <w:rPr>
          <w:rFonts w:ascii="Arial" w:eastAsia="Arial" w:hAnsi="Arial" w:cs="Arial"/>
          <w:sz w:val="24"/>
          <w:szCs w:val="24"/>
        </w:rPr>
        <w:t>Morena incumplió su deber de cuidado en cuanto a la conducta denunciada y, por tanto, vulneró el primer párrafo, inciso a), del artículo 25, de la Ley General de Partidos Políticos.</w:t>
      </w:r>
    </w:p>
    <w:p w14:paraId="72A0A18D" w14:textId="44F1389C" w:rsidR="00256634" w:rsidRPr="00091183" w:rsidRDefault="000F0709" w:rsidP="00091183">
      <w:pPr>
        <w:pStyle w:val="Prrafodelista"/>
        <w:numPr>
          <w:ilvl w:val="0"/>
          <w:numId w:val="6"/>
        </w:numPr>
        <w:spacing w:before="240" w:after="240" w:line="360" w:lineRule="auto"/>
        <w:ind w:left="284" w:hanging="284"/>
        <w:jc w:val="both"/>
        <w:rPr>
          <w:rFonts w:ascii="Arial" w:eastAsia="Arial" w:hAnsi="Arial" w:cs="Arial"/>
          <w:b/>
          <w:sz w:val="24"/>
          <w:szCs w:val="24"/>
          <w:u w:val="single"/>
        </w:rPr>
      </w:pPr>
      <w:r w:rsidRPr="00091183">
        <w:rPr>
          <w:rFonts w:ascii="Arial" w:eastAsia="Arial" w:hAnsi="Arial" w:cs="Arial"/>
          <w:b/>
          <w:sz w:val="24"/>
          <w:szCs w:val="24"/>
          <w:u w:val="single"/>
        </w:rPr>
        <w:t>Individualización de la sanción</w:t>
      </w:r>
    </w:p>
    <w:p w14:paraId="1762919D" w14:textId="77777777" w:rsidR="00256634" w:rsidRDefault="000F0709">
      <w:pPr>
        <w:spacing w:before="240" w:after="240" w:line="360" w:lineRule="auto"/>
        <w:jc w:val="both"/>
        <w:rPr>
          <w:rFonts w:ascii="Arial" w:eastAsia="Arial" w:hAnsi="Arial" w:cs="Arial"/>
          <w:sz w:val="40"/>
          <w:szCs w:val="40"/>
          <w:vertAlign w:val="superscript"/>
        </w:rPr>
      </w:pPr>
      <w:r>
        <w:rPr>
          <w:rFonts w:ascii="Arial" w:eastAsia="Arial" w:hAnsi="Arial" w:cs="Arial"/>
          <w:sz w:val="24"/>
          <w:szCs w:val="24"/>
        </w:rPr>
        <w:t>Una vez verificada la falta, procede determinar la clase de sanción que legalmente corresponda, tomando en cuenta lo dispuesto por el artículo 251, del Código Electoral, el cual establece que para la individualizar las sanciones, una vez que se tenga plenamente acreditada la existencia de una infracción y su imputación, la autoridad deberá tomar en cuenta las circunstancias que rodearon la conducta que vulneró la norma.</w:t>
      </w:r>
      <w:r>
        <w:rPr>
          <w:rFonts w:ascii="Arial" w:eastAsia="Arial" w:hAnsi="Arial" w:cs="Arial"/>
          <w:sz w:val="24"/>
          <w:szCs w:val="24"/>
          <w:vertAlign w:val="superscript"/>
        </w:rPr>
        <w:footnoteReference w:id="16"/>
      </w:r>
    </w:p>
    <w:p w14:paraId="3B790363" w14:textId="77777777" w:rsidR="00256634" w:rsidRDefault="000F0709">
      <w:pPr>
        <w:spacing w:before="240" w:after="240" w:line="360" w:lineRule="auto"/>
        <w:jc w:val="both"/>
        <w:rPr>
          <w:rFonts w:ascii="Arial" w:eastAsia="Arial" w:hAnsi="Arial" w:cs="Arial"/>
          <w:sz w:val="24"/>
          <w:szCs w:val="24"/>
        </w:rPr>
      </w:pPr>
      <w:r>
        <w:rPr>
          <w:rFonts w:ascii="Arial" w:eastAsia="Arial" w:hAnsi="Arial" w:cs="Arial"/>
          <w:sz w:val="24"/>
          <w:szCs w:val="24"/>
        </w:rPr>
        <w:t>Por tanto, tomando en consideración los elementos objetivos y subjetivos que se acreditaron en la valoración de la presente sentencia, lo procedente es calificar debidamente la falta, valorando los siguientes elementos:</w:t>
      </w:r>
    </w:p>
    <w:p w14:paraId="2C83AE27" w14:textId="77777777" w:rsidR="00256634" w:rsidRDefault="000F0709">
      <w:pPr>
        <w:spacing w:before="240" w:after="240" w:line="360" w:lineRule="auto"/>
        <w:jc w:val="both"/>
        <w:rPr>
          <w:rFonts w:ascii="Arial" w:eastAsia="Arial" w:hAnsi="Arial" w:cs="Arial"/>
          <w:sz w:val="24"/>
          <w:szCs w:val="24"/>
        </w:rPr>
      </w:pPr>
      <w:r>
        <w:rPr>
          <w:rFonts w:ascii="Arial" w:eastAsia="Arial" w:hAnsi="Arial" w:cs="Arial"/>
          <w:b/>
          <w:i/>
          <w:sz w:val="24"/>
          <w:szCs w:val="24"/>
        </w:rPr>
        <w:t>i)</w:t>
      </w:r>
      <w:r>
        <w:rPr>
          <w:sz w:val="14"/>
          <w:szCs w:val="14"/>
        </w:rPr>
        <w:t xml:space="preserve">   </w:t>
      </w:r>
      <w:r>
        <w:rPr>
          <w:rFonts w:ascii="Arial" w:eastAsia="Arial" w:hAnsi="Arial" w:cs="Arial"/>
          <w:b/>
          <w:sz w:val="24"/>
          <w:szCs w:val="24"/>
        </w:rPr>
        <w:t xml:space="preserve">Bien jurídico tutelado. </w:t>
      </w:r>
      <w:r>
        <w:rPr>
          <w:rFonts w:ascii="Arial" w:eastAsia="Arial" w:hAnsi="Arial" w:cs="Arial"/>
          <w:sz w:val="24"/>
          <w:szCs w:val="24"/>
        </w:rPr>
        <w:t xml:space="preserve">El bien jurídico directamente tutelado en las normas constitucionales es proteger los vínculos y límites de los derechos fundamentales a la </w:t>
      </w:r>
      <w:r>
        <w:rPr>
          <w:rFonts w:ascii="Arial" w:eastAsia="Arial" w:hAnsi="Arial" w:cs="Arial"/>
          <w:b/>
          <w:sz w:val="24"/>
          <w:szCs w:val="24"/>
        </w:rPr>
        <w:t>libertad de expresión</w:t>
      </w:r>
      <w:r>
        <w:rPr>
          <w:rFonts w:ascii="Arial" w:eastAsia="Arial" w:hAnsi="Arial" w:cs="Arial"/>
          <w:sz w:val="24"/>
          <w:szCs w:val="24"/>
        </w:rPr>
        <w:t xml:space="preserve"> en relación con el </w:t>
      </w:r>
      <w:r>
        <w:rPr>
          <w:rFonts w:ascii="Arial" w:eastAsia="Arial" w:hAnsi="Arial" w:cs="Arial"/>
          <w:b/>
          <w:sz w:val="24"/>
          <w:szCs w:val="24"/>
        </w:rPr>
        <w:t>honor y reputación</w:t>
      </w:r>
      <w:r>
        <w:rPr>
          <w:rFonts w:ascii="Arial" w:eastAsia="Arial" w:hAnsi="Arial" w:cs="Arial"/>
          <w:sz w:val="24"/>
          <w:szCs w:val="24"/>
        </w:rPr>
        <w:t xml:space="preserve"> de los partidos políticos. Así como el principio de legalidad, que impone la prohibición de difundir propaganda política que calumnie a las personas.</w:t>
      </w:r>
    </w:p>
    <w:p w14:paraId="52BCE90E" w14:textId="77777777" w:rsidR="00256634" w:rsidRDefault="000F0709">
      <w:pPr>
        <w:spacing w:before="240" w:after="240" w:line="360" w:lineRule="auto"/>
        <w:jc w:val="both"/>
        <w:rPr>
          <w:rFonts w:ascii="Arial" w:eastAsia="Arial" w:hAnsi="Arial" w:cs="Arial"/>
          <w:sz w:val="24"/>
          <w:szCs w:val="24"/>
        </w:rPr>
      </w:pPr>
      <w:proofErr w:type="spellStart"/>
      <w:r>
        <w:rPr>
          <w:rFonts w:ascii="Arial" w:eastAsia="Arial" w:hAnsi="Arial" w:cs="Arial"/>
          <w:b/>
          <w:i/>
          <w:sz w:val="24"/>
          <w:szCs w:val="24"/>
        </w:rPr>
        <w:lastRenderedPageBreak/>
        <w:t>ii</w:t>
      </w:r>
      <w:proofErr w:type="spellEnd"/>
      <w:r>
        <w:rPr>
          <w:rFonts w:ascii="Arial" w:eastAsia="Arial" w:hAnsi="Arial" w:cs="Arial"/>
          <w:b/>
          <w:i/>
          <w:sz w:val="24"/>
          <w:szCs w:val="24"/>
        </w:rPr>
        <w:t>)</w:t>
      </w:r>
      <w:r>
        <w:rPr>
          <w:rFonts w:ascii="Arial" w:eastAsia="Arial" w:hAnsi="Arial" w:cs="Arial"/>
          <w:b/>
          <w:sz w:val="24"/>
          <w:szCs w:val="24"/>
        </w:rPr>
        <w:t xml:space="preserve"> Singularidad o pluralidad de las faltas.</w:t>
      </w:r>
      <w:r>
        <w:rPr>
          <w:rFonts w:ascii="Arial" w:eastAsia="Arial" w:hAnsi="Arial" w:cs="Arial"/>
          <w:sz w:val="24"/>
          <w:szCs w:val="24"/>
        </w:rPr>
        <w:t xml:space="preserve"> La comisión de dicha conducta no puede considerarse como una pluralidad de infracciones o de faltas administrativas, pues se trató de una sola conducta (propaganda con contenido calumnioso).</w:t>
      </w:r>
    </w:p>
    <w:p w14:paraId="3445A497" w14:textId="77777777" w:rsidR="00256634" w:rsidRDefault="000F0709">
      <w:pPr>
        <w:spacing w:before="240" w:after="240" w:line="360" w:lineRule="auto"/>
        <w:jc w:val="both"/>
        <w:rPr>
          <w:rFonts w:ascii="Arial" w:eastAsia="Arial" w:hAnsi="Arial" w:cs="Arial"/>
          <w:b/>
          <w:sz w:val="24"/>
          <w:szCs w:val="24"/>
        </w:rPr>
      </w:pP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b/>
          <w:sz w:val="24"/>
          <w:szCs w:val="24"/>
        </w:rPr>
        <w:t xml:space="preserve"> Circunstancias de modo, tiempo y lugar:</w:t>
      </w:r>
    </w:p>
    <w:p w14:paraId="6EC7FAE9" w14:textId="77777777" w:rsidR="00256634" w:rsidRPr="00091183" w:rsidRDefault="000F0709" w:rsidP="00091183">
      <w:pPr>
        <w:pStyle w:val="Prrafodelista"/>
        <w:numPr>
          <w:ilvl w:val="0"/>
          <w:numId w:val="7"/>
        </w:numPr>
        <w:spacing w:before="240" w:after="240" w:line="360" w:lineRule="auto"/>
        <w:ind w:left="426"/>
        <w:jc w:val="both"/>
        <w:rPr>
          <w:rFonts w:ascii="Arial" w:eastAsia="Arial" w:hAnsi="Arial" w:cs="Arial"/>
          <w:sz w:val="24"/>
          <w:szCs w:val="24"/>
        </w:rPr>
      </w:pPr>
      <w:r w:rsidRPr="00091183">
        <w:rPr>
          <w:rFonts w:ascii="Arial" w:eastAsia="Arial" w:hAnsi="Arial" w:cs="Arial"/>
          <w:b/>
          <w:sz w:val="24"/>
          <w:szCs w:val="24"/>
        </w:rPr>
        <w:t>Modo.</w:t>
      </w:r>
      <w:r w:rsidRPr="00091183">
        <w:rPr>
          <w:rFonts w:ascii="Arial" w:eastAsia="Arial" w:hAnsi="Arial" w:cs="Arial"/>
          <w:sz w:val="24"/>
          <w:szCs w:val="24"/>
        </w:rPr>
        <w:t xml:space="preserve"> La irregularidad consistió en la difusión de un video con expresiones calumniosas a través </w:t>
      </w:r>
      <w:proofErr w:type="gramStart"/>
      <w:r w:rsidRPr="00091183">
        <w:rPr>
          <w:rFonts w:ascii="Arial" w:eastAsia="Arial" w:hAnsi="Arial" w:cs="Arial"/>
          <w:sz w:val="24"/>
          <w:szCs w:val="24"/>
        </w:rPr>
        <w:t xml:space="preserve">de las </w:t>
      </w:r>
      <w:r w:rsidRPr="00091183">
        <w:rPr>
          <w:rFonts w:ascii="Arial" w:eastAsia="Arial" w:hAnsi="Arial" w:cs="Arial"/>
          <w:i/>
          <w:sz w:val="24"/>
          <w:szCs w:val="24"/>
        </w:rPr>
        <w:t>fan</w:t>
      </w:r>
      <w:proofErr w:type="gramEnd"/>
      <w:r w:rsidRPr="00091183">
        <w:rPr>
          <w:rFonts w:ascii="Arial" w:eastAsia="Arial" w:hAnsi="Arial" w:cs="Arial"/>
          <w:i/>
          <w:sz w:val="24"/>
          <w:szCs w:val="24"/>
        </w:rPr>
        <w:t xml:space="preserve"> page </w:t>
      </w:r>
      <w:r w:rsidRPr="00091183">
        <w:rPr>
          <w:rFonts w:ascii="Arial" w:eastAsia="Arial" w:hAnsi="Arial" w:cs="Arial"/>
          <w:sz w:val="24"/>
          <w:szCs w:val="24"/>
        </w:rPr>
        <w:t xml:space="preserve">de Facebook e Instagram de la denunciada, así como de su canal de </w:t>
      </w:r>
      <w:proofErr w:type="spellStart"/>
      <w:r w:rsidRPr="00091183">
        <w:rPr>
          <w:rFonts w:ascii="Arial" w:eastAsia="Arial" w:hAnsi="Arial" w:cs="Arial"/>
          <w:sz w:val="24"/>
          <w:szCs w:val="24"/>
        </w:rPr>
        <w:t>Youtube</w:t>
      </w:r>
      <w:proofErr w:type="spellEnd"/>
      <w:r w:rsidRPr="00091183">
        <w:rPr>
          <w:rFonts w:ascii="Arial" w:eastAsia="Arial" w:hAnsi="Arial" w:cs="Arial"/>
          <w:sz w:val="24"/>
          <w:szCs w:val="24"/>
        </w:rPr>
        <w:t>, de nombre “Nora Ruvalcaba”. Tal video tenía una duración de 30 segundos.</w:t>
      </w:r>
    </w:p>
    <w:p w14:paraId="08F1B67B" w14:textId="77777777" w:rsidR="00256634" w:rsidRPr="00091183" w:rsidRDefault="000F0709" w:rsidP="00091183">
      <w:pPr>
        <w:pStyle w:val="Prrafodelista"/>
        <w:numPr>
          <w:ilvl w:val="0"/>
          <w:numId w:val="7"/>
        </w:numPr>
        <w:spacing w:after="160" w:line="360" w:lineRule="auto"/>
        <w:ind w:left="426"/>
        <w:jc w:val="both"/>
        <w:rPr>
          <w:rFonts w:ascii="Arial" w:eastAsia="Arial" w:hAnsi="Arial" w:cs="Arial"/>
          <w:sz w:val="24"/>
          <w:szCs w:val="24"/>
        </w:rPr>
      </w:pPr>
      <w:r w:rsidRPr="00091183">
        <w:rPr>
          <w:rFonts w:ascii="Arial" w:eastAsia="Arial" w:hAnsi="Arial" w:cs="Arial"/>
          <w:b/>
          <w:sz w:val="24"/>
          <w:szCs w:val="24"/>
        </w:rPr>
        <w:t>Tiempo.</w:t>
      </w:r>
      <w:r w:rsidRPr="00091183">
        <w:rPr>
          <w:rFonts w:ascii="Arial" w:eastAsia="Arial" w:hAnsi="Arial" w:cs="Arial"/>
          <w:sz w:val="24"/>
          <w:szCs w:val="24"/>
        </w:rPr>
        <w:t xml:space="preserve"> La conducta se realizó durante el periodo comprendido del trece al veintiocho de abril, por tanto, el video denunciado estuvo en la red durante </w:t>
      </w:r>
      <w:r w:rsidRPr="00091183">
        <w:rPr>
          <w:rFonts w:ascii="Arial" w:eastAsia="Arial" w:hAnsi="Arial" w:cs="Arial"/>
          <w:b/>
          <w:sz w:val="24"/>
          <w:szCs w:val="24"/>
        </w:rPr>
        <w:t xml:space="preserve">quince días dentro del periodo de campaña </w:t>
      </w:r>
      <w:r w:rsidRPr="00091183">
        <w:rPr>
          <w:rFonts w:ascii="Arial" w:eastAsia="Arial" w:hAnsi="Arial" w:cs="Arial"/>
          <w:sz w:val="24"/>
          <w:szCs w:val="24"/>
        </w:rPr>
        <w:t>del proceso electoral local.</w:t>
      </w:r>
    </w:p>
    <w:p w14:paraId="3BF24DA6" w14:textId="77777777" w:rsidR="00256634" w:rsidRPr="00091183" w:rsidRDefault="000F0709" w:rsidP="00091183">
      <w:pPr>
        <w:pStyle w:val="Prrafodelista"/>
        <w:numPr>
          <w:ilvl w:val="0"/>
          <w:numId w:val="7"/>
        </w:numPr>
        <w:spacing w:before="240" w:after="240" w:line="360" w:lineRule="auto"/>
        <w:ind w:left="426"/>
        <w:jc w:val="both"/>
        <w:rPr>
          <w:rFonts w:ascii="Arial" w:eastAsia="Arial" w:hAnsi="Arial" w:cs="Arial"/>
          <w:sz w:val="24"/>
          <w:szCs w:val="24"/>
        </w:rPr>
      </w:pPr>
      <w:r w:rsidRPr="00091183">
        <w:rPr>
          <w:rFonts w:ascii="Arial" w:eastAsia="Arial" w:hAnsi="Arial" w:cs="Arial"/>
          <w:b/>
          <w:sz w:val="24"/>
          <w:szCs w:val="24"/>
        </w:rPr>
        <w:t>Lugar.</w:t>
      </w:r>
      <w:r w:rsidRPr="00091183">
        <w:rPr>
          <w:rFonts w:ascii="Arial" w:eastAsia="Arial" w:hAnsi="Arial" w:cs="Arial"/>
          <w:sz w:val="24"/>
          <w:szCs w:val="24"/>
        </w:rPr>
        <w:t xml:space="preserve"> La propaganda se transmitió a través de las redes sociales de Facebook e Instagram, así como en el canal de </w:t>
      </w:r>
      <w:proofErr w:type="spellStart"/>
      <w:r w:rsidRPr="00091183">
        <w:rPr>
          <w:rFonts w:ascii="Arial" w:eastAsia="Arial" w:hAnsi="Arial" w:cs="Arial"/>
          <w:sz w:val="24"/>
          <w:szCs w:val="24"/>
        </w:rPr>
        <w:t>Youtube</w:t>
      </w:r>
      <w:proofErr w:type="spellEnd"/>
      <w:r w:rsidRPr="00091183">
        <w:rPr>
          <w:rFonts w:ascii="Arial" w:eastAsia="Arial" w:hAnsi="Arial" w:cs="Arial"/>
          <w:sz w:val="24"/>
          <w:szCs w:val="24"/>
        </w:rPr>
        <w:t xml:space="preserve"> de la denunciada, de nombre “Nora Ruvalcaba”</w:t>
      </w:r>
    </w:p>
    <w:p w14:paraId="59999F49" w14:textId="1F3FD2AB" w:rsidR="00256634" w:rsidRDefault="000F0709" w:rsidP="00962E03">
      <w:pPr>
        <w:spacing w:line="360" w:lineRule="auto"/>
        <w:jc w:val="both"/>
        <w:rPr>
          <w:rFonts w:ascii="Arial" w:eastAsia="Arial" w:hAnsi="Arial" w:cs="Arial"/>
          <w:sz w:val="24"/>
          <w:szCs w:val="24"/>
        </w:rPr>
      </w:pPr>
      <w:r>
        <w:rPr>
          <w:rFonts w:ascii="Arial" w:eastAsia="Arial" w:hAnsi="Arial" w:cs="Arial"/>
          <w:b/>
          <w:i/>
          <w:sz w:val="24"/>
          <w:szCs w:val="24"/>
        </w:rPr>
        <w:t>iv)</w:t>
      </w:r>
      <w:r>
        <w:rPr>
          <w:rFonts w:ascii="Arial" w:eastAsia="Arial" w:hAnsi="Arial" w:cs="Arial"/>
          <w:b/>
          <w:sz w:val="24"/>
          <w:szCs w:val="24"/>
        </w:rPr>
        <w:t xml:space="preserve"> Condiciones externas y medios de ejecución.</w:t>
      </w:r>
      <w:r>
        <w:rPr>
          <w:rFonts w:ascii="Arial" w:eastAsia="Arial" w:hAnsi="Arial" w:cs="Arial"/>
          <w:sz w:val="24"/>
          <w:szCs w:val="24"/>
        </w:rPr>
        <w:t xml:space="preserve"> La difusión del video con contenido calumnioso se realizó en el periodo de campaña dentro del PEL 2021-2022, a través de las redes sociales y plataformas digitales de la denunciada. La interacción que tales publicaciones fueron las siguientes:</w:t>
      </w:r>
    </w:p>
    <w:p w14:paraId="6E81BF2A" w14:textId="77777777" w:rsidR="00B46FE6" w:rsidRDefault="00B46FE6" w:rsidP="00274769">
      <w:pPr>
        <w:pStyle w:val="Sinespaciado"/>
        <w:rPr>
          <w:rFonts w:eastAsia="Arial"/>
        </w:rPr>
      </w:pPr>
    </w:p>
    <w:tbl>
      <w:tblPr>
        <w:tblStyle w:val="Tabladecuadrcula4-nfasis31"/>
        <w:tblpPr w:leftFromText="141" w:rightFromText="141" w:vertAnchor="text" w:horzAnchor="margin" w:tblpXSpec="center" w:tblpY="42"/>
        <w:tblW w:w="6091" w:type="dxa"/>
        <w:tblLayout w:type="fixed"/>
        <w:tblLook w:val="04A0" w:firstRow="1" w:lastRow="0" w:firstColumn="1" w:lastColumn="0" w:noHBand="0" w:noVBand="1"/>
      </w:tblPr>
      <w:tblGrid>
        <w:gridCol w:w="3114"/>
        <w:gridCol w:w="2977"/>
      </w:tblGrid>
      <w:tr w:rsidR="00962E03" w:rsidRPr="00962E03" w14:paraId="4975C2A3" w14:textId="77777777" w:rsidTr="00B46FE6">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19E51073" w14:textId="77777777" w:rsidR="00962E03" w:rsidRPr="00962E03" w:rsidRDefault="00962E03" w:rsidP="00962E03">
            <w:pPr>
              <w:jc w:val="center"/>
              <w:rPr>
                <w:rFonts w:ascii="Arial" w:eastAsia="Arial" w:hAnsi="Arial" w:cs="Arial"/>
                <w:color w:val="000000"/>
                <w:sz w:val="18"/>
                <w:szCs w:val="18"/>
              </w:rPr>
            </w:pPr>
            <w:r w:rsidRPr="00962E03">
              <w:rPr>
                <w:rFonts w:ascii="Arial" w:eastAsia="Arial" w:hAnsi="Arial" w:cs="Arial"/>
                <w:color w:val="000000"/>
                <w:sz w:val="18"/>
                <w:szCs w:val="18"/>
              </w:rPr>
              <w:t>Red social y/o plataforma digital</w:t>
            </w:r>
          </w:p>
        </w:tc>
        <w:tc>
          <w:tcPr>
            <w:tcW w:w="2977" w:type="dxa"/>
            <w:vAlign w:val="center"/>
          </w:tcPr>
          <w:p w14:paraId="03B4C853" w14:textId="77777777" w:rsidR="00962E03" w:rsidRPr="00962E03" w:rsidRDefault="00962E03" w:rsidP="00962E03">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sidRPr="00962E03">
              <w:rPr>
                <w:rFonts w:ascii="Arial" w:eastAsia="Arial" w:hAnsi="Arial" w:cs="Arial"/>
                <w:color w:val="000000"/>
                <w:sz w:val="18"/>
                <w:szCs w:val="18"/>
              </w:rPr>
              <w:t>Interacción</w:t>
            </w:r>
          </w:p>
        </w:tc>
      </w:tr>
      <w:tr w:rsidR="00962E03" w:rsidRPr="00962E03" w14:paraId="3FA85FDC" w14:textId="77777777" w:rsidTr="00B46FE6">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45B8C0AE" w14:textId="77777777" w:rsidR="00962E03" w:rsidRPr="00962E03" w:rsidRDefault="00962E03" w:rsidP="00962E03">
            <w:pPr>
              <w:jc w:val="center"/>
              <w:rPr>
                <w:rFonts w:ascii="Arial" w:eastAsia="Arial" w:hAnsi="Arial" w:cs="Arial"/>
                <w:bCs w:val="0"/>
                <w:sz w:val="18"/>
                <w:szCs w:val="18"/>
              </w:rPr>
            </w:pPr>
            <w:r w:rsidRPr="00962E03">
              <w:rPr>
                <w:rFonts w:ascii="Arial" w:eastAsia="Arial" w:hAnsi="Arial" w:cs="Arial"/>
                <w:sz w:val="18"/>
                <w:szCs w:val="18"/>
              </w:rPr>
              <w:t>Facebook</w:t>
            </w:r>
          </w:p>
        </w:tc>
        <w:tc>
          <w:tcPr>
            <w:tcW w:w="2977" w:type="dxa"/>
            <w:vAlign w:val="center"/>
          </w:tcPr>
          <w:p w14:paraId="5BC4A867" w14:textId="77777777" w:rsidR="00962E03" w:rsidRPr="00B46FE6" w:rsidRDefault="00962E03" w:rsidP="00B46FE6">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B46FE6">
              <w:rPr>
                <w:rFonts w:ascii="Arial" w:eastAsia="Arial" w:hAnsi="Arial" w:cs="Arial"/>
                <w:sz w:val="18"/>
                <w:szCs w:val="18"/>
              </w:rPr>
              <w:t>397 comentarios</w:t>
            </w:r>
          </w:p>
          <w:p w14:paraId="227D656A" w14:textId="77777777" w:rsidR="00962E03" w:rsidRPr="00B46FE6" w:rsidRDefault="00962E03" w:rsidP="00B46FE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B46FE6">
              <w:rPr>
                <w:rFonts w:ascii="Arial" w:eastAsia="Arial" w:hAnsi="Arial" w:cs="Arial"/>
                <w:sz w:val="18"/>
                <w:szCs w:val="18"/>
              </w:rPr>
              <w:t>45 mil reproducciones</w:t>
            </w:r>
          </w:p>
        </w:tc>
      </w:tr>
      <w:tr w:rsidR="00962E03" w:rsidRPr="00962E03" w14:paraId="249781D8" w14:textId="77777777" w:rsidTr="00B46FE6">
        <w:trPr>
          <w:trHeight w:val="346"/>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39725849" w14:textId="77777777" w:rsidR="00962E03" w:rsidRPr="00962E03" w:rsidRDefault="00962E03" w:rsidP="00962E03">
            <w:pPr>
              <w:jc w:val="center"/>
              <w:rPr>
                <w:rFonts w:ascii="Arial" w:eastAsia="Arial" w:hAnsi="Arial" w:cs="Arial"/>
                <w:bCs w:val="0"/>
                <w:sz w:val="18"/>
                <w:szCs w:val="18"/>
              </w:rPr>
            </w:pPr>
            <w:r w:rsidRPr="00962E03">
              <w:rPr>
                <w:rFonts w:ascii="Arial" w:eastAsia="Arial" w:hAnsi="Arial" w:cs="Arial"/>
                <w:sz w:val="18"/>
                <w:szCs w:val="18"/>
              </w:rPr>
              <w:t>Instagram</w:t>
            </w:r>
          </w:p>
        </w:tc>
        <w:tc>
          <w:tcPr>
            <w:tcW w:w="2977" w:type="dxa"/>
            <w:vAlign w:val="center"/>
          </w:tcPr>
          <w:p w14:paraId="72B1A86E" w14:textId="77777777" w:rsidR="00962E03" w:rsidRPr="00B46FE6" w:rsidRDefault="00962E03" w:rsidP="00B46FE6">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B46FE6">
              <w:rPr>
                <w:rFonts w:ascii="Arial" w:eastAsia="Arial" w:hAnsi="Arial" w:cs="Arial"/>
                <w:sz w:val="18"/>
                <w:szCs w:val="18"/>
              </w:rPr>
              <w:t>1,518 reproducciones</w:t>
            </w:r>
          </w:p>
        </w:tc>
      </w:tr>
      <w:tr w:rsidR="00962E03" w:rsidRPr="00962E03" w14:paraId="6CC3EA22" w14:textId="77777777" w:rsidTr="00B46FE6">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635CF4F0" w14:textId="77777777" w:rsidR="00962E03" w:rsidRPr="00962E03" w:rsidRDefault="00962E03" w:rsidP="00962E03">
            <w:pPr>
              <w:jc w:val="center"/>
              <w:rPr>
                <w:rFonts w:ascii="Arial" w:eastAsia="Arial" w:hAnsi="Arial" w:cs="Arial"/>
                <w:b w:val="0"/>
                <w:sz w:val="18"/>
                <w:szCs w:val="18"/>
              </w:rPr>
            </w:pPr>
            <w:proofErr w:type="spellStart"/>
            <w:r w:rsidRPr="00962E03">
              <w:rPr>
                <w:rFonts w:ascii="Arial" w:eastAsia="Arial" w:hAnsi="Arial" w:cs="Arial"/>
                <w:sz w:val="18"/>
                <w:szCs w:val="18"/>
              </w:rPr>
              <w:t>Youtube</w:t>
            </w:r>
            <w:proofErr w:type="spellEnd"/>
          </w:p>
        </w:tc>
        <w:tc>
          <w:tcPr>
            <w:tcW w:w="2977" w:type="dxa"/>
            <w:vAlign w:val="center"/>
          </w:tcPr>
          <w:p w14:paraId="002D813E" w14:textId="77777777" w:rsidR="00962E03" w:rsidRPr="00B46FE6" w:rsidRDefault="00962E03" w:rsidP="00B46FE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B46FE6">
              <w:rPr>
                <w:rFonts w:ascii="Arial" w:eastAsia="Arial" w:hAnsi="Arial" w:cs="Arial"/>
                <w:sz w:val="18"/>
                <w:szCs w:val="18"/>
              </w:rPr>
              <w:t>131,221 visualizaciones</w:t>
            </w:r>
          </w:p>
        </w:tc>
      </w:tr>
    </w:tbl>
    <w:p w14:paraId="60560CA7" w14:textId="32FA068D" w:rsidR="00962E03" w:rsidRDefault="00962E03">
      <w:pPr>
        <w:spacing w:before="240" w:after="240" w:line="360" w:lineRule="auto"/>
        <w:jc w:val="both"/>
        <w:rPr>
          <w:rFonts w:ascii="Arial" w:eastAsia="Arial" w:hAnsi="Arial" w:cs="Arial"/>
          <w:sz w:val="24"/>
          <w:szCs w:val="24"/>
        </w:rPr>
      </w:pPr>
    </w:p>
    <w:p w14:paraId="62188557" w14:textId="61C0502B" w:rsidR="00962E03" w:rsidRDefault="00962E03">
      <w:pPr>
        <w:spacing w:before="240" w:after="240" w:line="360" w:lineRule="auto"/>
        <w:jc w:val="both"/>
        <w:rPr>
          <w:rFonts w:ascii="Arial" w:eastAsia="Arial" w:hAnsi="Arial" w:cs="Arial"/>
          <w:sz w:val="24"/>
          <w:szCs w:val="24"/>
        </w:rPr>
      </w:pPr>
    </w:p>
    <w:p w14:paraId="29D05B3D" w14:textId="77777777" w:rsidR="00962E03" w:rsidRDefault="00962E03" w:rsidP="00962E03">
      <w:pPr>
        <w:spacing w:before="240" w:line="360" w:lineRule="auto"/>
        <w:jc w:val="both"/>
        <w:rPr>
          <w:rFonts w:ascii="Arial" w:eastAsia="Arial" w:hAnsi="Arial" w:cs="Arial"/>
          <w:b/>
          <w:i/>
          <w:sz w:val="24"/>
          <w:szCs w:val="24"/>
        </w:rPr>
      </w:pPr>
    </w:p>
    <w:p w14:paraId="008FE9CE" w14:textId="75087FB7" w:rsidR="00256634" w:rsidRDefault="000F0709" w:rsidP="00B46FE6">
      <w:pPr>
        <w:spacing w:after="240" w:line="360" w:lineRule="auto"/>
        <w:jc w:val="both"/>
        <w:rPr>
          <w:rFonts w:ascii="Arial" w:eastAsia="Arial" w:hAnsi="Arial" w:cs="Arial"/>
          <w:sz w:val="24"/>
          <w:szCs w:val="24"/>
        </w:rPr>
      </w:pPr>
      <w:r>
        <w:rPr>
          <w:rFonts w:ascii="Arial" w:eastAsia="Arial" w:hAnsi="Arial" w:cs="Arial"/>
          <w:b/>
          <w:i/>
          <w:sz w:val="24"/>
          <w:szCs w:val="24"/>
        </w:rPr>
        <w:t>v)</w:t>
      </w:r>
      <w:r>
        <w:rPr>
          <w:rFonts w:ascii="Arial" w:eastAsia="Arial" w:hAnsi="Arial" w:cs="Arial"/>
          <w:b/>
          <w:sz w:val="24"/>
          <w:szCs w:val="24"/>
        </w:rPr>
        <w:t xml:space="preserve"> Beneficio o lucro.</w:t>
      </w:r>
      <w:r>
        <w:rPr>
          <w:rFonts w:ascii="Arial" w:eastAsia="Arial" w:hAnsi="Arial" w:cs="Arial"/>
          <w:sz w:val="24"/>
          <w:szCs w:val="24"/>
        </w:rPr>
        <w:t xml:space="preserve"> En el caso, de las constancias que obran en el expediente no se advierte que haya obtenido un lucro cuantificable con la realización de las conductas sancionadas; sin embargo, sí existió una violación al principio de legalidad en la contienda electoral al expresar manifestaciones calumniosas sin tener sustento alguno.</w:t>
      </w:r>
    </w:p>
    <w:p w14:paraId="2C092AF3" w14:textId="77777777" w:rsidR="00256634" w:rsidRDefault="000F0709">
      <w:pPr>
        <w:spacing w:before="240" w:after="240" w:line="360" w:lineRule="auto"/>
        <w:jc w:val="both"/>
        <w:rPr>
          <w:rFonts w:ascii="Arial" w:eastAsia="Arial" w:hAnsi="Arial" w:cs="Arial"/>
          <w:sz w:val="24"/>
          <w:szCs w:val="24"/>
        </w:rPr>
      </w:pPr>
      <w:r>
        <w:rPr>
          <w:rFonts w:ascii="Arial" w:eastAsia="Arial" w:hAnsi="Arial" w:cs="Arial"/>
          <w:b/>
          <w:i/>
          <w:sz w:val="24"/>
          <w:szCs w:val="24"/>
        </w:rPr>
        <w:t>vi)</w:t>
      </w:r>
      <w:r>
        <w:rPr>
          <w:rFonts w:ascii="Arial" w:eastAsia="Arial" w:hAnsi="Arial" w:cs="Arial"/>
          <w:b/>
          <w:sz w:val="24"/>
          <w:szCs w:val="24"/>
        </w:rPr>
        <w:t xml:space="preserve"> Intencionalidad (comisión dolosa o culposa).</w:t>
      </w:r>
      <w:r>
        <w:rPr>
          <w:rFonts w:ascii="Arial" w:eastAsia="Arial" w:hAnsi="Arial" w:cs="Arial"/>
          <w:sz w:val="24"/>
          <w:szCs w:val="24"/>
        </w:rPr>
        <w:t xml:space="preserve"> Se encuentra acreditado que la candidata tuvo la intención de difundir el video que contenía expresiones calumniosas, con la finalidad de obtener un mejor posicionamiento durante el presente proceso electoral, a través de manifestaciones que constituyen imputaciones directas a los quejosos.</w:t>
      </w:r>
    </w:p>
    <w:p w14:paraId="76C17F12" w14:textId="77777777" w:rsidR="00256634" w:rsidRDefault="000F0709">
      <w:pPr>
        <w:spacing w:before="240" w:after="240" w:line="360" w:lineRule="auto"/>
        <w:jc w:val="both"/>
        <w:rPr>
          <w:rFonts w:ascii="Arial" w:eastAsia="Arial" w:hAnsi="Arial" w:cs="Arial"/>
          <w:sz w:val="24"/>
          <w:szCs w:val="24"/>
        </w:rPr>
      </w:pPr>
      <w:proofErr w:type="spellStart"/>
      <w:r>
        <w:rPr>
          <w:rFonts w:ascii="Arial" w:eastAsia="Arial" w:hAnsi="Arial" w:cs="Arial"/>
          <w:b/>
          <w:i/>
          <w:sz w:val="24"/>
          <w:szCs w:val="24"/>
        </w:rPr>
        <w:t>vii</w:t>
      </w:r>
      <w:proofErr w:type="spellEnd"/>
      <w:r>
        <w:rPr>
          <w:rFonts w:ascii="Arial" w:eastAsia="Arial" w:hAnsi="Arial" w:cs="Arial"/>
          <w:b/>
          <w:i/>
          <w:sz w:val="24"/>
          <w:szCs w:val="24"/>
        </w:rPr>
        <w:t>)</w:t>
      </w:r>
      <w:r>
        <w:rPr>
          <w:sz w:val="14"/>
          <w:szCs w:val="14"/>
        </w:rPr>
        <w:t xml:space="preserve"> </w:t>
      </w:r>
      <w:r>
        <w:rPr>
          <w:rFonts w:ascii="Arial" w:eastAsia="Arial" w:hAnsi="Arial" w:cs="Arial"/>
          <w:b/>
          <w:sz w:val="24"/>
          <w:szCs w:val="24"/>
        </w:rPr>
        <w:t>Reincidencia.</w:t>
      </w:r>
      <w:r>
        <w:rPr>
          <w:rFonts w:ascii="Arial" w:eastAsia="Arial" w:hAnsi="Arial" w:cs="Arial"/>
          <w:sz w:val="24"/>
          <w:szCs w:val="24"/>
        </w:rPr>
        <w:t xml:space="preserve"> De conformidad con el artículo 251, segundo párrafo, del Código Electoral se considerará reincidente, a quien haya sido declarado responsable del </w:t>
      </w:r>
      <w:r>
        <w:rPr>
          <w:rFonts w:ascii="Arial" w:eastAsia="Arial" w:hAnsi="Arial" w:cs="Arial"/>
          <w:sz w:val="24"/>
          <w:szCs w:val="24"/>
        </w:rPr>
        <w:lastRenderedPageBreak/>
        <w:t xml:space="preserve">incumplimiento de alguna de las obligaciones a que se refiere la ley e incurre nuevamente en la misma conducta infractora, </w:t>
      </w:r>
      <w:r>
        <w:rPr>
          <w:rFonts w:ascii="Arial" w:eastAsia="Arial" w:hAnsi="Arial" w:cs="Arial"/>
          <w:b/>
          <w:sz w:val="24"/>
          <w:szCs w:val="24"/>
        </w:rPr>
        <w:t>lo que en el presente caso no ocurre</w:t>
      </w:r>
      <w:r>
        <w:rPr>
          <w:rFonts w:ascii="Arial" w:eastAsia="Arial" w:hAnsi="Arial" w:cs="Arial"/>
          <w:sz w:val="24"/>
          <w:szCs w:val="24"/>
        </w:rPr>
        <w:t>.</w:t>
      </w:r>
    </w:p>
    <w:p w14:paraId="7834D63A" w14:textId="77777777" w:rsidR="00256634" w:rsidRDefault="000F0709">
      <w:pPr>
        <w:spacing w:before="240" w:after="240" w:line="360" w:lineRule="auto"/>
        <w:jc w:val="both"/>
        <w:rPr>
          <w:rFonts w:ascii="Arial" w:eastAsia="Arial" w:hAnsi="Arial" w:cs="Arial"/>
          <w:sz w:val="24"/>
          <w:szCs w:val="24"/>
        </w:rPr>
      </w:pPr>
      <w:proofErr w:type="spellStart"/>
      <w:r>
        <w:rPr>
          <w:rFonts w:ascii="Arial" w:eastAsia="Arial" w:hAnsi="Arial" w:cs="Arial"/>
          <w:b/>
          <w:i/>
          <w:sz w:val="24"/>
          <w:szCs w:val="24"/>
        </w:rPr>
        <w:t>viii</w:t>
      </w:r>
      <w:proofErr w:type="spellEnd"/>
      <w:r>
        <w:rPr>
          <w:rFonts w:ascii="Arial" w:eastAsia="Arial" w:hAnsi="Arial" w:cs="Arial"/>
          <w:b/>
          <w:i/>
          <w:sz w:val="24"/>
          <w:szCs w:val="24"/>
        </w:rPr>
        <w:t>)</w:t>
      </w:r>
      <w:r>
        <w:rPr>
          <w:sz w:val="14"/>
          <w:szCs w:val="14"/>
        </w:rPr>
        <w:t xml:space="preserve"> </w:t>
      </w:r>
      <w:r>
        <w:rPr>
          <w:rFonts w:ascii="Arial" w:eastAsia="Arial" w:hAnsi="Arial" w:cs="Arial"/>
          <w:b/>
          <w:sz w:val="24"/>
          <w:szCs w:val="24"/>
        </w:rPr>
        <w:t>Impacto en las actividades del sujeto infractor.</w:t>
      </w:r>
      <w:r>
        <w:rPr>
          <w:rFonts w:ascii="Arial" w:eastAsia="Arial" w:hAnsi="Arial" w:cs="Arial"/>
          <w:sz w:val="24"/>
          <w:szCs w:val="24"/>
        </w:rPr>
        <w:t xml:space="preserve"> Derivado de la naturaleza de la sanción impuesta, no impacta en modo alguno en las actividades de la candidata sancionada.</w:t>
      </w:r>
    </w:p>
    <w:p w14:paraId="1E0B5AE5" w14:textId="77777777" w:rsidR="00256634" w:rsidRPr="00962E03" w:rsidRDefault="000F0709" w:rsidP="00962E03">
      <w:pPr>
        <w:pStyle w:val="Prrafodelista"/>
        <w:numPr>
          <w:ilvl w:val="0"/>
          <w:numId w:val="8"/>
        </w:numPr>
        <w:spacing w:before="240" w:after="240" w:line="360" w:lineRule="auto"/>
        <w:ind w:left="284" w:hanging="284"/>
        <w:jc w:val="both"/>
        <w:rPr>
          <w:rFonts w:ascii="Arial" w:eastAsia="Arial" w:hAnsi="Arial" w:cs="Arial"/>
          <w:sz w:val="24"/>
          <w:szCs w:val="24"/>
        </w:rPr>
      </w:pPr>
      <w:r w:rsidRPr="00962E03">
        <w:rPr>
          <w:rFonts w:ascii="Arial" w:eastAsia="Arial" w:hAnsi="Arial" w:cs="Arial"/>
          <w:b/>
          <w:sz w:val="24"/>
          <w:szCs w:val="24"/>
          <w:u w:val="single"/>
        </w:rPr>
        <w:t>Calificación de la responsabilidad</w:t>
      </w:r>
    </w:p>
    <w:p w14:paraId="34AAC55B" w14:textId="77777777" w:rsidR="00256634" w:rsidRDefault="000F0709">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 partir de las circunstancias en el presente caso, este Tribunal Electoral estima que la infracción en que incurrió la candidata denunciada Nora Ruvalcaba Gámez es </w:t>
      </w:r>
      <w:r>
        <w:rPr>
          <w:rFonts w:ascii="Arial" w:eastAsia="Arial" w:hAnsi="Arial" w:cs="Arial"/>
          <w:b/>
          <w:sz w:val="24"/>
          <w:szCs w:val="24"/>
        </w:rPr>
        <w:t>grave ordinaria</w:t>
      </w:r>
      <w:r>
        <w:rPr>
          <w:rFonts w:ascii="Arial" w:eastAsia="Arial" w:hAnsi="Arial" w:cs="Arial"/>
          <w:sz w:val="24"/>
          <w:szCs w:val="24"/>
        </w:rPr>
        <w:t xml:space="preserve">, mientras que para el partido político Morena resulta </w:t>
      </w:r>
      <w:r>
        <w:rPr>
          <w:rFonts w:ascii="Arial" w:eastAsia="Arial" w:hAnsi="Arial" w:cs="Arial"/>
          <w:b/>
          <w:sz w:val="24"/>
          <w:szCs w:val="24"/>
        </w:rPr>
        <w:t>levísima</w:t>
      </w:r>
      <w:r>
        <w:rPr>
          <w:rFonts w:ascii="Arial" w:eastAsia="Arial" w:hAnsi="Arial" w:cs="Arial"/>
          <w:sz w:val="24"/>
          <w:szCs w:val="24"/>
        </w:rPr>
        <w:t>, en virtud de que su responsabilidad sobre la conducta denunciada es indirecta, ya que no se le puede desvincular de las acciones que su candidata a la gubernatura realice.</w:t>
      </w:r>
    </w:p>
    <w:p w14:paraId="1661F673" w14:textId="77777777" w:rsidR="00256634" w:rsidRDefault="000F0709">
      <w:pPr>
        <w:spacing w:before="240" w:after="240" w:line="360" w:lineRule="auto"/>
        <w:jc w:val="both"/>
        <w:rPr>
          <w:rFonts w:ascii="Arial" w:eastAsia="Arial" w:hAnsi="Arial" w:cs="Arial"/>
          <w:sz w:val="24"/>
          <w:szCs w:val="24"/>
        </w:rPr>
      </w:pPr>
      <w:r>
        <w:rPr>
          <w:rFonts w:ascii="Arial" w:eastAsia="Arial" w:hAnsi="Arial" w:cs="Arial"/>
          <w:sz w:val="24"/>
          <w:szCs w:val="24"/>
        </w:rPr>
        <w:t>Ello es así, porque si bien los bienes jurídicos tutelados son el honor y la imagen de los denunciantes, lo cierto es que la vulneración a dichos bienes surgió con motivo de una serie de manifestaciones realizadas por parte de la denunciada respecto a diversas fuerzas políticas, en ejercicio de su derecho a la libertad de expresión y del debate político, sin embargo, en el transcurso indebidamente realizó señalamientos contrarios a Derecho.</w:t>
      </w:r>
    </w:p>
    <w:p w14:paraId="47384AB5" w14:textId="77777777" w:rsidR="00256634" w:rsidRDefault="000F0709">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Además, esta autoridad jurisdiccional toma en cuenta que el video se difundió a través de las redes sociales de Facebook, Instagram y </w:t>
      </w:r>
      <w:proofErr w:type="spellStart"/>
      <w:r>
        <w:rPr>
          <w:rFonts w:ascii="Arial" w:eastAsia="Arial" w:hAnsi="Arial" w:cs="Arial"/>
          <w:sz w:val="24"/>
          <w:szCs w:val="24"/>
        </w:rPr>
        <w:t>Youtube</w:t>
      </w:r>
      <w:proofErr w:type="spellEnd"/>
      <w:r>
        <w:rPr>
          <w:rFonts w:ascii="Arial" w:eastAsia="Arial" w:hAnsi="Arial" w:cs="Arial"/>
          <w:sz w:val="24"/>
          <w:szCs w:val="24"/>
        </w:rPr>
        <w:t xml:space="preserve"> -durante un lapso de </w:t>
      </w:r>
      <w:r>
        <w:rPr>
          <w:rFonts w:ascii="Arial" w:eastAsia="Arial" w:hAnsi="Arial" w:cs="Arial"/>
          <w:b/>
          <w:sz w:val="24"/>
          <w:szCs w:val="24"/>
        </w:rPr>
        <w:t>quince días</w:t>
      </w:r>
      <w:r>
        <w:rPr>
          <w:rFonts w:ascii="Arial" w:eastAsia="Arial" w:hAnsi="Arial" w:cs="Arial"/>
          <w:sz w:val="24"/>
          <w:szCs w:val="24"/>
        </w:rPr>
        <w:t>-, los cuales son considerados como un medio masivo de comunicación, pero a pesar de ello, este Tribunal ha estimado que el alcance o difusión que tales publicaciones tengan depende de la voluntad que la y el usuario tenga de interactuar con dichas publicaciones.</w:t>
      </w:r>
    </w:p>
    <w:p w14:paraId="5596CCAE" w14:textId="32C4D800" w:rsidR="00256634" w:rsidRDefault="000F0709">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tanto, en atención a que la conducta infractora desplegada por la candidata denunciada contraviene los límites a la libertad de expresión, este Tribunal estima que la calificación de la </w:t>
      </w:r>
      <w:r w:rsidR="000660DA">
        <w:rPr>
          <w:rFonts w:ascii="Arial" w:eastAsia="Arial" w:hAnsi="Arial" w:cs="Arial"/>
          <w:sz w:val="24"/>
          <w:szCs w:val="24"/>
        </w:rPr>
        <w:t xml:space="preserve">falta, como </w:t>
      </w:r>
      <w:r>
        <w:rPr>
          <w:rFonts w:ascii="Arial" w:eastAsia="Arial" w:hAnsi="Arial" w:cs="Arial"/>
          <w:b/>
          <w:sz w:val="24"/>
          <w:szCs w:val="24"/>
        </w:rPr>
        <w:t>grave ordinaria</w:t>
      </w:r>
      <w:r>
        <w:rPr>
          <w:rFonts w:ascii="Arial" w:eastAsia="Arial" w:hAnsi="Arial" w:cs="Arial"/>
          <w:sz w:val="24"/>
          <w:szCs w:val="24"/>
        </w:rPr>
        <w:t xml:space="preserve"> es adecuada.</w:t>
      </w:r>
    </w:p>
    <w:p w14:paraId="153721A1" w14:textId="77777777" w:rsidR="00256634" w:rsidRPr="00962E03" w:rsidRDefault="000F0709" w:rsidP="00962E03">
      <w:pPr>
        <w:pStyle w:val="Prrafodelista"/>
        <w:numPr>
          <w:ilvl w:val="0"/>
          <w:numId w:val="8"/>
        </w:numPr>
        <w:tabs>
          <w:tab w:val="left" w:pos="426"/>
        </w:tabs>
        <w:spacing w:before="240" w:after="240" w:line="360" w:lineRule="auto"/>
        <w:ind w:left="0" w:firstLine="0"/>
        <w:jc w:val="both"/>
        <w:rPr>
          <w:rFonts w:ascii="Arial" w:eastAsia="Arial" w:hAnsi="Arial" w:cs="Arial"/>
          <w:sz w:val="24"/>
          <w:szCs w:val="24"/>
        </w:rPr>
      </w:pPr>
      <w:r w:rsidRPr="00962E03">
        <w:rPr>
          <w:rFonts w:ascii="Arial" w:eastAsia="Arial" w:hAnsi="Arial" w:cs="Arial"/>
          <w:b/>
          <w:sz w:val="24"/>
          <w:szCs w:val="24"/>
          <w:u w:val="single"/>
        </w:rPr>
        <w:t>Capacidad económica.</w:t>
      </w:r>
      <w:r w:rsidRPr="00962E03">
        <w:rPr>
          <w:rFonts w:ascii="Arial" w:eastAsia="Arial" w:hAnsi="Arial" w:cs="Arial"/>
          <w:b/>
          <w:sz w:val="24"/>
          <w:szCs w:val="24"/>
        </w:rPr>
        <w:t xml:space="preserve"> </w:t>
      </w:r>
      <w:r w:rsidRPr="00962E03">
        <w:rPr>
          <w:rFonts w:ascii="Arial" w:eastAsia="Arial" w:hAnsi="Arial" w:cs="Arial"/>
          <w:sz w:val="24"/>
          <w:szCs w:val="24"/>
        </w:rPr>
        <w:t>Derivado de la acreditación de la infracción de calumnia atribuida a Nora Ruvalcaba Gámez, este Tribunal Electoral estima que lo procedente es imponer una multa, en términos del artículo 244, párrafo segundo, fracción III, del Código Electoral</w:t>
      </w:r>
    </w:p>
    <w:p w14:paraId="7F11DEF9" w14:textId="77777777" w:rsidR="00256634" w:rsidRDefault="000F0709">
      <w:pPr>
        <w:spacing w:before="240" w:after="240" w:line="360" w:lineRule="auto"/>
        <w:jc w:val="both"/>
        <w:rPr>
          <w:rFonts w:ascii="Arial" w:eastAsia="Arial" w:hAnsi="Arial" w:cs="Arial"/>
          <w:sz w:val="24"/>
          <w:szCs w:val="24"/>
        </w:rPr>
      </w:pPr>
      <w:r>
        <w:rPr>
          <w:rFonts w:ascii="Arial" w:eastAsia="Arial" w:hAnsi="Arial" w:cs="Arial"/>
          <w:sz w:val="24"/>
          <w:szCs w:val="24"/>
        </w:rPr>
        <w:t>Al respecto, la Sala Superior</w:t>
      </w:r>
      <w:r>
        <w:rPr>
          <w:rFonts w:ascii="Arial" w:eastAsia="Arial" w:hAnsi="Arial" w:cs="Arial"/>
          <w:sz w:val="24"/>
          <w:szCs w:val="24"/>
          <w:vertAlign w:val="superscript"/>
        </w:rPr>
        <w:footnoteReference w:id="17"/>
      </w:r>
      <w:r>
        <w:rPr>
          <w:rFonts w:ascii="Arial" w:eastAsia="Arial" w:hAnsi="Arial" w:cs="Arial"/>
          <w:sz w:val="24"/>
          <w:szCs w:val="24"/>
        </w:rPr>
        <w:t xml:space="preserve"> ha determinado que la cuantía o calidad de la multa no depende solo de la capacidad económica de la persona sancionada, sino que también se </w:t>
      </w:r>
      <w:r>
        <w:rPr>
          <w:rFonts w:ascii="Arial" w:eastAsia="Arial" w:hAnsi="Arial" w:cs="Arial"/>
          <w:sz w:val="24"/>
          <w:szCs w:val="24"/>
        </w:rPr>
        <w:lastRenderedPageBreak/>
        <w:t>trata de un ejercicio de racionalidad del órgano jurisdiccional, así como de la valoración conjunta de todos los elementos objetivos y subjetivos de la infracción.</w:t>
      </w:r>
    </w:p>
    <w:p w14:paraId="6BA3ED37" w14:textId="77777777" w:rsidR="00256634" w:rsidRDefault="000F0709">
      <w:pPr>
        <w:spacing w:before="240" w:after="240" w:line="360" w:lineRule="auto"/>
        <w:jc w:val="both"/>
        <w:rPr>
          <w:sz w:val="14"/>
          <w:szCs w:val="14"/>
        </w:rPr>
      </w:pPr>
      <w:r>
        <w:rPr>
          <w:rFonts w:ascii="Arial" w:eastAsia="Arial" w:hAnsi="Arial" w:cs="Arial"/>
          <w:sz w:val="24"/>
          <w:szCs w:val="24"/>
        </w:rPr>
        <w:t>Por tanto, ello implica que, con independencia de que no se cuente con las constancias idóneas, este Tribunal Electoral se encuentre en posibilidad de imponer una sanción económica a la infractora, bajo un ejercicio de racionalidad y a partir de una valoración integral de la infracción.</w:t>
      </w:r>
      <w:r>
        <w:rPr>
          <w:sz w:val="14"/>
          <w:szCs w:val="14"/>
        </w:rPr>
        <w:t xml:space="preserve"> </w:t>
      </w:r>
    </w:p>
    <w:p w14:paraId="0AD05371" w14:textId="77777777" w:rsidR="00256634" w:rsidRPr="00962E03" w:rsidRDefault="000F0709" w:rsidP="00962E03">
      <w:pPr>
        <w:pStyle w:val="Prrafodelista"/>
        <w:numPr>
          <w:ilvl w:val="0"/>
          <w:numId w:val="8"/>
        </w:numPr>
        <w:spacing w:before="240" w:after="240" w:line="360" w:lineRule="auto"/>
        <w:ind w:left="284" w:hanging="284"/>
        <w:jc w:val="both"/>
        <w:rPr>
          <w:rFonts w:ascii="Arial" w:eastAsia="Arial" w:hAnsi="Arial" w:cs="Arial"/>
          <w:sz w:val="24"/>
          <w:szCs w:val="24"/>
        </w:rPr>
      </w:pPr>
      <w:r w:rsidRPr="00962E03">
        <w:rPr>
          <w:rFonts w:ascii="Arial" w:eastAsia="Arial" w:hAnsi="Arial" w:cs="Arial"/>
          <w:b/>
          <w:sz w:val="24"/>
          <w:szCs w:val="24"/>
          <w:u w:val="single"/>
        </w:rPr>
        <w:t>Sanción</w:t>
      </w:r>
    </w:p>
    <w:p w14:paraId="751DBE49" w14:textId="40492389" w:rsidR="00256634" w:rsidRDefault="000F0709">
      <w:pPr>
        <w:spacing w:before="240" w:after="240" w:line="360" w:lineRule="auto"/>
        <w:jc w:val="both"/>
        <w:rPr>
          <w:rFonts w:ascii="Arial" w:eastAsia="Arial" w:hAnsi="Arial" w:cs="Arial"/>
          <w:sz w:val="24"/>
          <w:szCs w:val="24"/>
        </w:rPr>
      </w:pPr>
      <w:r>
        <w:rPr>
          <w:rFonts w:ascii="Arial" w:eastAsia="Arial" w:hAnsi="Arial" w:cs="Arial"/>
          <w:sz w:val="24"/>
          <w:szCs w:val="24"/>
        </w:rPr>
        <w:t>Con base en el artículo 244, fracción IV, del Código Electoral</w:t>
      </w:r>
      <w:r>
        <w:rPr>
          <w:rFonts w:ascii="Arial" w:eastAsia="Arial" w:hAnsi="Arial" w:cs="Arial"/>
          <w:sz w:val="24"/>
          <w:szCs w:val="24"/>
          <w:vertAlign w:val="superscript"/>
        </w:rPr>
        <w:footnoteReference w:id="18"/>
      </w:r>
      <w:r>
        <w:rPr>
          <w:rFonts w:ascii="Arial" w:eastAsia="Arial" w:hAnsi="Arial" w:cs="Arial"/>
          <w:sz w:val="24"/>
          <w:szCs w:val="24"/>
        </w:rPr>
        <w:t xml:space="preserve"> y teniendo presente los elementos objetivos y subjetivos de la infracción, especialmente, los bienes jurídicos protegidos y los efectos de la misma, así como la conducta, se considera que lo procedente es imponer a la candidata Nora Ruvalcaba Gámez, la sanción prevista en el artículo 244, párrafo segundo, fracción III, del Código Electoral</w:t>
      </w:r>
      <w:r>
        <w:rPr>
          <w:rFonts w:ascii="Arial" w:eastAsia="Arial" w:hAnsi="Arial" w:cs="Arial"/>
          <w:sz w:val="24"/>
          <w:szCs w:val="24"/>
          <w:vertAlign w:val="superscript"/>
        </w:rPr>
        <w:footnoteReference w:id="19"/>
      </w:r>
      <w:r>
        <w:rPr>
          <w:rFonts w:ascii="Arial" w:eastAsia="Arial" w:hAnsi="Arial" w:cs="Arial"/>
          <w:sz w:val="24"/>
          <w:szCs w:val="24"/>
        </w:rPr>
        <w:t xml:space="preserve"> consistente en una </w:t>
      </w:r>
      <w:r>
        <w:rPr>
          <w:rFonts w:ascii="Arial" w:eastAsia="Arial" w:hAnsi="Arial" w:cs="Arial"/>
          <w:b/>
          <w:sz w:val="24"/>
          <w:szCs w:val="24"/>
        </w:rPr>
        <w:t xml:space="preserve">multa simbólica de </w:t>
      </w:r>
      <w:r w:rsidR="002147C0">
        <w:rPr>
          <w:rFonts w:ascii="Arial" w:eastAsia="Arial" w:hAnsi="Arial" w:cs="Arial"/>
          <w:b/>
          <w:sz w:val="24"/>
          <w:szCs w:val="24"/>
        </w:rPr>
        <w:t>40</w:t>
      </w:r>
      <w:r>
        <w:rPr>
          <w:rFonts w:ascii="Arial" w:eastAsia="Arial" w:hAnsi="Arial" w:cs="Arial"/>
          <w:b/>
          <w:sz w:val="24"/>
          <w:szCs w:val="24"/>
        </w:rPr>
        <w:t xml:space="preserve"> UMAS</w:t>
      </w:r>
      <w:r w:rsidR="00274769">
        <w:rPr>
          <w:rStyle w:val="Refdenotaalpie"/>
          <w:rFonts w:ascii="Arial" w:eastAsia="Arial" w:hAnsi="Arial" w:cs="Arial"/>
          <w:b/>
          <w:sz w:val="24"/>
          <w:szCs w:val="24"/>
        </w:rPr>
        <w:footnoteReference w:id="20"/>
      </w:r>
      <w:r>
        <w:rPr>
          <w:rFonts w:ascii="Arial" w:eastAsia="Arial" w:hAnsi="Arial" w:cs="Arial"/>
          <w:sz w:val="24"/>
          <w:szCs w:val="24"/>
        </w:rPr>
        <w:t xml:space="preserve"> (</w:t>
      </w:r>
      <w:r w:rsidR="002147C0">
        <w:rPr>
          <w:rFonts w:ascii="Arial" w:eastAsia="Arial" w:hAnsi="Arial" w:cs="Arial"/>
          <w:sz w:val="24"/>
          <w:szCs w:val="24"/>
        </w:rPr>
        <w:t>Cuarenta</w:t>
      </w:r>
      <w:r>
        <w:rPr>
          <w:rFonts w:ascii="Arial" w:eastAsia="Arial" w:hAnsi="Arial" w:cs="Arial"/>
          <w:sz w:val="24"/>
          <w:szCs w:val="24"/>
        </w:rPr>
        <w:t xml:space="preserve"> Unidades de Medida y Actualización) </w:t>
      </w:r>
      <w:r w:rsidR="002147C0" w:rsidRPr="002147C0">
        <w:rPr>
          <w:rFonts w:ascii="Arial" w:eastAsia="Arial" w:hAnsi="Arial" w:cs="Arial"/>
          <w:sz w:val="24"/>
          <w:szCs w:val="24"/>
        </w:rPr>
        <w:t>equivalente a $3,848.80 (Tres mil ochocientos cuarenta y ocho pesos 80/100 M.N.)</w:t>
      </w:r>
    </w:p>
    <w:p w14:paraId="501D8AD8" w14:textId="79BE87F6" w:rsidR="00256634" w:rsidRDefault="002234D5">
      <w:pPr>
        <w:spacing w:before="240" w:after="240" w:line="360" w:lineRule="auto"/>
        <w:jc w:val="both"/>
        <w:rPr>
          <w:rFonts w:ascii="Arial" w:eastAsia="Arial" w:hAnsi="Arial" w:cs="Arial"/>
          <w:sz w:val="24"/>
          <w:szCs w:val="24"/>
        </w:rPr>
      </w:pPr>
      <w:r>
        <w:rPr>
          <w:rFonts w:ascii="Arial" w:eastAsia="Arial" w:hAnsi="Arial" w:cs="Arial"/>
          <w:sz w:val="24"/>
          <w:szCs w:val="24"/>
        </w:rPr>
        <w:t xml:space="preserve">Lo anterior, resulta congruente </w:t>
      </w:r>
      <w:r w:rsidR="000F0709">
        <w:rPr>
          <w:rFonts w:ascii="Arial" w:eastAsia="Arial" w:hAnsi="Arial" w:cs="Arial"/>
          <w:sz w:val="24"/>
          <w:szCs w:val="24"/>
        </w:rPr>
        <w:t xml:space="preserve">tomando en cuenta la doble finalidad de la aplicación de las sanciones, es decir, una prevención </w:t>
      </w:r>
      <w:r w:rsidR="000F0709">
        <w:rPr>
          <w:rFonts w:ascii="Arial" w:eastAsia="Arial" w:hAnsi="Arial" w:cs="Arial"/>
          <w:b/>
          <w:i/>
          <w:sz w:val="24"/>
          <w:szCs w:val="24"/>
        </w:rPr>
        <w:t>general</w:t>
      </w:r>
      <w:r w:rsidR="000F0709">
        <w:rPr>
          <w:rFonts w:ascii="Arial" w:eastAsia="Arial" w:hAnsi="Arial" w:cs="Arial"/>
          <w:sz w:val="24"/>
          <w:szCs w:val="24"/>
        </w:rPr>
        <w:t xml:space="preserve">: impedir la comisión de otros hechos irregulares y, </w:t>
      </w:r>
      <w:r w:rsidR="000F0709">
        <w:rPr>
          <w:rFonts w:ascii="Arial" w:eastAsia="Arial" w:hAnsi="Arial" w:cs="Arial"/>
          <w:b/>
          <w:i/>
          <w:sz w:val="24"/>
          <w:szCs w:val="24"/>
        </w:rPr>
        <w:t>especial</w:t>
      </w:r>
      <w:r w:rsidR="000F0709">
        <w:rPr>
          <w:rFonts w:ascii="Arial" w:eastAsia="Arial" w:hAnsi="Arial" w:cs="Arial"/>
          <w:i/>
          <w:sz w:val="24"/>
          <w:szCs w:val="24"/>
        </w:rPr>
        <w:t>:</w:t>
      </w:r>
      <w:r w:rsidR="000F0709">
        <w:rPr>
          <w:rFonts w:ascii="Arial" w:eastAsia="Arial" w:hAnsi="Arial" w:cs="Arial"/>
          <w:sz w:val="24"/>
          <w:szCs w:val="24"/>
        </w:rPr>
        <w:t xml:space="preserve"> es decir, la aplicación de una sanción a la responsable de la infracción para persuadir y evitar que vuelva a transgredir la normativa, es que se busca hacer conciencia en la candidata denunciada sobre el deber de mayor diligencia que debe observar cuando realice manifestaciones que incluyan temas de especial cuidado</w:t>
      </w:r>
      <w:r>
        <w:rPr>
          <w:rFonts w:ascii="Arial" w:eastAsia="Arial" w:hAnsi="Arial" w:cs="Arial"/>
          <w:sz w:val="24"/>
          <w:szCs w:val="24"/>
        </w:rPr>
        <w:t>.</w:t>
      </w:r>
    </w:p>
    <w:p w14:paraId="18645BCF" w14:textId="77777777" w:rsidR="00256634" w:rsidRDefault="000F0709">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ello, se justifica en el presente asunto la imposición de dicha multa, ya que resulta ser una medida razonable en relación a la gravedad del ilícito y la culpabilidad de la candidata denunciada, pues de imponerse una sanción más grave, podría llegarse al extremo de </w:t>
      </w:r>
      <w:r>
        <w:rPr>
          <w:rFonts w:ascii="Arial" w:eastAsia="Arial" w:hAnsi="Arial" w:cs="Arial"/>
          <w:sz w:val="24"/>
          <w:szCs w:val="24"/>
        </w:rPr>
        <w:lastRenderedPageBreak/>
        <w:t xml:space="preserve">sancionar de forma excesiva y desproporcionada, en atención a las particularidades de la conducta señalada. </w:t>
      </w:r>
    </w:p>
    <w:p w14:paraId="0DFE616F" w14:textId="248FF4CD" w:rsidR="00962E03" w:rsidRDefault="000F0709" w:rsidP="00962E03">
      <w:pPr>
        <w:pStyle w:val="Prrafodelista"/>
        <w:numPr>
          <w:ilvl w:val="0"/>
          <w:numId w:val="8"/>
        </w:numPr>
        <w:tabs>
          <w:tab w:val="left" w:pos="284"/>
        </w:tabs>
        <w:spacing w:before="240" w:line="360" w:lineRule="auto"/>
        <w:ind w:left="0" w:firstLine="0"/>
        <w:jc w:val="both"/>
        <w:rPr>
          <w:rFonts w:ascii="Arial" w:eastAsia="Arial" w:hAnsi="Arial" w:cs="Arial"/>
          <w:sz w:val="24"/>
          <w:szCs w:val="24"/>
        </w:rPr>
      </w:pPr>
      <w:r w:rsidRPr="00962E03">
        <w:rPr>
          <w:rFonts w:ascii="Arial" w:eastAsia="Arial" w:hAnsi="Arial" w:cs="Arial"/>
          <w:b/>
          <w:sz w:val="24"/>
          <w:szCs w:val="24"/>
          <w:u w:val="single"/>
        </w:rPr>
        <w:t>Pago de la multa.</w:t>
      </w:r>
      <w:r w:rsidRPr="00962E03">
        <w:rPr>
          <w:rFonts w:ascii="Arial" w:eastAsia="Arial" w:hAnsi="Arial" w:cs="Arial"/>
          <w:b/>
          <w:sz w:val="24"/>
          <w:szCs w:val="24"/>
        </w:rPr>
        <w:t xml:space="preserve"> </w:t>
      </w:r>
      <w:r w:rsidRPr="00962E03">
        <w:rPr>
          <w:rFonts w:ascii="Arial" w:eastAsia="Arial" w:hAnsi="Arial" w:cs="Arial"/>
          <w:sz w:val="24"/>
          <w:szCs w:val="24"/>
        </w:rPr>
        <w:t xml:space="preserve">El pago de la multa impuesta a la candidata Nora Ruvalcaba Gámez, deberá realizarse en la Dirección Administrativa del Instituto local, dentro de los </w:t>
      </w:r>
      <w:r w:rsidRPr="00962E03">
        <w:rPr>
          <w:rFonts w:ascii="Arial" w:eastAsia="Arial" w:hAnsi="Arial" w:cs="Arial"/>
          <w:b/>
          <w:sz w:val="24"/>
          <w:szCs w:val="24"/>
        </w:rPr>
        <w:t>cinco días</w:t>
      </w:r>
      <w:r w:rsidRPr="00962E03">
        <w:rPr>
          <w:rFonts w:ascii="Arial" w:eastAsia="Arial" w:hAnsi="Arial" w:cs="Arial"/>
          <w:sz w:val="24"/>
          <w:szCs w:val="24"/>
        </w:rPr>
        <w:t xml:space="preserve"> siguientes </w:t>
      </w:r>
      <w:r w:rsidRPr="000660DA">
        <w:rPr>
          <w:rFonts w:ascii="Arial" w:eastAsia="Arial" w:hAnsi="Arial" w:cs="Arial"/>
          <w:sz w:val="24"/>
          <w:szCs w:val="24"/>
        </w:rPr>
        <w:t>a que esta sentencia quede firme.</w:t>
      </w:r>
      <w:r>
        <w:rPr>
          <w:rFonts w:eastAsia="Arial"/>
          <w:vertAlign w:val="superscript"/>
        </w:rPr>
        <w:footnoteReference w:id="21"/>
      </w:r>
    </w:p>
    <w:p w14:paraId="41AF248E" w14:textId="77777777" w:rsidR="00962E03" w:rsidRPr="00B46FE6" w:rsidRDefault="00962E03" w:rsidP="00B46FE6">
      <w:pPr>
        <w:pStyle w:val="Sinespaciado"/>
        <w:rPr>
          <w:rFonts w:eastAsia="Arial"/>
        </w:rPr>
      </w:pPr>
    </w:p>
    <w:p w14:paraId="1CBD0DB8" w14:textId="77777777" w:rsidR="00256634" w:rsidRPr="00962E03" w:rsidRDefault="000F0709" w:rsidP="00962E03">
      <w:pPr>
        <w:pStyle w:val="Prrafodelista"/>
        <w:numPr>
          <w:ilvl w:val="0"/>
          <w:numId w:val="8"/>
        </w:numPr>
        <w:spacing w:after="240" w:line="360" w:lineRule="auto"/>
        <w:ind w:left="284" w:hanging="284"/>
        <w:jc w:val="both"/>
        <w:rPr>
          <w:rFonts w:ascii="Arial" w:eastAsia="Arial" w:hAnsi="Arial" w:cs="Arial"/>
          <w:sz w:val="24"/>
          <w:szCs w:val="24"/>
        </w:rPr>
      </w:pPr>
      <w:r w:rsidRPr="00962E03">
        <w:rPr>
          <w:rFonts w:ascii="Arial" w:eastAsia="Arial" w:hAnsi="Arial" w:cs="Arial"/>
          <w:b/>
          <w:sz w:val="24"/>
          <w:szCs w:val="24"/>
          <w:u w:val="single"/>
        </w:rPr>
        <w:t>Culpa in vigilando</w:t>
      </w:r>
    </w:p>
    <w:p w14:paraId="1BC3FB33" w14:textId="77777777" w:rsidR="00256634" w:rsidRDefault="000F0709">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Asimismo, este Tribunal Electoral determina la existencia de la infracción atribuida al Partido Morena, relacionada con la </w:t>
      </w:r>
      <w:r>
        <w:rPr>
          <w:rFonts w:ascii="Arial" w:eastAsia="Arial" w:hAnsi="Arial" w:cs="Arial"/>
          <w:b/>
          <w:sz w:val="24"/>
          <w:szCs w:val="24"/>
        </w:rPr>
        <w:t>omisión</w:t>
      </w:r>
      <w:r>
        <w:rPr>
          <w:rFonts w:ascii="Arial" w:eastAsia="Arial" w:hAnsi="Arial" w:cs="Arial"/>
          <w:sz w:val="24"/>
          <w:szCs w:val="24"/>
        </w:rPr>
        <w:t xml:space="preserve"> a su deber de cuidado en cuanto a la conducta realizada por su candidata a la gubernatura del Estado de Aguascalientes.</w:t>
      </w:r>
    </w:p>
    <w:p w14:paraId="2470C1ED" w14:textId="77777777" w:rsidR="00962E03" w:rsidRDefault="000F0709" w:rsidP="00962E03">
      <w:pPr>
        <w:spacing w:before="240" w:line="360" w:lineRule="auto"/>
        <w:jc w:val="both"/>
        <w:rPr>
          <w:rFonts w:ascii="Arial" w:eastAsia="Arial" w:hAnsi="Arial" w:cs="Arial"/>
          <w:sz w:val="24"/>
          <w:szCs w:val="24"/>
        </w:rPr>
      </w:pPr>
      <w:r>
        <w:rPr>
          <w:rFonts w:ascii="Arial" w:eastAsia="Arial" w:hAnsi="Arial" w:cs="Arial"/>
          <w:sz w:val="24"/>
          <w:szCs w:val="24"/>
        </w:rPr>
        <w:t xml:space="preserve">Lo anterior es así, porque del análisis integral de los hechos denunciados, así como de las pruebas ofrecidas se concluyó que la candidata cuestionada vulneró las reglas en materia de propaganda electoral y, por tanto, </w:t>
      </w:r>
      <w:r>
        <w:rPr>
          <w:rFonts w:ascii="Arial" w:eastAsia="Arial" w:hAnsi="Arial" w:cs="Arial"/>
          <w:b/>
          <w:sz w:val="24"/>
          <w:szCs w:val="24"/>
        </w:rPr>
        <w:t>resulta válido reprochar el incumplimiento al deber de garantes a Morena</w:t>
      </w:r>
      <w:r>
        <w:rPr>
          <w:rFonts w:ascii="Arial" w:eastAsia="Arial" w:hAnsi="Arial" w:cs="Arial"/>
          <w:sz w:val="24"/>
          <w:szCs w:val="24"/>
        </w:rPr>
        <w:t>.</w:t>
      </w:r>
    </w:p>
    <w:p w14:paraId="3D44CE45" w14:textId="3E8C38ED" w:rsidR="00256634" w:rsidRDefault="000F0709" w:rsidP="00962E03">
      <w:pPr>
        <w:spacing w:before="240" w:line="360" w:lineRule="auto"/>
        <w:jc w:val="both"/>
        <w:rPr>
          <w:rFonts w:ascii="Arial" w:eastAsia="Arial" w:hAnsi="Arial" w:cs="Arial"/>
          <w:sz w:val="24"/>
          <w:szCs w:val="24"/>
        </w:rPr>
      </w:pPr>
      <w:r>
        <w:rPr>
          <w:rFonts w:ascii="Arial" w:eastAsia="Arial" w:hAnsi="Arial" w:cs="Arial"/>
          <w:sz w:val="24"/>
          <w:szCs w:val="24"/>
        </w:rPr>
        <w:t>Esto, tomando en cuenta que el referido instituto político tiene el deber de garantizar que las actividades realizadas por sus candidatos y candidatas cumplan con las reglas previstas en el marco normativo vigente.</w:t>
      </w:r>
      <w:r>
        <w:rPr>
          <w:rFonts w:ascii="Arial" w:eastAsia="Arial" w:hAnsi="Arial" w:cs="Arial"/>
          <w:sz w:val="24"/>
          <w:szCs w:val="24"/>
          <w:vertAlign w:val="superscript"/>
        </w:rPr>
        <w:footnoteReference w:id="22"/>
      </w:r>
    </w:p>
    <w:p w14:paraId="13AA0D0D" w14:textId="434392DF" w:rsidR="00256634" w:rsidRDefault="000F0709">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tanto, este órgano jurisdiccional considera necesario imponer a dicho instituto político una sanción consistente en una </w:t>
      </w:r>
      <w:r>
        <w:rPr>
          <w:rFonts w:ascii="Arial" w:eastAsia="Arial" w:hAnsi="Arial" w:cs="Arial"/>
          <w:b/>
          <w:sz w:val="24"/>
          <w:szCs w:val="24"/>
          <w:u w:val="single"/>
        </w:rPr>
        <w:t>amonestación pública</w:t>
      </w:r>
      <w:r>
        <w:rPr>
          <w:rFonts w:ascii="Arial" w:eastAsia="Arial" w:hAnsi="Arial" w:cs="Arial"/>
          <w:sz w:val="24"/>
          <w:szCs w:val="24"/>
        </w:rPr>
        <w:t xml:space="preserve">, en atención a su </w:t>
      </w:r>
      <w:r>
        <w:rPr>
          <w:rFonts w:ascii="Arial" w:eastAsia="Arial" w:hAnsi="Arial" w:cs="Arial"/>
          <w:b/>
          <w:sz w:val="24"/>
          <w:szCs w:val="24"/>
        </w:rPr>
        <w:t>omisión de cuidar y vigilar</w:t>
      </w:r>
      <w:r>
        <w:rPr>
          <w:rFonts w:ascii="Arial" w:eastAsia="Arial" w:hAnsi="Arial" w:cs="Arial"/>
          <w:sz w:val="24"/>
          <w:szCs w:val="24"/>
        </w:rPr>
        <w:t xml:space="preserve"> que su candidata no vulnerara la normativa. Ello de conformidad al artículo 242, segundo párrafo, fracción I, del Código Electoral.</w:t>
      </w:r>
      <w:r>
        <w:rPr>
          <w:rFonts w:ascii="Arial" w:eastAsia="Arial" w:hAnsi="Arial" w:cs="Arial"/>
          <w:sz w:val="24"/>
          <w:szCs w:val="24"/>
          <w:vertAlign w:val="superscript"/>
        </w:rPr>
        <w:footnoteReference w:id="23"/>
      </w:r>
    </w:p>
    <w:p w14:paraId="7DC37958" w14:textId="77777777" w:rsidR="00256634" w:rsidRPr="00962E03" w:rsidRDefault="000F0709" w:rsidP="00B46FE6">
      <w:pPr>
        <w:pStyle w:val="Prrafodelista"/>
        <w:numPr>
          <w:ilvl w:val="0"/>
          <w:numId w:val="9"/>
        </w:numPr>
        <w:tabs>
          <w:tab w:val="left" w:pos="284"/>
        </w:tabs>
        <w:spacing w:before="240" w:line="360" w:lineRule="auto"/>
        <w:ind w:left="0" w:firstLine="0"/>
        <w:jc w:val="both"/>
        <w:rPr>
          <w:rFonts w:ascii="Arial" w:eastAsia="Arial" w:hAnsi="Arial" w:cs="Arial"/>
          <w:sz w:val="24"/>
          <w:szCs w:val="24"/>
        </w:rPr>
      </w:pPr>
      <w:r w:rsidRPr="00962E03">
        <w:rPr>
          <w:rFonts w:ascii="Arial" w:eastAsia="Arial" w:hAnsi="Arial" w:cs="Arial"/>
          <w:b/>
          <w:sz w:val="24"/>
          <w:szCs w:val="24"/>
          <w:u w:val="single"/>
        </w:rPr>
        <w:t>Publicidad de la sanción.</w:t>
      </w:r>
      <w:r w:rsidRPr="00962E03">
        <w:rPr>
          <w:rFonts w:ascii="Arial" w:eastAsia="Arial" w:hAnsi="Arial" w:cs="Arial"/>
          <w:sz w:val="24"/>
          <w:szCs w:val="24"/>
        </w:rPr>
        <w:t xml:space="preserve"> </w:t>
      </w:r>
      <w:r w:rsidRPr="00962E03">
        <w:rPr>
          <w:rFonts w:ascii="Arial" w:eastAsia="Arial" w:hAnsi="Arial" w:cs="Arial"/>
          <w:b/>
          <w:sz w:val="24"/>
          <w:szCs w:val="24"/>
        </w:rPr>
        <w:t xml:space="preserve">Publíquese esta sentencia en el Catálogo de Sujetos Sancionados </w:t>
      </w:r>
      <w:r w:rsidRPr="00962E03">
        <w:rPr>
          <w:rFonts w:ascii="Arial" w:eastAsia="Arial" w:hAnsi="Arial" w:cs="Arial"/>
          <w:sz w:val="24"/>
          <w:szCs w:val="24"/>
        </w:rPr>
        <w:t>en los Procedimientos Especiales Sancionadores de la página de Internet de este Tribunal Electoral.</w:t>
      </w:r>
    </w:p>
    <w:p w14:paraId="2D8E4ED6" w14:textId="54174081" w:rsidR="00256634" w:rsidRDefault="000F0709" w:rsidP="00B46FE6">
      <w:pPr>
        <w:spacing w:line="360" w:lineRule="auto"/>
        <w:jc w:val="center"/>
        <w:rPr>
          <w:rFonts w:ascii="Arial" w:eastAsia="Arial" w:hAnsi="Arial" w:cs="Arial"/>
          <w:b/>
          <w:sz w:val="24"/>
          <w:szCs w:val="24"/>
        </w:rPr>
      </w:pPr>
      <w:r>
        <w:rPr>
          <w:rFonts w:ascii="Arial" w:eastAsia="Arial" w:hAnsi="Arial" w:cs="Arial"/>
          <w:b/>
          <w:sz w:val="24"/>
          <w:szCs w:val="24"/>
        </w:rPr>
        <w:lastRenderedPageBreak/>
        <w:t>VI. Resolutivos</w:t>
      </w:r>
      <w:r w:rsidR="00962E03">
        <w:rPr>
          <w:rFonts w:ascii="Arial" w:eastAsia="Arial" w:hAnsi="Arial" w:cs="Arial"/>
          <w:b/>
          <w:sz w:val="24"/>
          <w:szCs w:val="24"/>
        </w:rPr>
        <w:t>:</w:t>
      </w:r>
    </w:p>
    <w:p w14:paraId="1B1270BA" w14:textId="77777777" w:rsidR="00B46FE6" w:rsidRPr="00962E03" w:rsidRDefault="00B46FE6" w:rsidP="00B46FE6">
      <w:pPr>
        <w:pStyle w:val="Sinespaciado"/>
        <w:rPr>
          <w:rFonts w:eastAsia="Arial"/>
        </w:rPr>
      </w:pPr>
    </w:p>
    <w:p w14:paraId="4773263B" w14:textId="000AA834" w:rsidR="00256634" w:rsidRDefault="000F0709" w:rsidP="00B46FE6">
      <w:pPr>
        <w:spacing w:line="360" w:lineRule="auto"/>
        <w:jc w:val="both"/>
        <w:rPr>
          <w:rFonts w:ascii="Arial" w:eastAsia="Arial" w:hAnsi="Arial" w:cs="Arial"/>
          <w:sz w:val="24"/>
          <w:szCs w:val="24"/>
        </w:rPr>
      </w:pPr>
      <w:r>
        <w:rPr>
          <w:rFonts w:ascii="Arial" w:eastAsia="Arial" w:hAnsi="Arial" w:cs="Arial"/>
          <w:b/>
          <w:sz w:val="24"/>
          <w:szCs w:val="24"/>
        </w:rPr>
        <w:t xml:space="preserve">Primero. </w:t>
      </w:r>
      <w:r>
        <w:rPr>
          <w:rFonts w:ascii="Arial" w:eastAsia="Arial" w:hAnsi="Arial" w:cs="Arial"/>
          <w:sz w:val="24"/>
          <w:szCs w:val="24"/>
        </w:rPr>
        <w:t xml:space="preserve">Se </w:t>
      </w:r>
      <w:r>
        <w:rPr>
          <w:rFonts w:ascii="Arial" w:eastAsia="Arial" w:hAnsi="Arial" w:cs="Arial"/>
          <w:b/>
          <w:sz w:val="24"/>
          <w:szCs w:val="24"/>
        </w:rPr>
        <w:t xml:space="preserve">acredita </w:t>
      </w:r>
      <w:r>
        <w:rPr>
          <w:rFonts w:ascii="Arial" w:eastAsia="Arial" w:hAnsi="Arial" w:cs="Arial"/>
          <w:sz w:val="24"/>
          <w:szCs w:val="24"/>
        </w:rPr>
        <w:t>la infracción atribuida a Nora Ruvalcaba Gámez.</w:t>
      </w:r>
    </w:p>
    <w:p w14:paraId="33E38E9C" w14:textId="77777777" w:rsidR="00B46FE6" w:rsidRDefault="00B46FE6" w:rsidP="00B46FE6">
      <w:pPr>
        <w:pStyle w:val="Sinespaciado"/>
        <w:rPr>
          <w:rFonts w:eastAsia="Arial"/>
        </w:rPr>
      </w:pPr>
    </w:p>
    <w:p w14:paraId="304D39A6" w14:textId="70210BE3" w:rsidR="00B46FE6" w:rsidRDefault="000F0709" w:rsidP="002147C0">
      <w:pPr>
        <w:spacing w:line="360" w:lineRule="auto"/>
        <w:jc w:val="both"/>
        <w:rPr>
          <w:rFonts w:ascii="Arial" w:eastAsia="Arial" w:hAnsi="Arial" w:cs="Arial"/>
          <w:sz w:val="24"/>
          <w:szCs w:val="24"/>
        </w:rPr>
      </w:pPr>
      <w:r>
        <w:rPr>
          <w:rFonts w:ascii="Arial" w:eastAsia="Arial" w:hAnsi="Arial" w:cs="Arial"/>
          <w:b/>
          <w:sz w:val="24"/>
          <w:szCs w:val="24"/>
        </w:rPr>
        <w:t>Segundo.</w:t>
      </w:r>
      <w:r>
        <w:rPr>
          <w:rFonts w:ascii="Arial" w:eastAsia="Arial" w:hAnsi="Arial" w:cs="Arial"/>
          <w:sz w:val="24"/>
          <w:szCs w:val="24"/>
        </w:rPr>
        <w:t xml:space="preserve"> Se impone a Nora Ruvalcaba Gámez, la sanción consistente en una </w:t>
      </w:r>
      <w:r>
        <w:rPr>
          <w:rFonts w:ascii="Arial" w:eastAsia="Arial" w:hAnsi="Arial" w:cs="Arial"/>
          <w:b/>
          <w:sz w:val="24"/>
          <w:szCs w:val="24"/>
        </w:rPr>
        <w:t xml:space="preserve">multa </w:t>
      </w:r>
      <w:r>
        <w:rPr>
          <w:rFonts w:ascii="Arial" w:eastAsia="Arial" w:hAnsi="Arial" w:cs="Arial"/>
          <w:sz w:val="24"/>
          <w:szCs w:val="24"/>
        </w:rPr>
        <w:t xml:space="preserve">de </w:t>
      </w:r>
      <w:r w:rsidR="002147C0">
        <w:rPr>
          <w:rFonts w:ascii="Arial" w:eastAsia="Arial" w:hAnsi="Arial" w:cs="Arial"/>
          <w:sz w:val="24"/>
          <w:szCs w:val="24"/>
        </w:rPr>
        <w:t>40</w:t>
      </w:r>
      <w:r>
        <w:rPr>
          <w:rFonts w:ascii="Arial" w:eastAsia="Arial" w:hAnsi="Arial" w:cs="Arial"/>
          <w:sz w:val="24"/>
          <w:szCs w:val="24"/>
        </w:rPr>
        <w:t xml:space="preserve"> UMAS (</w:t>
      </w:r>
      <w:r w:rsidR="002147C0">
        <w:rPr>
          <w:rFonts w:ascii="Arial" w:eastAsia="Arial" w:hAnsi="Arial" w:cs="Arial"/>
          <w:sz w:val="24"/>
          <w:szCs w:val="24"/>
        </w:rPr>
        <w:t>Cuarenta</w:t>
      </w:r>
      <w:r>
        <w:rPr>
          <w:rFonts w:ascii="Arial" w:eastAsia="Arial" w:hAnsi="Arial" w:cs="Arial"/>
          <w:sz w:val="24"/>
          <w:szCs w:val="24"/>
        </w:rPr>
        <w:t xml:space="preserve"> Unidades de Medida y Actualización) </w:t>
      </w:r>
      <w:r w:rsidR="002147C0" w:rsidRPr="002147C0">
        <w:rPr>
          <w:rFonts w:ascii="Arial" w:eastAsia="Arial" w:hAnsi="Arial" w:cs="Arial"/>
          <w:sz w:val="24"/>
          <w:szCs w:val="24"/>
        </w:rPr>
        <w:t>equivalente a $3,848.80 (Tres mil ochocientos cuarenta y ocho pesos 80/100 M.N.)</w:t>
      </w:r>
    </w:p>
    <w:p w14:paraId="3ED20863" w14:textId="77777777" w:rsidR="002147C0" w:rsidRDefault="002147C0" w:rsidP="002147C0">
      <w:pPr>
        <w:spacing w:line="360" w:lineRule="auto"/>
        <w:jc w:val="both"/>
        <w:rPr>
          <w:rFonts w:eastAsia="Arial"/>
        </w:rPr>
      </w:pPr>
    </w:p>
    <w:p w14:paraId="238411C6" w14:textId="77777777" w:rsidR="00256634" w:rsidRDefault="000F0709" w:rsidP="00B87941">
      <w:pPr>
        <w:spacing w:line="360" w:lineRule="auto"/>
        <w:jc w:val="both"/>
        <w:rPr>
          <w:rFonts w:ascii="Arial" w:eastAsia="Arial" w:hAnsi="Arial" w:cs="Arial"/>
          <w:sz w:val="24"/>
          <w:szCs w:val="24"/>
        </w:rPr>
      </w:pPr>
      <w:r>
        <w:rPr>
          <w:rFonts w:ascii="Arial" w:eastAsia="Arial" w:hAnsi="Arial" w:cs="Arial"/>
          <w:b/>
          <w:sz w:val="24"/>
          <w:szCs w:val="24"/>
        </w:rPr>
        <w:t xml:space="preserve">Tercero. </w:t>
      </w:r>
      <w:r>
        <w:rPr>
          <w:rFonts w:ascii="Arial" w:eastAsia="Arial" w:hAnsi="Arial" w:cs="Arial"/>
          <w:sz w:val="24"/>
          <w:szCs w:val="24"/>
        </w:rPr>
        <w:t xml:space="preserve">Se declara la </w:t>
      </w:r>
      <w:r>
        <w:rPr>
          <w:rFonts w:ascii="Arial" w:eastAsia="Arial" w:hAnsi="Arial" w:cs="Arial"/>
          <w:b/>
          <w:sz w:val="24"/>
          <w:szCs w:val="24"/>
        </w:rPr>
        <w:t xml:space="preserve">existencia </w:t>
      </w:r>
      <w:r>
        <w:rPr>
          <w:rFonts w:ascii="Arial" w:eastAsia="Arial" w:hAnsi="Arial" w:cs="Arial"/>
          <w:sz w:val="24"/>
          <w:szCs w:val="24"/>
        </w:rPr>
        <w:t xml:space="preserve">de la infracción consistente en </w:t>
      </w:r>
      <w:r>
        <w:rPr>
          <w:rFonts w:ascii="Arial" w:eastAsia="Arial" w:hAnsi="Arial" w:cs="Arial"/>
          <w:b/>
          <w:i/>
          <w:sz w:val="24"/>
          <w:szCs w:val="24"/>
        </w:rPr>
        <w:t>culpa in vigilando</w:t>
      </w:r>
      <w:r>
        <w:rPr>
          <w:rFonts w:ascii="Arial" w:eastAsia="Arial" w:hAnsi="Arial" w:cs="Arial"/>
          <w:sz w:val="24"/>
          <w:szCs w:val="24"/>
        </w:rPr>
        <w:t xml:space="preserve"> atribuida al partido político Morena.</w:t>
      </w:r>
    </w:p>
    <w:p w14:paraId="1CAA9181" w14:textId="6FA4F9B3" w:rsidR="00256634" w:rsidRDefault="000F0709" w:rsidP="00B87941">
      <w:pPr>
        <w:spacing w:before="240" w:line="360" w:lineRule="auto"/>
        <w:jc w:val="both"/>
        <w:rPr>
          <w:rFonts w:ascii="Arial" w:eastAsia="Arial" w:hAnsi="Arial" w:cs="Arial"/>
          <w:sz w:val="24"/>
          <w:szCs w:val="24"/>
        </w:rPr>
      </w:pPr>
      <w:r>
        <w:rPr>
          <w:rFonts w:ascii="Arial" w:eastAsia="Arial" w:hAnsi="Arial" w:cs="Arial"/>
          <w:b/>
          <w:sz w:val="24"/>
          <w:szCs w:val="24"/>
        </w:rPr>
        <w:t xml:space="preserve">Cuarto. </w:t>
      </w:r>
      <w:r>
        <w:rPr>
          <w:rFonts w:ascii="Arial" w:eastAsia="Arial" w:hAnsi="Arial" w:cs="Arial"/>
          <w:sz w:val="24"/>
          <w:szCs w:val="24"/>
        </w:rPr>
        <w:t xml:space="preserve">Se </w:t>
      </w:r>
      <w:r>
        <w:rPr>
          <w:rFonts w:ascii="Arial" w:eastAsia="Arial" w:hAnsi="Arial" w:cs="Arial"/>
          <w:b/>
          <w:sz w:val="24"/>
          <w:szCs w:val="24"/>
        </w:rPr>
        <w:t>impone una amonestación pública</w:t>
      </w:r>
      <w:r>
        <w:rPr>
          <w:rFonts w:ascii="Arial" w:eastAsia="Arial" w:hAnsi="Arial" w:cs="Arial"/>
          <w:sz w:val="24"/>
          <w:szCs w:val="24"/>
        </w:rPr>
        <w:t xml:space="preserve"> al partido político Morena. </w:t>
      </w:r>
    </w:p>
    <w:p w14:paraId="270C4D40" w14:textId="77777777" w:rsidR="00B87941" w:rsidRDefault="00B87941" w:rsidP="00B87941">
      <w:pPr>
        <w:pStyle w:val="Sinespaciado"/>
        <w:rPr>
          <w:rFonts w:eastAsia="Arial"/>
        </w:rPr>
      </w:pPr>
    </w:p>
    <w:p w14:paraId="569CBAA8" w14:textId="011635DB" w:rsidR="00256634" w:rsidRDefault="00B87941" w:rsidP="00B87941">
      <w:pPr>
        <w:spacing w:line="360" w:lineRule="auto"/>
        <w:jc w:val="both"/>
        <w:rPr>
          <w:rFonts w:ascii="Arial" w:eastAsia="Arial" w:hAnsi="Arial" w:cs="Arial"/>
          <w:sz w:val="24"/>
          <w:szCs w:val="24"/>
        </w:rPr>
      </w:pPr>
      <w:r>
        <w:rPr>
          <w:rFonts w:ascii="Arial" w:eastAsia="Arial" w:hAnsi="Arial" w:cs="Arial"/>
          <w:b/>
          <w:sz w:val="24"/>
          <w:szCs w:val="24"/>
        </w:rPr>
        <w:t>Quinto</w:t>
      </w:r>
      <w:r w:rsidR="000F0709">
        <w:rPr>
          <w:rFonts w:ascii="Arial" w:eastAsia="Arial" w:hAnsi="Arial" w:cs="Arial"/>
          <w:b/>
          <w:sz w:val="24"/>
          <w:szCs w:val="24"/>
        </w:rPr>
        <w:t xml:space="preserve">. </w:t>
      </w:r>
      <w:r w:rsidR="000F0709">
        <w:rPr>
          <w:rFonts w:ascii="Arial" w:eastAsia="Arial" w:hAnsi="Arial" w:cs="Arial"/>
          <w:sz w:val="24"/>
          <w:szCs w:val="24"/>
        </w:rPr>
        <w:t>Publíquese en la página de internet de este Tribunal, en el catálogo de sujetos sancionados de los Procedimientos Especiales Sancionadores.</w:t>
      </w:r>
    </w:p>
    <w:p w14:paraId="4C1CB9BF" w14:textId="77777777" w:rsidR="00B87941" w:rsidRDefault="00B87941" w:rsidP="00B87941">
      <w:pPr>
        <w:pStyle w:val="Sinespaciado"/>
      </w:pPr>
    </w:p>
    <w:p w14:paraId="5FBBE78F" w14:textId="6EEA64D0" w:rsidR="00274769" w:rsidRPr="0007505E" w:rsidRDefault="000F0709" w:rsidP="0007505E">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Notifíquese. </w:t>
      </w:r>
    </w:p>
    <w:p w14:paraId="4A955D0C" w14:textId="34CE1EF1" w:rsidR="00274769" w:rsidRDefault="00274769" w:rsidP="00B46FE6">
      <w:pPr>
        <w:pStyle w:val="Sinespaciado"/>
      </w:pPr>
    </w:p>
    <w:p w14:paraId="6285D1C6" w14:textId="42CD8B0C" w:rsidR="00B87941" w:rsidRDefault="00B87941" w:rsidP="00B46FE6">
      <w:pPr>
        <w:pStyle w:val="Sinespaciado"/>
      </w:pPr>
    </w:p>
    <w:p w14:paraId="625C1756" w14:textId="01F81F21" w:rsidR="00B87941" w:rsidRDefault="00B87941" w:rsidP="00B46FE6">
      <w:pPr>
        <w:pStyle w:val="Sinespaciado"/>
      </w:pPr>
    </w:p>
    <w:p w14:paraId="26CEE325" w14:textId="69ECD816" w:rsidR="00B87941" w:rsidRDefault="00B87941" w:rsidP="00B46FE6">
      <w:pPr>
        <w:pStyle w:val="Sinespaciado"/>
      </w:pPr>
    </w:p>
    <w:p w14:paraId="3E2AA613" w14:textId="0531F7D4" w:rsidR="00B87941" w:rsidRDefault="00B87941" w:rsidP="00B46FE6">
      <w:pPr>
        <w:pStyle w:val="Sinespaciado"/>
      </w:pPr>
    </w:p>
    <w:p w14:paraId="68FD3A15" w14:textId="55AA2F10" w:rsidR="00B87941" w:rsidRDefault="00B87941" w:rsidP="00B46FE6">
      <w:pPr>
        <w:pStyle w:val="Sinespaciado"/>
      </w:pPr>
    </w:p>
    <w:p w14:paraId="7CDC672E" w14:textId="2E6F3EE8" w:rsidR="00B87941" w:rsidRDefault="00B87941" w:rsidP="00B46FE6">
      <w:pPr>
        <w:pStyle w:val="Sinespaciado"/>
      </w:pPr>
    </w:p>
    <w:p w14:paraId="7CCD1309" w14:textId="6260286B" w:rsidR="00B87941" w:rsidRDefault="00B87941" w:rsidP="00B46FE6">
      <w:pPr>
        <w:pStyle w:val="Sinespaciado"/>
      </w:pPr>
    </w:p>
    <w:p w14:paraId="1DFB7D4B" w14:textId="540279B7" w:rsidR="00B87941" w:rsidRDefault="00B87941" w:rsidP="00B46FE6">
      <w:pPr>
        <w:pStyle w:val="Sinespaciado"/>
      </w:pPr>
    </w:p>
    <w:p w14:paraId="7E0448A7" w14:textId="05643372" w:rsidR="00B87941" w:rsidRDefault="00B87941" w:rsidP="00B46FE6">
      <w:pPr>
        <w:pStyle w:val="Sinespaciado"/>
      </w:pPr>
    </w:p>
    <w:p w14:paraId="70164ACB" w14:textId="77777777" w:rsidR="00B87941" w:rsidRDefault="00B87941" w:rsidP="00B46FE6">
      <w:pPr>
        <w:pStyle w:val="Sinespaciado"/>
      </w:pPr>
    </w:p>
    <w:p w14:paraId="383616ED" w14:textId="5F1F6216" w:rsidR="00256634" w:rsidRDefault="000F0709">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 xml:space="preserve">Magistrado en funciones que lo integran, ante el </w:t>
      </w:r>
      <w:proofErr w:type="gramStart"/>
      <w:r>
        <w:rPr>
          <w:rFonts w:ascii="Arial" w:eastAsia="Arial" w:hAnsi="Arial" w:cs="Arial"/>
          <w:color w:val="000000"/>
          <w:sz w:val="24"/>
          <w:szCs w:val="24"/>
        </w:rPr>
        <w:t>Secretario General</w:t>
      </w:r>
      <w:proofErr w:type="gramEnd"/>
      <w:r>
        <w:rPr>
          <w:rFonts w:ascii="Arial" w:eastAsia="Arial" w:hAnsi="Arial" w:cs="Arial"/>
          <w:color w:val="000000"/>
          <w:sz w:val="24"/>
          <w:szCs w:val="24"/>
        </w:rPr>
        <w:t xml:space="preserve"> de Acuerdos, quien autoriza y da fe.</w:t>
      </w:r>
    </w:p>
    <w:p w14:paraId="5202BFD5" w14:textId="77777777" w:rsidR="00274769" w:rsidRDefault="00274769">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p w14:paraId="035BE1B3" w14:textId="77777777" w:rsidR="00B46FE6" w:rsidRDefault="00B46FE6" w:rsidP="00B46FE6">
      <w:pPr>
        <w:pStyle w:val="Sinespaciado"/>
        <w:rPr>
          <w:rFonts w:eastAsia="Arial"/>
        </w:rPr>
      </w:pPr>
    </w:p>
    <w:tbl>
      <w:tblPr>
        <w:tblStyle w:val="afb"/>
        <w:tblW w:w="9120" w:type="dxa"/>
        <w:jc w:val="center"/>
        <w:tblInd w:w="0" w:type="dxa"/>
        <w:tblLayout w:type="fixed"/>
        <w:tblLook w:val="0400" w:firstRow="0" w:lastRow="0" w:firstColumn="0" w:lastColumn="0" w:noHBand="0" w:noVBand="1"/>
      </w:tblPr>
      <w:tblGrid>
        <w:gridCol w:w="4559"/>
        <w:gridCol w:w="4561"/>
      </w:tblGrid>
      <w:tr w:rsidR="00256634" w14:paraId="759CF3C8" w14:textId="77777777" w:rsidTr="00B46FE6">
        <w:trPr>
          <w:trHeight w:val="1211"/>
          <w:jc w:val="center"/>
        </w:trPr>
        <w:tc>
          <w:tcPr>
            <w:tcW w:w="9120" w:type="dxa"/>
            <w:gridSpan w:val="2"/>
          </w:tcPr>
          <w:p w14:paraId="0E1A48E9" w14:textId="77777777" w:rsidR="00256634" w:rsidRDefault="000F0709">
            <w:pPr>
              <w:spacing w:line="360" w:lineRule="auto"/>
              <w:jc w:val="center"/>
              <w:rPr>
                <w:rFonts w:ascii="Arial" w:eastAsia="Arial" w:hAnsi="Arial" w:cs="Arial"/>
                <w:b/>
                <w:color w:val="000000"/>
                <w:sz w:val="24"/>
                <w:szCs w:val="24"/>
              </w:rPr>
            </w:pPr>
            <w:bookmarkStart w:id="4" w:name="_heading=h.3znysh7" w:colFirst="0" w:colLast="0"/>
            <w:bookmarkEnd w:id="4"/>
            <w:r>
              <w:rPr>
                <w:rFonts w:ascii="Arial" w:eastAsia="Arial" w:hAnsi="Arial" w:cs="Arial"/>
                <w:b/>
                <w:color w:val="000000"/>
                <w:sz w:val="24"/>
                <w:szCs w:val="24"/>
              </w:rPr>
              <w:t>MAGISTRADA PRESIDENTA</w:t>
            </w:r>
          </w:p>
          <w:p w14:paraId="216BB8B6" w14:textId="77777777" w:rsidR="00256634" w:rsidRPr="00B87941" w:rsidRDefault="00256634" w:rsidP="00B46FE6">
            <w:pPr>
              <w:pStyle w:val="Sinespaciado"/>
              <w:rPr>
                <w:rFonts w:eastAsia="Arial"/>
                <w:sz w:val="24"/>
                <w:szCs w:val="24"/>
              </w:rPr>
            </w:pPr>
          </w:p>
          <w:p w14:paraId="0A886C1E" w14:textId="77777777" w:rsidR="00256634" w:rsidRDefault="000F070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3C99DC15" w14:textId="4E86200D" w:rsidR="00274769" w:rsidRDefault="00274769">
            <w:pPr>
              <w:spacing w:line="360" w:lineRule="auto"/>
              <w:jc w:val="center"/>
              <w:rPr>
                <w:rFonts w:ascii="Arial" w:eastAsia="Arial" w:hAnsi="Arial" w:cs="Arial"/>
                <w:b/>
                <w:color w:val="000000"/>
                <w:sz w:val="24"/>
                <w:szCs w:val="24"/>
              </w:rPr>
            </w:pPr>
          </w:p>
        </w:tc>
      </w:tr>
      <w:tr w:rsidR="00256634" w14:paraId="36B86FBF" w14:textId="77777777">
        <w:trPr>
          <w:trHeight w:val="1549"/>
          <w:jc w:val="center"/>
        </w:trPr>
        <w:tc>
          <w:tcPr>
            <w:tcW w:w="4559" w:type="dxa"/>
          </w:tcPr>
          <w:p w14:paraId="21413DEA" w14:textId="77777777" w:rsidR="00256634" w:rsidRDefault="000F070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5EF0F008" w14:textId="77777777" w:rsidR="00256634" w:rsidRPr="00B87941" w:rsidRDefault="00256634" w:rsidP="00B46FE6">
            <w:pPr>
              <w:pStyle w:val="Sinespaciado"/>
              <w:rPr>
                <w:rFonts w:eastAsia="Arial"/>
                <w:sz w:val="24"/>
                <w:szCs w:val="24"/>
              </w:rPr>
            </w:pPr>
          </w:p>
          <w:p w14:paraId="5C353B52" w14:textId="77777777" w:rsidR="00256634" w:rsidRDefault="000F0709">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01319F85" w14:textId="77777777" w:rsidR="00256634" w:rsidRDefault="000F0709">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67C165EA" w14:textId="77777777" w:rsidR="00256634" w:rsidRDefault="000F070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MAGISTRADO </w:t>
            </w:r>
          </w:p>
          <w:p w14:paraId="43CDF279" w14:textId="77777777" w:rsidR="0007505E" w:rsidRPr="00B87941" w:rsidRDefault="0007505E" w:rsidP="0007505E">
            <w:pPr>
              <w:rPr>
                <w:rFonts w:eastAsia="Arial"/>
                <w:sz w:val="28"/>
                <w:szCs w:val="28"/>
              </w:rPr>
            </w:pPr>
          </w:p>
          <w:p w14:paraId="34ABCF16" w14:textId="77777777" w:rsidR="00256634" w:rsidRDefault="000F0709">
            <w:pPr>
              <w:jc w:val="center"/>
              <w:rPr>
                <w:rFonts w:ascii="Arial" w:eastAsia="Arial" w:hAnsi="Arial" w:cs="Arial"/>
                <w:b/>
                <w:color w:val="000000"/>
                <w:sz w:val="24"/>
                <w:szCs w:val="24"/>
              </w:rPr>
            </w:pPr>
            <w:r>
              <w:rPr>
                <w:rFonts w:ascii="Arial" w:eastAsia="Arial" w:hAnsi="Arial" w:cs="Arial"/>
                <w:b/>
                <w:color w:val="000000"/>
                <w:sz w:val="24"/>
                <w:szCs w:val="24"/>
              </w:rPr>
              <w:t xml:space="preserve">HÉCTOR SALVADOR </w:t>
            </w:r>
          </w:p>
          <w:p w14:paraId="3E344AD2" w14:textId="2EA862C3" w:rsidR="00256634" w:rsidRDefault="000F0709">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0CE19E99" w14:textId="77777777" w:rsidR="00274769" w:rsidRDefault="00274769">
            <w:pPr>
              <w:jc w:val="center"/>
              <w:rPr>
                <w:rFonts w:ascii="Arial" w:eastAsia="Arial" w:hAnsi="Arial" w:cs="Arial"/>
                <w:b/>
                <w:color w:val="000000"/>
                <w:sz w:val="24"/>
                <w:szCs w:val="24"/>
              </w:rPr>
            </w:pPr>
          </w:p>
          <w:p w14:paraId="772738BC" w14:textId="77777777" w:rsidR="00256634" w:rsidRPr="00B87941" w:rsidRDefault="00256634">
            <w:pPr>
              <w:rPr>
                <w:sz w:val="24"/>
                <w:szCs w:val="24"/>
              </w:rPr>
            </w:pPr>
          </w:p>
        </w:tc>
      </w:tr>
      <w:tr w:rsidR="00256634" w14:paraId="34D79264" w14:textId="77777777">
        <w:trPr>
          <w:jc w:val="center"/>
        </w:trPr>
        <w:tc>
          <w:tcPr>
            <w:tcW w:w="9120" w:type="dxa"/>
            <w:gridSpan w:val="2"/>
          </w:tcPr>
          <w:p w14:paraId="5CA3B825" w14:textId="77777777" w:rsidR="00256634" w:rsidRDefault="000F070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SECRETARIO GENERAL DE ACUERDOS </w:t>
            </w:r>
          </w:p>
          <w:p w14:paraId="0FDC4168" w14:textId="77777777" w:rsidR="00256634" w:rsidRPr="00B87941" w:rsidRDefault="00256634" w:rsidP="00B46FE6">
            <w:pPr>
              <w:pStyle w:val="Sinespaciado"/>
              <w:rPr>
                <w:rFonts w:eastAsia="Arial"/>
                <w:sz w:val="24"/>
                <w:szCs w:val="24"/>
              </w:rPr>
            </w:pPr>
          </w:p>
          <w:p w14:paraId="0FC5DDB8" w14:textId="77777777" w:rsidR="00256634" w:rsidRDefault="000F070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JESUS OCIEL BAENA SAUCEDO </w:t>
            </w:r>
          </w:p>
        </w:tc>
      </w:tr>
    </w:tbl>
    <w:p w14:paraId="4D17E928" w14:textId="77777777" w:rsidR="00256634" w:rsidRDefault="00256634">
      <w:pPr>
        <w:spacing w:line="360" w:lineRule="auto"/>
        <w:rPr>
          <w:rFonts w:ascii="Arial" w:eastAsia="Arial" w:hAnsi="Arial" w:cs="Arial"/>
          <w:sz w:val="24"/>
          <w:szCs w:val="24"/>
        </w:rPr>
      </w:pPr>
    </w:p>
    <w:sectPr w:rsidR="00256634">
      <w:headerReference w:type="even" r:id="rId17"/>
      <w:headerReference w:type="default" r:id="rId18"/>
      <w:footerReference w:type="even" r:id="rId19"/>
      <w:footerReference w:type="default" r:id="rId20"/>
      <w:headerReference w:type="first" r:id="rId21"/>
      <w:footerReference w:type="first" r:id="rId22"/>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7CFA3" w14:textId="77777777" w:rsidR="006B794F" w:rsidRDefault="006B794F">
      <w:r>
        <w:separator/>
      </w:r>
    </w:p>
  </w:endnote>
  <w:endnote w:type="continuationSeparator" w:id="0">
    <w:p w14:paraId="7B07E7A2" w14:textId="77777777" w:rsidR="006B794F" w:rsidRDefault="006B7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1A622" w14:textId="77777777" w:rsidR="00256634" w:rsidRDefault="0025663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519E" w14:textId="77777777" w:rsidR="00256634" w:rsidRDefault="00256634">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1E742" w14:textId="77777777" w:rsidR="00256634" w:rsidRDefault="0025663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1EF93" w14:textId="77777777" w:rsidR="006B794F" w:rsidRDefault="006B794F">
      <w:r>
        <w:separator/>
      </w:r>
    </w:p>
  </w:footnote>
  <w:footnote w:type="continuationSeparator" w:id="0">
    <w:p w14:paraId="73F81567" w14:textId="77777777" w:rsidR="006B794F" w:rsidRDefault="006B794F">
      <w:r>
        <w:continuationSeparator/>
      </w:r>
    </w:p>
  </w:footnote>
  <w:footnote w:id="1">
    <w:p w14:paraId="3773E361" w14:textId="77777777" w:rsidR="00256634" w:rsidRDefault="000F0709">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73E6D9A0" w14:textId="77777777" w:rsidR="00256634" w:rsidRDefault="000F0709">
      <w:pPr>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3">
    <w:p w14:paraId="7A37C3B6" w14:textId="77777777" w:rsidR="00256634" w:rsidRDefault="000F0709">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10 de febrero; </w:t>
      </w:r>
      <w:proofErr w:type="spellStart"/>
      <w:r>
        <w:rPr>
          <w:rFonts w:ascii="Arial" w:eastAsia="Arial" w:hAnsi="Arial" w:cs="Arial"/>
        </w:rPr>
        <w:t>Intercampaña</w:t>
      </w:r>
      <w:proofErr w:type="spellEnd"/>
      <w:r>
        <w:rPr>
          <w:rFonts w:ascii="Arial" w:eastAsia="Arial" w:hAnsi="Arial" w:cs="Arial"/>
        </w:rPr>
        <w:t xml:space="preserve">: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4">
    <w:p w14:paraId="485C0F3C" w14:textId="77777777" w:rsidR="00256634" w:rsidRPr="00B37ECD" w:rsidRDefault="000F0709" w:rsidP="00B37ECD">
      <w:pPr>
        <w:jc w:val="both"/>
        <w:rPr>
          <w:rFonts w:ascii="Arial" w:eastAsia="Arial" w:hAnsi="Arial" w:cs="Arial"/>
        </w:rPr>
      </w:pPr>
      <w:r>
        <w:rPr>
          <w:vertAlign w:val="superscript"/>
        </w:rPr>
        <w:footnoteRef/>
      </w:r>
      <w:r>
        <w:rPr>
          <w:rFonts w:ascii="Arial" w:eastAsia="Arial" w:hAnsi="Arial" w:cs="Arial"/>
        </w:rPr>
        <w:t xml:space="preserve"> </w:t>
      </w:r>
      <w:r w:rsidRPr="00B37ECD">
        <w:rPr>
          <w:rFonts w:ascii="Arial" w:eastAsia="Arial" w:hAnsi="Arial" w:cs="Arial"/>
        </w:rPr>
        <w:t>Tal como se prevé en el artículo 274, fracción IV, del Código Electoral.</w:t>
      </w:r>
    </w:p>
  </w:footnote>
  <w:footnote w:id="5">
    <w:p w14:paraId="0EC13CDA" w14:textId="77777777" w:rsidR="00256634" w:rsidRPr="00B37ECD" w:rsidRDefault="000F0709" w:rsidP="00B37ECD">
      <w:pPr>
        <w:jc w:val="both"/>
        <w:rPr>
          <w:rFonts w:ascii="Arial" w:eastAsia="Arial" w:hAnsi="Arial" w:cs="Arial"/>
        </w:rPr>
      </w:pPr>
      <w:r w:rsidRPr="00B37ECD">
        <w:rPr>
          <w:rFonts w:ascii="Arial" w:hAnsi="Arial" w:cs="Arial"/>
          <w:vertAlign w:val="superscript"/>
        </w:rPr>
        <w:footnoteRef/>
      </w:r>
      <w:r w:rsidRPr="00B37ECD">
        <w:rPr>
          <w:rFonts w:ascii="Arial" w:hAnsi="Arial" w:cs="Arial"/>
        </w:rPr>
        <w:t xml:space="preserve"> </w:t>
      </w:r>
      <w:r w:rsidRPr="00B37ECD">
        <w:rPr>
          <w:rFonts w:ascii="Arial" w:eastAsia="Arial" w:hAnsi="Arial" w:cs="Arial"/>
        </w:rPr>
        <w:t xml:space="preserve">Véase la resolución SUP-AG-142/2021. </w:t>
      </w:r>
    </w:p>
  </w:footnote>
  <w:footnote w:id="6">
    <w:p w14:paraId="264838AF" w14:textId="77777777" w:rsidR="00256634" w:rsidRPr="00B37ECD" w:rsidRDefault="000F0709" w:rsidP="00B37ECD">
      <w:pPr>
        <w:jc w:val="both"/>
        <w:rPr>
          <w:rFonts w:ascii="Arial" w:eastAsia="Arial" w:hAnsi="Arial" w:cs="Arial"/>
        </w:rPr>
      </w:pPr>
      <w:r w:rsidRPr="00B37ECD">
        <w:rPr>
          <w:rFonts w:ascii="Arial" w:hAnsi="Arial" w:cs="Arial"/>
          <w:vertAlign w:val="superscript"/>
        </w:rPr>
        <w:footnoteRef/>
      </w:r>
      <w:r w:rsidRPr="00B37ECD">
        <w:rPr>
          <w:rFonts w:ascii="Arial" w:eastAsia="Arial" w:hAnsi="Arial" w:cs="Arial"/>
        </w:rPr>
        <w:t xml:space="preserve"> Artículo 270.- La denuncia deberá ser presentada ante la Secretaría Ejecutiva, para que ésta la examine junto con las pruebas aportadas. La denuncia será desechada de plano por la Secretaría Ejecutiva, sin prevención alguna, cuando: […]</w:t>
      </w:r>
    </w:p>
    <w:p w14:paraId="3BB361F9" w14:textId="77777777" w:rsidR="00256634" w:rsidRPr="00B37ECD" w:rsidRDefault="000F0709" w:rsidP="00B37ECD">
      <w:pPr>
        <w:jc w:val="both"/>
        <w:rPr>
          <w:rFonts w:ascii="Arial" w:eastAsia="Arial" w:hAnsi="Arial" w:cs="Arial"/>
        </w:rPr>
      </w:pPr>
      <w:r w:rsidRPr="00B37ECD">
        <w:rPr>
          <w:rFonts w:ascii="Arial" w:eastAsia="Arial" w:hAnsi="Arial" w:cs="Arial"/>
        </w:rPr>
        <w:t>II. Los hechos denunciados no constituyan una violación en materia de propaganda político-electivo;</w:t>
      </w:r>
    </w:p>
    <w:p w14:paraId="6BC26379" w14:textId="77777777" w:rsidR="00256634" w:rsidRPr="00B37ECD" w:rsidRDefault="000F0709" w:rsidP="00B37ECD">
      <w:pPr>
        <w:jc w:val="both"/>
        <w:rPr>
          <w:rFonts w:ascii="Arial" w:eastAsia="Arial" w:hAnsi="Arial" w:cs="Arial"/>
        </w:rPr>
      </w:pPr>
      <w:r w:rsidRPr="00B37ECD">
        <w:rPr>
          <w:rFonts w:ascii="Arial" w:eastAsia="Arial" w:hAnsi="Arial" w:cs="Arial"/>
        </w:rPr>
        <w:t>III. El denunciante no aporte ni ofrezca prueba alguna de sus dichos; […]</w:t>
      </w:r>
    </w:p>
    <w:p w14:paraId="1B6F06E1" w14:textId="77777777" w:rsidR="00256634" w:rsidRPr="00B37ECD" w:rsidRDefault="000F0709" w:rsidP="00B37ECD">
      <w:pPr>
        <w:jc w:val="both"/>
        <w:rPr>
          <w:rFonts w:ascii="Arial" w:eastAsia="Arial" w:hAnsi="Arial" w:cs="Arial"/>
        </w:rPr>
      </w:pPr>
      <w:r w:rsidRPr="00B37ECD">
        <w:rPr>
          <w:rFonts w:ascii="Arial" w:eastAsia="Arial" w:hAnsi="Arial" w:cs="Arial"/>
        </w:rPr>
        <w:t>V. La denuncia sea evidentemente frívola. […]</w:t>
      </w:r>
    </w:p>
    <w:p w14:paraId="0D67AB33" w14:textId="77777777" w:rsidR="00256634" w:rsidRDefault="00256634">
      <w:pPr>
        <w:rPr>
          <w:rFonts w:ascii="Arial" w:eastAsia="Arial" w:hAnsi="Arial" w:cs="Arial"/>
        </w:rPr>
      </w:pPr>
    </w:p>
  </w:footnote>
  <w:footnote w:id="7">
    <w:p w14:paraId="7A3D69CB" w14:textId="49004549" w:rsidR="00091183" w:rsidRPr="00091183" w:rsidRDefault="000F0709">
      <w:pPr>
        <w:pBdr>
          <w:top w:val="nil"/>
          <w:left w:val="nil"/>
          <w:bottom w:val="nil"/>
          <w:right w:val="nil"/>
          <w:between w:val="nil"/>
        </w:pBdr>
        <w:jc w:val="both"/>
        <w:rPr>
          <w:rFonts w:ascii="Arial" w:eastAsia="Arial" w:hAnsi="Arial" w:cs="Arial"/>
          <w:i/>
          <w:iCs/>
          <w:color w:val="000000"/>
        </w:rPr>
      </w:pPr>
      <w:r>
        <w:rPr>
          <w:vertAlign w:val="superscript"/>
        </w:rPr>
        <w:footnoteRef/>
      </w:r>
      <w:r>
        <w:rPr>
          <w:rFonts w:ascii="Arial" w:eastAsia="Arial" w:hAnsi="Arial" w:cs="Arial"/>
          <w:color w:val="000000"/>
        </w:rPr>
        <w:t xml:space="preserve"> </w:t>
      </w:r>
      <w:r w:rsidR="00091183">
        <w:rPr>
          <w:rFonts w:ascii="Arial" w:eastAsia="Arial" w:hAnsi="Arial" w:cs="Arial"/>
          <w:color w:val="000000"/>
        </w:rPr>
        <w:t xml:space="preserve">- </w:t>
      </w:r>
      <w:r w:rsidR="00091183">
        <w:rPr>
          <w:rFonts w:ascii="Arial" w:eastAsia="Arial" w:hAnsi="Arial" w:cs="Arial"/>
          <w:i/>
          <w:iCs/>
          <w:color w:val="000000"/>
        </w:rPr>
        <w:t xml:space="preserve">Prueba técnica: </w:t>
      </w:r>
      <w:r w:rsidR="00091183">
        <w:rPr>
          <w:rFonts w:ascii="Arial" w:hAnsi="Arial" w:cs="Arial"/>
          <w:color w:val="000000"/>
        </w:rPr>
        <w:t> De acuerdo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5D1F859D" w14:textId="1CB581B3" w:rsidR="00256634" w:rsidRDefault="000F0709">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 </w:t>
      </w:r>
    </w:p>
    <w:p w14:paraId="1D55B9D2" w14:textId="77777777" w:rsidR="00256634" w:rsidRDefault="000F0709">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w:t>
      </w:r>
      <w:proofErr w:type="spellStart"/>
      <w:r>
        <w:rPr>
          <w:rFonts w:ascii="Arial" w:eastAsia="Arial" w:hAnsi="Arial" w:cs="Arial"/>
          <w:color w:val="000000"/>
        </w:rPr>
        <w:t>presuncional</w:t>
      </w:r>
      <w:proofErr w:type="spellEnd"/>
      <w:r>
        <w:rPr>
          <w:rFonts w:ascii="Arial" w:eastAsia="Arial" w:hAnsi="Arial" w:cs="Arial"/>
          <w:color w:val="00000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7CC66256" w14:textId="77777777" w:rsidR="00256634" w:rsidRDefault="00256634">
      <w:pPr>
        <w:pBdr>
          <w:top w:val="nil"/>
          <w:left w:val="nil"/>
          <w:bottom w:val="nil"/>
          <w:right w:val="nil"/>
          <w:between w:val="nil"/>
        </w:pBdr>
        <w:rPr>
          <w:rFonts w:ascii="Arial" w:eastAsia="Arial" w:hAnsi="Arial" w:cs="Arial"/>
          <w:color w:val="000000"/>
        </w:rPr>
      </w:pPr>
    </w:p>
  </w:footnote>
  <w:footnote w:id="8">
    <w:p w14:paraId="61B76E28" w14:textId="77777777" w:rsidR="00256634" w:rsidRPr="00091183" w:rsidRDefault="000F0709" w:rsidP="00091183">
      <w:pPr>
        <w:jc w:val="both"/>
        <w:rPr>
          <w:rFonts w:ascii="Arial" w:hAnsi="Arial" w:cs="Arial"/>
        </w:rPr>
      </w:pPr>
      <w:r w:rsidRPr="00091183">
        <w:rPr>
          <w:rFonts w:ascii="Arial" w:hAnsi="Arial" w:cs="Arial"/>
          <w:vertAlign w:val="superscript"/>
        </w:rPr>
        <w:footnoteRef/>
      </w:r>
      <w:r w:rsidRPr="00091183">
        <w:rPr>
          <w:rFonts w:ascii="Arial" w:hAnsi="Arial" w:cs="Arial"/>
        </w:rPr>
        <w:t xml:space="preserve"> </w:t>
      </w:r>
      <w:r w:rsidRPr="00091183">
        <w:rPr>
          <w:rFonts w:ascii="Arial" w:eastAsia="Arial" w:hAnsi="Arial" w:cs="Arial"/>
        </w:rPr>
        <w:t>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9">
    <w:p w14:paraId="5509EA8B" w14:textId="77777777" w:rsidR="00256634" w:rsidRPr="00091183" w:rsidRDefault="000F0709" w:rsidP="00091183">
      <w:pPr>
        <w:jc w:val="both"/>
        <w:rPr>
          <w:rFonts w:ascii="Arial" w:hAnsi="Arial" w:cs="Arial"/>
        </w:rPr>
      </w:pPr>
      <w:r w:rsidRPr="00091183">
        <w:rPr>
          <w:rFonts w:ascii="Arial" w:hAnsi="Arial" w:cs="Arial"/>
          <w:vertAlign w:val="superscript"/>
        </w:rPr>
        <w:footnoteRef/>
      </w:r>
      <w:r w:rsidRPr="00091183">
        <w:rPr>
          <w:rFonts w:ascii="Arial" w:hAnsi="Arial" w:cs="Arial"/>
        </w:rPr>
        <w:t xml:space="preserve"> </w:t>
      </w:r>
      <w:r w:rsidRPr="00091183">
        <w:rPr>
          <w:rFonts w:ascii="Arial" w:eastAsia="Arial" w:hAnsi="Arial" w:cs="Arial"/>
        </w:rPr>
        <w:t>Apartado C. En la propaganda política o electoral que difundan los partidos y candidatos deberán abstenerse de expresiones que calumnien a las personas</w:t>
      </w:r>
    </w:p>
  </w:footnote>
  <w:footnote w:id="10">
    <w:p w14:paraId="7877B38E" w14:textId="77777777" w:rsidR="00256634" w:rsidRPr="00091183" w:rsidRDefault="000F0709" w:rsidP="00091183">
      <w:pPr>
        <w:jc w:val="both"/>
        <w:rPr>
          <w:rFonts w:ascii="Arial" w:hAnsi="Arial" w:cs="Arial"/>
        </w:rPr>
      </w:pPr>
      <w:r w:rsidRPr="00091183">
        <w:rPr>
          <w:rFonts w:ascii="Arial" w:hAnsi="Arial" w:cs="Arial"/>
          <w:vertAlign w:val="superscript"/>
        </w:rPr>
        <w:footnoteRef/>
      </w:r>
      <w:r w:rsidRPr="00091183">
        <w:rPr>
          <w:rFonts w:ascii="Arial" w:hAnsi="Arial" w:cs="Arial"/>
        </w:rPr>
        <w:t xml:space="preserve"> </w:t>
      </w:r>
      <w:r w:rsidRPr="00091183">
        <w:rPr>
          <w:rFonts w:ascii="Arial" w:eastAsia="Arial" w:hAnsi="Arial" w:cs="Arial"/>
        </w:rPr>
        <w:t>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11">
    <w:p w14:paraId="23303F5B" w14:textId="6195660C" w:rsidR="00256634" w:rsidRDefault="000F0709" w:rsidP="00091183">
      <w:pPr>
        <w:jc w:val="both"/>
      </w:pPr>
      <w:r w:rsidRPr="00091183">
        <w:rPr>
          <w:rFonts w:ascii="Arial" w:hAnsi="Arial" w:cs="Arial"/>
          <w:vertAlign w:val="superscript"/>
        </w:rPr>
        <w:footnoteRef/>
      </w:r>
      <w:r w:rsidRPr="00091183">
        <w:rPr>
          <w:rFonts w:ascii="Arial" w:hAnsi="Arial" w:cs="Arial"/>
        </w:rPr>
        <w:t xml:space="preserve"> </w:t>
      </w:r>
      <w:r w:rsidRPr="00091183">
        <w:rPr>
          <w:rFonts w:ascii="Arial" w:eastAsia="Arial" w:hAnsi="Arial" w:cs="Arial"/>
        </w:rPr>
        <w:t>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r w:rsidR="00B46FE6">
        <w:rPr>
          <w:rFonts w:ascii="Arial" w:eastAsia="Arial" w:hAnsi="Arial" w:cs="Arial"/>
        </w:rPr>
        <w:t>)</w:t>
      </w:r>
    </w:p>
  </w:footnote>
  <w:footnote w:id="12">
    <w:p w14:paraId="0CFB47C6" w14:textId="77777777" w:rsidR="00256634" w:rsidRDefault="000F0709">
      <w:r>
        <w:rPr>
          <w:vertAlign w:val="superscript"/>
        </w:rPr>
        <w:footnoteRef/>
      </w:r>
      <w:r>
        <w:t xml:space="preserve"> </w:t>
      </w:r>
      <w:r>
        <w:rPr>
          <w:rFonts w:ascii="Arial" w:eastAsia="Arial" w:hAnsi="Arial" w:cs="Arial"/>
        </w:rPr>
        <w:t>Véase la sentencia SUP-REP-042/2018.</w:t>
      </w:r>
    </w:p>
  </w:footnote>
  <w:footnote w:id="13">
    <w:p w14:paraId="1EFD35DF" w14:textId="77777777" w:rsidR="00256634" w:rsidRDefault="000F0709" w:rsidP="00B46FE6">
      <w:pPr>
        <w:jc w:val="both"/>
        <w:rPr>
          <w:rFonts w:ascii="Arial" w:eastAsia="Arial" w:hAnsi="Arial" w:cs="Arial"/>
        </w:rPr>
      </w:pPr>
      <w:r>
        <w:rPr>
          <w:vertAlign w:val="superscript"/>
        </w:rPr>
        <w:footnoteRef/>
      </w:r>
      <w:r>
        <w:rPr>
          <w:rFonts w:ascii="Arial" w:eastAsia="Arial" w:hAnsi="Arial" w:cs="Arial"/>
        </w:rPr>
        <w:t xml:space="preserve"> ARTÍCULO 140.- Robo. El Robo consiste en: </w:t>
      </w:r>
    </w:p>
    <w:p w14:paraId="730875AA" w14:textId="77777777" w:rsidR="00256634" w:rsidRDefault="000F0709" w:rsidP="00B46FE6">
      <w:pPr>
        <w:jc w:val="both"/>
        <w:rPr>
          <w:rFonts w:ascii="Arial" w:eastAsia="Arial" w:hAnsi="Arial" w:cs="Arial"/>
        </w:rPr>
      </w:pPr>
      <w:r>
        <w:rPr>
          <w:rFonts w:ascii="Arial" w:eastAsia="Arial" w:hAnsi="Arial" w:cs="Arial"/>
        </w:rPr>
        <w:t xml:space="preserve">I. El apoderamiento de una cosa ajena mueble, dinero o valores, sin derecho y sin consentimiento de la persona que puede disponer de ella con arreglo a la ley; </w:t>
      </w:r>
    </w:p>
    <w:p w14:paraId="2696E9CE" w14:textId="77777777" w:rsidR="00256634" w:rsidRDefault="000F0709" w:rsidP="00B46FE6">
      <w:pPr>
        <w:jc w:val="both"/>
        <w:rPr>
          <w:rFonts w:ascii="Arial" w:eastAsia="Arial" w:hAnsi="Arial" w:cs="Arial"/>
        </w:rPr>
      </w:pPr>
      <w:r>
        <w:rPr>
          <w:rFonts w:ascii="Arial" w:eastAsia="Arial" w:hAnsi="Arial" w:cs="Arial"/>
        </w:rPr>
        <w:t>II. El apoderamiento de cosa propia, dinero o valores, cuando éstos se hallen en poder de otra persona por cualquier título legítimo, en la medida que ello afecte el patrimonio de quien los detente; o</w:t>
      </w:r>
    </w:p>
    <w:p w14:paraId="06943ECF" w14:textId="77777777" w:rsidR="00256634" w:rsidRDefault="000F0709" w:rsidP="00B46FE6">
      <w:pPr>
        <w:jc w:val="both"/>
        <w:rPr>
          <w:rFonts w:ascii="Arial" w:eastAsia="Arial" w:hAnsi="Arial" w:cs="Arial"/>
        </w:rPr>
      </w:pPr>
      <w:r>
        <w:rPr>
          <w:rFonts w:ascii="Arial" w:eastAsia="Arial" w:hAnsi="Arial" w:cs="Arial"/>
        </w:rPr>
        <w:t>III. El aprovechamiento de energía eléctrica, agua, gas, servicio telefónico, servicio de Internet o de imagen televisiva, sin consentimiento de la persona que legalmente pueda disponer de ellos. [...]</w:t>
      </w:r>
    </w:p>
  </w:footnote>
  <w:footnote w:id="14">
    <w:p w14:paraId="003A3CCE" w14:textId="77777777" w:rsidR="00256634" w:rsidRDefault="000F0709">
      <w:pPr>
        <w:pBdr>
          <w:top w:val="nil"/>
          <w:left w:val="nil"/>
          <w:bottom w:val="nil"/>
          <w:right w:val="nil"/>
          <w:between w:val="nil"/>
        </w:pBdr>
        <w:rPr>
          <w:color w:val="000000"/>
        </w:rPr>
      </w:pPr>
      <w:r>
        <w:rPr>
          <w:vertAlign w:val="superscript"/>
        </w:rPr>
        <w:footnoteRef/>
      </w:r>
      <w:r>
        <w:rPr>
          <w:color w:val="000000"/>
        </w:rPr>
        <w:t xml:space="preserve"> </w:t>
      </w:r>
      <w:r>
        <w:rPr>
          <w:rFonts w:ascii="Arial" w:eastAsia="Arial" w:hAnsi="Arial" w:cs="Arial"/>
          <w:color w:val="000000"/>
        </w:rPr>
        <w:t xml:space="preserve"> Similar criterio sostuvo la Sala Superior al resolver el asunto SUP-REP-159/2016.</w:t>
      </w:r>
    </w:p>
  </w:footnote>
  <w:footnote w:id="15">
    <w:p w14:paraId="3F93594E" w14:textId="2417A0A9" w:rsidR="009C729B" w:rsidRDefault="009C729B">
      <w:pPr>
        <w:pStyle w:val="Textonotapie"/>
      </w:pPr>
      <w:r>
        <w:rPr>
          <w:rStyle w:val="Refdenotaalpie"/>
        </w:rPr>
        <w:footnoteRef/>
      </w:r>
      <w:r>
        <w:t xml:space="preserve"> </w:t>
      </w:r>
      <w:r w:rsidRPr="009C729B">
        <w:rPr>
          <w:rFonts w:ascii="Arial" w:hAnsi="Arial" w:cs="Arial"/>
        </w:rPr>
        <w:t>Véase la resolución SUP-REP-232/2022.</w:t>
      </w:r>
      <w:r>
        <w:t xml:space="preserve"> </w:t>
      </w:r>
    </w:p>
  </w:footnote>
  <w:footnote w:id="16">
    <w:p w14:paraId="553B67C0" w14:textId="77777777" w:rsidR="00256634" w:rsidRDefault="000F0709">
      <w:pPr>
        <w:jc w:val="both"/>
        <w:rPr>
          <w:rFonts w:ascii="Arial" w:eastAsia="Arial" w:hAnsi="Arial" w:cs="Arial"/>
        </w:rPr>
      </w:pPr>
      <w:r>
        <w:rPr>
          <w:vertAlign w:val="superscript"/>
        </w:rPr>
        <w:footnoteRef/>
      </w:r>
      <w:r>
        <w:rPr>
          <w:rFonts w:ascii="Arial" w:eastAsia="Arial" w:hAnsi="Arial" w:cs="Arial"/>
        </w:rPr>
        <w:t xml:space="preserve"> 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p>
  </w:footnote>
  <w:footnote w:id="17">
    <w:p w14:paraId="63082470" w14:textId="77777777" w:rsidR="00256634" w:rsidRDefault="000F0709">
      <w:r>
        <w:rPr>
          <w:vertAlign w:val="superscript"/>
        </w:rPr>
        <w:footnoteRef/>
      </w:r>
      <w:r>
        <w:t xml:space="preserve"> </w:t>
      </w:r>
      <w:r w:rsidRPr="000660DA">
        <w:rPr>
          <w:rFonts w:ascii="Arial" w:eastAsia="Arial" w:hAnsi="Arial" w:cs="Arial"/>
        </w:rPr>
        <w:t>Véase, por ejemplo, los asuntos SUP-REP-700/2018 y SUP-REP-719/2018.</w:t>
      </w:r>
    </w:p>
  </w:footnote>
  <w:footnote w:id="18">
    <w:p w14:paraId="4A6AD64C" w14:textId="77777777" w:rsidR="00256634" w:rsidRDefault="000F0709">
      <w:pPr>
        <w:jc w:val="both"/>
        <w:rPr>
          <w:rFonts w:ascii="Arial" w:eastAsia="Arial" w:hAnsi="Arial" w:cs="Arial"/>
        </w:rPr>
      </w:pPr>
      <w:r>
        <w:rPr>
          <w:vertAlign w:val="superscript"/>
        </w:rPr>
        <w:footnoteRef/>
      </w:r>
      <w:r>
        <w:t xml:space="preserve"> </w:t>
      </w:r>
      <w:r>
        <w:rPr>
          <w:rFonts w:ascii="Arial" w:eastAsia="Arial" w:hAnsi="Arial" w:cs="Arial"/>
        </w:rPr>
        <w:t>ARTÍCULO 244.- Constituyen infracciones de los aspirantes, precandidatos, candidatos o candidatos independientes a cargos de elección popular, al presente Código:</w:t>
      </w:r>
      <w:r>
        <w:rPr>
          <w:rFonts w:ascii="Arial" w:eastAsia="Arial" w:hAnsi="Arial" w:cs="Arial"/>
        </w:rPr>
        <w:br/>
        <w:t>[...]</w:t>
      </w:r>
    </w:p>
    <w:p w14:paraId="7FABF3E1" w14:textId="77777777" w:rsidR="00256634" w:rsidRDefault="000F0709">
      <w:pPr>
        <w:jc w:val="both"/>
        <w:rPr>
          <w:rFonts w:ascii="Arial" w:eastAsia="Arial" w:hAnsi="Arial" w:cs="Arial"/>
        </w:rPr>
      </w:pPr>
      <w:r>
        <w:rPr>
          <w:rFonts w:ascii="Arial" w:eastAsia="Arial" w:hAnsi="Arial" w:cs="Arial"/>
        </w:rPr>
        <w:t xml:space="preserve">IV. La difusión de propaganda política o electoral que calumnie a las personas o que utilice, de forma premeditada, los datos personales, información o imágenes de niñas, niños o adolescentes, sin su consentimiento y el correspondiente por quien ejerza la patria potestad sobre los mismos; </w:t>
      </w:r>
    </w:p>
  </w:footnote>
  <w:footnote w:id="19">
    <w:p w14:paraId="02B7E984" w14:textId="77777777" w:rsidR="00256634" w:rsidRDefault="000F0709">
      <w:pPr>
        <w:jc w:val="both"/>
        <w:rPr>
          <w:rFonts w:ascii="Arial" w:eastAsia="Arial" w:hAnsi="Arial" w:cs="Arial"/>
        </w:rPr>
      </w:pPr>
      <w:r>
        <w:rPr>
          <w:vertAlign w:val="superscript"/>
        </w:rPr>
        <w:footnoteRef/>
      </w:r>
      <w:r>
        <w:t xml:space="preserve"> </w:t>
      </w:r>
      <w:r>
        <w:rPr>
          <w:rFonts w:ascii="Arial" w:eastAsia="Arial" w:hAnsi="Arial" w:cs="Arial"/>
        </w:rPr>
        <w:t>ARTÍCULO 244.- Constituyen infracciones de los aspirantes, precandidatos, candidatos o candidatos independientes a cargos de elección popular, al presente Código:</w:t>
      </w:r>
      <w:r>
        <w:rPr>
          <w:rFonts w:ascii="Arial" w:eastAsia="Arial" w:hAnsi="Arial" w:cs="Arial"/>
        </w:rPr>
        <w:br/>
        <w:t>[...]</w:t>
      </w:r>
    </w:p>
    <w:p w14:paraId="64861A48" w14:textId="77777777" w:rsidR="00256634" w:rsidRDefault="000F0709">
      <w:pPr>
        <w:jc w:val="both"/>
        <w:rPr>
          <w:rFonts w:ascii="Arial" w:eastAsia="Arial" w:hAnsi="Arial" w:cs="Arial"/>
        </w:rPr>
      </w:pPr>
      <w:r>
        <w:rPr>
          <w:rFonts w:ascii="Arial" w:eastAsia="Arial" w:hAnsi="Arial" w:cs="Arial"/>
        </w:rPr>
        <w:t xml:space="preserve">Las infracciones referidas en el párrafo anterior se sancionarán, según la gravedad, de la siguiente manera: </w:t>
      </w:r>
    </w:p>
    <w:p w14:paraId="07AB383E" w14:textId="77777777" w:rsidR="00256634" w:rsidRDefault="000F0709">
      <w:pPr>
        <w:jc w:val="both"/>
        <w:rPr>
          <w:rFonts w:ascii="Arial" w:eastAsia="Arial" w:hAnsi="Arial" w:cs="Arial"/>
        </w:rPr>
      </w:pPr>
      <w:r>
        <w:rPr>
          <w:rFonts w:ascii="Arial" w:eastAsia="Arial" w:hAnsi="Arial" w:cs="Arial"/>
        </w:rPr>
        <w:t>[...]</w:t>
      </w:r>
    </w:p>
    <w:p w14:paraId="4E996536" w14:textId="77777777" w:rsidR="00256634" w:rsidRDefault="000F0709">
      <w:pPr>
        <w:jc w:val="both"/>
        <w:rPr>
          <w:rFonts w:ascii="Arial" w:eastAsia="Arial" w:hAnsi="Arial" w:cs="Arial"/>
        </w:rPr>
      </w:pPr>
      <w:r>
        <w:rPr>
          <w:rFonts w:ascii="Arial" w:eastAsia="Arial" w:hAnsi="Arial" w:cs="Arial"/>
        </w:rPr>
        <w:t xml:space="preserve">III. Las señaladas en las fracciones IV, V y X del párrafo anterior, con multa de veinte hasta cinco mil veces el valor diario de la Unidad de Medida y Actualización; </w:t>
      </w:r>
    </w:p>
    <w:p w14:paraId="6DCC956B" w14:textId="77777777" w:rsidR="00256634" w:rsidRDefault="000F0709">
      <w:pPr>
        <w:jc w:val="both"/>
        <w:rPr>
          <w:rFonts w:ascii="Arial" w:eastAsia="Arial" w:hAnsi="Arial" w:cs="Arial"/>
        </w:rPr>
      </w:pPr>
      <w:r>
        <w:rPr>
          <w:rFonts w:ascii="Arial" w:eastAsia="Arial" w:hAnsi="Arial" w:cs="Arial"/>
        </w:rPr>
        <w:t>[...]</w:t>
      </w:r>
    </w:p>
  </w:footnote>
  <w:footnote w:id="20">
    <w:p w14:paraId="555BBCDE" w14:textId="68A73458" w:rsidR="00274769" w:rsidRDefault="00274769" w:rsidP="0007505E">
      <w:pPr>
        <w:pStyle w:val="Textonotapie"/>
        <w:jc w:val="both"/>
      </w:pPr>
      <w:r>
        <w:rPr>
          <w:rStyle w:val="Refdenotaalpie"/>
        </w:rPr>
        <w:footnoteRef/>
      </w:r>
      <w:r>
        <w:t xml:space="preserve"> </w:t>
      </w:r>
      <w:r w:rsidRPr="00516907">
        <w:rPr>
          <w:rFonts w:ascii="Arial" w:hAnsi="Arial" w:cs="Arial"/>
        </w:rPr>
        <w:t>E</w:t>
      </w:r>
      <w:r w:rsidRPr="00516907">
        <w:rPr>
          <w:rFonts w:ascii="Arial" w:hAnsi="Arial" w:cs="Arial"/>
          <w:shd w:val="clear" w:color="auto" w:fill="FFFFFF"/>
        </w:rPr>
        <w:t>l valor diario de la Unidad de Medida y Actualización UMA es de 96.22 pesos mexicanos conforme a la consulta realizada</w:t>
      </w:r>
      <w:r>
        <w:rPr>
          <w:rFonts w:ascii="Arial" w:hAnsi="Arial" w:cs="Arial"/>
          <w:shd w:val="clear" w:color="auto" w:fill="FFFFFF"/>
        </w:rPr>
        <w:t>.</w:t>
      </w:r>
    </w:p>
  </w:footnote>
  <w:footnote w:id="21">
    <w:p w14:paraId="5C8D0AAD" w14:textId="77777777" w:rsidR="00256634" w:rsidRDefault="000F0709">
      <w:pPr>
        <w:jc w:val="both"/>
        <w:rPr>
          <w:rFonts w:ascii="Arial" w:eastAsia="Arial" w:hAnsi="Arial" w:cs="Arial"/>
        </w:rPr>
      </w:pPr>
      <w:r>
        <w:rPr>
          <w:vertAlign w:val="superscript"/>
        </w:rPr>
        <w:footnoteRef/>
      </w:r>
      <w:r>
        <w:t xml:space="preserve"> </w:t>
      </w:r>
      <w:r>
        <w:rPr>
          <w:rFonts w:ascii="Arial" w:eastAsia="Arial" w:hAnsi="Arial" w:cs="Arial"/>
        </w:rPr>
        <w:t xml:space="preserve">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w:t>
      </w:r>
      <w:r>
        <w:rPr>
          <w:rFonts w:ascii="Arial" w:eastAsia="Arial" w:hAnsi="Arial" w:cs="Arial"/>
        </w:rPr>
        <w:br/>
        <w:t>[...]</w:t>
      </w:r>
    </w:p>
    <w:p w14:paraId="29DF82C3" w14:textId="77777777" w:rsidR="00256634" w:rsidRDefault="000F0709">
      <w:pPr>
        <w:jc w:val="both"/>
        <w:rPr>
          <w:rFonts w:ascii="Arial" w:eastAsia="Arial" w:hAnsi="Arial" w:cs="Arial"/>
        </w:rPr>
      </w:pPr>
      <w:r>
        <w:rPr>
          <w:rFonts w:ascii="Arial" w:eastAsia="Arial" w:hAnsi="Arial" w:cs="Arial"/>
        </w:rPr>
        <w:t xml:space="preserve">Las multas impuestas por el </w:t>
      </w:r>
      <w:proofErr w:type="spellStart"/>
      <w:r>
        <w:rPr>
          <w:rFonts w:ascii="Arial" w:eastAsia="Arial" w:hAnsi="Arial" w:cs="Arial"/>
        </w:rPr>
        <w:t>Tribunalque</w:t>
      </w:r>
      <w:proofErr w:type="spellEnd"/>
      <w:r>
        <w:rPr>
          <w:rFonts w:ascii="Arial" w:eastAsia="Arial" w:hAnsi="Arial" w:cs="Arial"/>
        </w:rPr>
        <w:t xml:space="preserve"> hayan quedado firmes deberán ser pagadas en la Dirección Administrativa del Instituto; si el infractor no cumple con su obligación, el Instituto dará vista a las autoridades hacendarias a efecto de que procedan a su cobro conforme a la legislación aplicable.</w:t>
      </w:r>
    </w:p>
    <w:p w14:paraId="7EA84C9A" w14:textId="77777777" w:rsidR="00256634" w:rsidRDefault="000F0709">
      <w:pPr>
        <w:jc w:val="both"/>
        <w:rPr>
          <w:rFonts w:ascii="Arial" w:eastAsia="Arial" w:hAnsi="Arial" w:cs="Arial"/>
        </w:rPr>
      </w:pPr>
      <w:r>
        <w:rPr>
          <w:rFonts w:ascii="Arial" w:eastAsia="Arial" w:hAnsi="Arial" w:cs="Arial"/>
        </w:rPr>
        <w:t>[...]</w:t>
      </w:r>
    </w:p>
  </w:footnote>
  <w:footnote w:id="22">
    <w:p w14:paraId="198FA104" w14:textId="77777777" w:rsidR="00256634" w:rsidRDefault="000F0709">
      <w:pPr>
        <w:jc w:val="both"/>
        <w:rPr>
          <w:sz w:val="16"/>
          <w:szCs w:val="16"/>
        </w:rPr>
      </w:pPr>
      <w:r>
        <w:rPr>
          <w:vertAlign w:val="superscript"/>
        </w:rPr>
        <w:footnoteRef/>
      </w:r>
      <w:r>
        <w:t xml:space="preserve"> </w:t>
      </w:r>
      <w:r>
        <w:rPr>
          <w:rFonts w:ascii="Arial" w:eastAsia="Arial" w:hAnsi="Arial" w:cs="Arial"/>
        </w:rPr>
        <w:t>Tesis: XXXIV/2004 de la Sala Superior: PARTIDOS POLÍTICOS. SON IMPUTABLES POR LA CONDUCTA DE SUS MIEMBROS Y PERSONAS RELACIONADAS CON SUS ACTIVIDADES. Disponible para su consulta:</w:t>
      </w:r>
      <w:hyperlink r:id="rId1">
        <w:r>
          <w:rPr>
            <w:rFonts w:ascii="Arial" w:eastAsia="Arial" w:hAnsi="Arial" w:cs="Arial"/>
          </w:rPr>
          <w:t xml:space="preserve"> </w:t>
        </w:r>
      </w:hyperlink>
      <w:hyperlink r:id="rId2">
        <w:r>
          <w:rPr>
            <w:rFonts w:ascii="Arial" w:eastAsia="Arial" w:hAnsi="Arial" w:cs="Arial"/>
            <w:color w:val="1155CC"/>
            <w:u w:val="single"/>
          </w:rPr>
          <w:t>https://www.te.gob.mx/IUSEapp/tesisjur.aspx?idtesis=XXXIV/2004&amp;tpoBusqueda=S&amp;sWord=XXXIV/2004</w:t>
        </w:r>
      </w:hyperlink>
    </w:p>
  </w:footnote>
  <w:footnote w:id="23">
    <w:p w14:paraId="3620CDAD" w14:textId="77777777" w:rsidR="00256634" w:rsidRDefault="000F0709">
      <w:pPr>
        <w:jc w:val="both"/>
        <w:rPr>
          <w:rFonts w:ascii="Arial" w:eastAsia="Arial" w:hAnsi="Arial" w:cs="Arial"/>
        </w:rPr>
      </w:pPr>
      <w:r>
        <w:rPr>
          <w:vertAlign w:val="superscript"/>
        </w:rPr>
        <w:footnoteRef/>
      </w:r>
      <w:r>
        <w:t xml:space="preserve"> </w:t>
      </w:r>
      <w:r>
        <w:rPr>
          <w:rFonts w:ascii="Arial" w:eastAsia="Arial" w:hAnsi="Arial" w:cs="Arial"/>
        </w:rPr>
        <w:t>ARTÍCULO 242.- Constituyen infracciones de los partidos políticos al presente Código:</w:t>
      </w:r>
    </w:p>
    <w:p w14:paraId="24EB77D4" w14:textId="77777777" w:rsidR="00962E03" w:rsidRDefault="000F0709">
      <w:pPr>
        <w:jc w:val="both"/>
        <w:rPr>
          <w:rFonts w:ascii="Arial" w:eastAsia="Arial" w:hAnsi="Arial" w:cs="Arial"/>
        </w:rPr>
      </w:pPr>
      <w:r>
        <w:rPr>
          <w:rFonts w:ascii="Arial" w:eastAsia="Arial" w:hAnsi="Arial" w:cs="Arial"/>
        </w:rPr>
        <w:t>[...]</w:t>
      </w:r>
      <w:r>
        <w:rPr>
          <w:rFonts w:ascii="Arial" w:eastAsia="Arial" w:hAnsi="Arial" w:cs="Arial"/>
        </w:rPr>
        <w:br/>
        <w:t xml:space="preserve">Las infracciones cometidas por los partidos políticos se sancionarán, según la gravedad, de la siguiente manera: </w:t>
      </w:r>
      <w:r>
        <w:rPr>
          <w:rFonts w:ascii="Arial" w:eastAsia="Arial" w:hAnsi="Arial" w:cs="Arial"/>
        </w:rPr>
        <w:br/>
        <w:t>I. Con amonestación pública;</w:t>
      </w:r>
    </w:p>
    <w:p w14:paraId="237F3AAB" w14:textId="7860B942" w:rsidR="00256634" w:rsidRDefault="000F0709">
      <w:pPr>
        <w:jc w:val="both"/>
        <w:rPr>
          <w:rFonts w:ascii="Arial" w:eastAsia="Arial" w:hAnsi="Arial" w:cs="Arial"/>
        </w:rPr>
      </w:pPr>
      <w:r>
        <w:rPr>
          <w:rFonts w:ascii="Arial" w:eastAsia="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939C4" w14:textId="7BF91153" w:rsidR="00256634" w:rsidRDefault="006B794F">
    <w:pPr>
      <w:pBdr>
        <w:top w:val="nil"/>
        <w:left w:val="nil"/>
        <w:bottom w:val="nil"/>
        <w:right w:val="nil"/>
        <w:between w:val="nil"/>
      </w:pBdr>
      <w:tabs>
        <w:tab w:val="center" w:pos="4419"/>
        <w:tab w:val="right" w:pos="8838"/>
      </w:tabs>
      <w:rPr>
        <w:color w:val="000000"/>
      </w:rPr>
    </w:pPr>
    <w:r>
      <w:rPr>
        <w:noProof/>
      </w:rPr>
      <w:pict w14:anchorId="0AD3D7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9349547" o:spid="_x0000_s1026" type="#_x0000_t136" style="position:absolute;margin-left:0;margin-top:0;width:591.85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0F0709">
      <w:rPr>
        <w:noProof/>
        <w:color w:val="000000"/>
      </w:rPr>
      <mc:AlternateContent>
        <mc:Choice Requires="wps">
          <w:drawing>
            <wp:anchor distT="0" distB="0" distL="0" distR="0" simplePos="0" relativeHeight="251658240" behindDoc="1" locked="0" layoutInCell="1" hidden="0" allowOverlap="1" wp14:anchorId="796DADCA" wp14:editId="7FB12660">
              <wp:simplePos x="0" y="0"/>
              <wp:positionH relativeFrom="margin">
                <wp:align>center</wp:align>
              </wp:positionH>
              <wp:positionV relativeFrom="margin">
                <wp:align>center</wp:align>
              </wp:positionV>
              <wp:extent cx="22530235" cy="22530235"/>
              <wp:effectExtent l="0" t="0" r="0" b="0"/>
              <wp:wrapNone/>
              <wp:docPr id="59" name="Rectángulo 59"/>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3EA4C763" w14:textId="77777777" w:rsidR="00256634" w:rsidRDefault="000F0709">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796DADCA" id="Rectángulo 59" o:spid="_x0000_s1026" style="position:absolute;margin-left:0;margin-top:0;width:1774.05pt;height:1774.05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" filled="f" stroked="f">
              <v:textbox inset="2.53958mm,2.53958mm,2.53958mm,2.53958mm">
                <w:txbxContent>
                  <w:p w14:paraId="3EA4C763" w14:textId="77777777" w:rsidR="00256634" w:rsidRDefault="000F0709">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A82C4" w14:textId="3190AF7C" w:rsidR="00256634" w:rsidRDefault="006B794F">
    <w:pPr>
      <w:pBdr>
        <w:top w:val="nil"/>
        <w:left w:val="nil"/>
        <w:bottom w:val="nil"/>
        <w:right w:val="nil"/>
        <w:between w:val="nil"/>
      </w:pBdr>
      <w:tabs>
        <w:tab w:val="center" w:pos="4419"/>
        <w:tab w:val="right" w:pos="8838"/>
      </w:tabs>
    </w:pPr>
    <w:r>
      <w:rPr>
        <w:noProof/>
      </w:rPr>
      <w:pict w14:anchorId="4B1CF9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9349548" o:spid="_x0000_s1027" type="#_x0000_t136" style="position:absolute;margin-left:0;margin-top:0;width:591.85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sdt>
    <w:sdtPr>
      <w:id w:val="697516198"/>
      <w:docPartObj>
        <w:docPartGallery w:val="Page Numbers (Margins)"/>
        <w:docPartUnique/>
      </w:docPartObj>
    </w:sdtPr>
    <w:sdtEndPr/>
    <w:sdtContent>
      <w:p w14:paraId="38F8C72C" w14:textId="77777777" w:rsidR="00256634" w:rsidRDefault="002667C7">
        <w:pPr>
          <w:pBdr>
            <w:top w:val="nil"/>
            <w:left w:val="nil"/>
            <w:bottom w:val="nil"/>
            <w:right w:val="nil"/>
            <w:between w:val="nil"/>
          </w:pBdr>
          <w:tabs>
            <w:tab w:val="center" w:pos="4419"/>
            <w:tab w:val="right" w:pos="8838"/>
          </w:tabs>
        </w:pPr>
        <w:r>
          <w:rPr>
            <w:noProof/>
          </w:rPr>
          <mc:AlternateContent>
            <mc:Choice Requires="wps">
              <w:drawing>
                <wp:anchor distT="0" distB="0" distL="114300" distR="114300" simplePos="0" relativeHeight="251660288" behindDoc="0" locked="0" layoutInCell="0" allowOverlap="1" wp14:anchorId="5F9FC6EB" wp14:editId="24985343">
                  <wp:simplePos x="0" y="0"/>
                  <wp:positionH relativeFrom="rightMargin">
                    <wp:align>right</wp:align>
                  </wp:positionH>
                  <wp:positionV relativeFrom="margin">
                    <wp:align>center</wp:align>
                  </wp:positionV>
                  <wp:extent cx="727710" cy="329565"/>
                  <wp:effectExtent l="0" t="0" r="0" b="381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9F1804" w14:textId="77777777" w:rsidR="002667C7" w:rsidRDefault="002667C7">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F9FC6EB" id="Rectángulo 1"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" o:allowincell="f" stroked="f">
                  <v:textbox>
                    <w:txbxContent>
                      <w:p w14:paraId="0F9F1804" w14:textId="77777777" w:rsidR="002667C7" w:rsidRDefault="002667C7">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p>
    </w:sdtContent>
  </w:sdt>
  <w:p w14:paraId="65A77D73" w14:textId="77777777" w:rsidR="00256634" w:rsidRDefault="00256634">
    <w:pPr>
      <w:pBdr>
        <w:top w:val="nil"/>
        <w:left w:val="nil"/>
        <w:bottom w:val="nil"/>
        <w:right w:val="nil"/>
        <w:between w:val="nil"/>
      </w:pBdr>
      <w:tabs>
        <w:tab w:val="center" w:pos="4419"/>
        <w:tab w:val="right" w:pos="8838"/>
      </w:tabs>
    </w:pPr>
  </w:p>
  <w:p w14:paraId="65849EAF" w14:textId="77777777" w:rsidR="00256634" w:rsidRDefault="000F0709">
    <w:pPr>
      <w:pBdr>
        <w:top w:val="nil"/>
        <w:left w:val="nil"/>
        <w:bottom w:val="nil"/>
        <w:right w:val="nil"/>
        <w:between w:val="nil"/>
      </w:pBdr>
      <w:tabs>
        <w:tab w:val="center" w:pos="4419"/>
        <w:tab w:val="right" w:pos="8838"/>
      </w:tabs>
      <w:rPr>
        <w:color w:val="000000"/>
      </w:rPr>
    </w:pPr>
    <w:r>
      <w:rPr>
        <w:noProof/>
        <w:color w:val="000000"/>
      </w:rPr>
      <w:drawing>
        <wp:inline distT="0" distB="0" distL="0" distR="0" wp14:anchorId="4A1A24CA" wp14:editId="68023338">
          <wp:extent cx="995527" cy="1154534"/>
          <wp:effectExtent l="0" t="0" r="0" b="0"/>
          <wp:docPr id="6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B07C9" w14:textId="0DAFCFBF" w:rsidR="00256634" w:rsidRDefault="006B794F">
    <w:pPr>
      <w:pBdr>
        <w:top w:val="nil"/>
        <w:left w:val="nil"/>
        <w:bottom w:val="nil"/>
        <w:right w:val="nil"/>
        <w:between w:val="nil"/>
      </w:pBdr>
      <w:tabs>
        <w:tab w:val="center" w:pos="4419"/>
        <w:tab w:val="right" w:pos="8838"/>
      </w:tabs>
      <w:rPr>
        <w:color w:val="000000"/>
      </w:rPr>
    </w:pPr>
    <w:r>
      <w:rPr>
        <w:noProof/>
      </w:rPr>
      <w:pict w14:anchorId="49FD18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9349546" o:spid="_x0000_s1025" type="#_x0000_t136" style="position:absolute;margin-left:0;margin-top:0;width:591.85pt;height:91.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C02B7"/>
    <w:multiLevelType w:val="hybridMultilevel"/>
    <w:tmpl w:val="BE0A282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4D34553"/>
    <w:multiLevelType w:val="multilevel"/>
    <w:tmpl w:val="A71205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FEB6791"/>
    <w:multiLevelType w:val="hybridMultilevel"/>
    <w:tmpl w:val="A68A7BC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9190F4E"/>
    <w:multiLevelType w:val="hybridMultilevel"/>
    <w:tmpl w:val="9CA29608"/>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48114A3"/>
    <w:multiLevelType w:val="multilevel"/>
    <w:tmpl w:val="E38AC5B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D6B268B"/>
    <w:multiLevelType w:val="hybridMultilevel"/>
    <w:tmpl w:val="FFF8942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6AC152F"/>
    <w:multiLevelType w:val="multilevel"/>
    <w:tmpl w:val="C3F2BB6A"/>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6DC40B9"/>
    <w:multiLevelType w:val="multilevel"/>
    <w:tmpl w:val="84FC55CC"/>
    <w:lvl w:ilvl="0">
      <w:start w:val="1"/>
      <w:numFmt w:val="decimal"/>
      <w:lvlText w:val="%1."/>
      <w:lvlJc w:val="left"/>
      <w:pPr>
        <w:ind w:left="480" w:hanging="48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8" w15:restartNumberingAfterBreak="0">
    <w:nsid w:val="71EC413F"/>
    <w:multiLevelType w:val="multilevel"/>
    <w:tmpl w:val="C2780A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05436923">
    <w:abstractNumId w:val="1"/>
  </w:num>
  <w:num w:numId="2" w16cid:durableId="1663049106">
    <w:abstractNumId w:val="7"/>
  </w:num>
  <w:num w:numId="3" w16cid:durableId="1059668163">
    <w:abstractNumId w:val="8"/>
  </w:num>
  <w:num w:numId="4" w16cid:durableId="1776512184">
    <w:abstractNumId w:val="6"/>
  </w:num>
  <w:num w:numId="5" w16cid:durableId="487598466">
    <w:abstractNumId w:val="4"/>
  </w:num>
  <w:num w:numId="6" w16cid:durableId="747069725">
    <w:abstractNumId w:val="2"/>
  </w:num>
  <w:num w:numId="7" w16cid:durableId="933052875">
    <w:abstractNumId w:val="3"/>
  </w:num>
  <w:num w:numId="8" w16cid:durableId="1444037594">
    <w:abstractNumId w:val="5"/>
  </w:num>
  <w:num w:numId="9" w16cid:durableId="1131827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634"/>
    <w:rsid w:val="000414CE"/>
    <w:rsid w:val="000660DA"/>
    <w:rsid w:val="0007505E"/>
    <w:rsid w:val="00091183"/>
    <w:rsid w:val="000A5483"/>
    <w:rsid w:val="000D5635"/>
    <w:rsid w:val="000E5E31"/>
    <w:rsid w:val="000F0709"/>
    <w:rsid w:val="00133BDC"/>
    <w:rsid w:val="00185E71"/>
    <w:rsid w:val="002147C0"/>
    <w:rsid w:val="002234D5"/>
    <w:rsid w:val="00256634"/>
    <w:rsid w:val="002667C7"/>
    <w:rsid w:val="00274769"/>
    <w:rsid w:val="002838D9"/>
    <w:rsid w:val="00361E65"/>
    <w:rsid w:val="003E33F4"/>
    <w:rsid w:val="003E3F27"/>
    <w:rsid w:val="004323D1"/>
    <w:rsid w:val="005D3192"/>
    <w:rsid w:val="00647460"/>
    <w:rsid w:val="00661E36"/>
    <w:rsid w:val="006B794F"/>
    <w:rsid w:val="00717B8D"/>
    <w:rsid w:val="007728E6"/>
    <w:rsid w:val="008A1281"/>
    <w:rsid w:val="008E064A"/>
    <w:rsid w:val="009149A7"/>
    <w:rsid w:val="00934640"/>
    <w:rsid w:val="00952C84"/>
    <w:rsid w:val="00962E03"/>
    <w:rsid w:val="009C0B6C"/>
    <w:rsid w:val="009C729B"/>
    <w:rsid w:val="00B37ECD"/>
    <w:rsid w:val="00B43CB7"/>
    <w:rsid w:val="00B46FE6"/>
    <w:rsid w:val="00B850CD"/>
    <w:rsid w:val="00B87941"/>
    <w:rsid w:val="00BD45A3"/>
    <w:rsid w:val="00D33B3B"/>
    <w:rsid w:val="00DC7BDC"/>
    <w:rsid w:val="00DF538B"/>
    <w:rsid w:val="00E10E7E"/>
    <w:rsid w:val="00E836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0F616"/>
  <w15:docId w15:val="{558079B3-899F-4278-8263-BCC6F10A5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4"/>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4"/>
    <w:tblPr>
      <w:tblStyleRowBandSize w:val="1"/>
      <w:tblStyleColBandSize w:val="1"/>
      <w:tblCellMar>
        <w:left w:w="115" w:type="dxa"/>
        <w:right w:w="115" w:type="dxa"/>
      </w:tblCellMar>
    </w:tblPr>
  </w:style>
  <w:style w:type="paragraph" w:styleId="Sinespaciado">
    <w:name w:val="No Spacing"/>
    <w:uiPriority w:val="1"/>
    <w:qFormat/>
    <w:rsid w:val="00CA1ACF"/>
  </w:style>
  <w:style w:type="table" w:styleId="Tabladelista4">
    <w:name w:val="List Table 4"/>
    <w:basedOn w:val="Tablanormal"/>
    <w:uiPriority w:val="49"/>
    <w:rsid w:val="00CA1A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
    <w:name w:val="Grid Table 4"/>
    <w:basedOn w:val="Tablanormal"/>
    <w:uiPriority w:val="49"/>
    <w:rsid w:val="00CA1A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89131C"/>
    <w:pPr>
      <w:ind w:left="720"/>
      <w:contextualSpacing/>
    </w:pPr>
  </w:style>
  <w:style w:type="table" w:customStyle="1" w:styleId="a3">
    <w:basedOn w:val="TableNormal4"/>
    <w:rPr>
      <w:color w:val="7B7B7B"/>
    </w:rPr>
    <w:tblPr>
      <w:tblStyleRowBandSize w:val="1"/>
      <w:tblStyleColBandSize w:val="1"/>
      <w:tblCellMar>
        <w:left w:w="115" w:type="dxa"/>
        <w:right w:w="115" w:type="dxa"/>
      </w:tblCellMar>
    </w:tblPr>
    <w:tcPr>
      <w:shd w:val="clear" w:color="auto" w:fill="DEEBF6"/>
    </w:tcPr>
  </w:style>
  <w:style w:type="table" w:customStyle="1" w:styleId="a4">
    <w:basedOn w:val="TableNormal4"/>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5">
    <w:basedOn w:val="TableNormal4"/>
    <w:rPr>
      <w:color w:val="7B7B7B"/>
    </w:rPr>
    <w:tblPr>
      <w:tblStyleRowBandSize w:val="1"/>
      <w:tblStyleColBandSize w:val="1"/>
      <w:tblCellMar>
        <w:left w:w="115" w:type="dxa"/>
        <w:right w:w="115" w:type="dxa"/>
      </w:tblCellMar>
    </w:tblPr>
    <w:tcPr>
      <w:shd w:val="clear" w:color="auto" w:fill="DEEBF6"/>
    </w:tcPr>
  </w:style>
  <w:style w:type="table" w:styleId="Tablaconcuadrcula">
    <w:name w:val="Table Grid"/>
    <w:basedOn w:val="Tablanormal"/>
    <w:uiPriority w:val="39"/>
    <w:rsid w:val="00E509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509F9"/>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E509F9"/>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E509F9"/>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E509F9"/>
    <w:rPr>
      <w:vertAlign w:val="superscript"/>
    </w:rPr>
  </w:style>
  <w:style w:type="table" w:customStyle="1" w:styleId="Tabladecuadrcula4-nfasis31">
    <w:name w:val="Tabla de cuadrícula 4 - Énfasis 31"/>
    <w:basedOn w:val="Tablanormal"/>
    <w:next w:val="Tablaconcuadrcula4-nfasis3"/>
    <w:uiPriority w:val="49"/>
    <w:rsid w:val="00E509F9"/>
    <w:rPr>
      <w:rFonts w:asciiTheme="minorHAnsi" w:eastAsiaTheme="minorHAnsi" w:hAnsiTheme="minorHAnsi" w:cstheme="minorBid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509F9"/>
    <w:pPr>
      <w:jc w:val="both"/>
    </w:pPr>
    <w:rPr>
      <w:vertAlign w:val="superscript"/>
    </w:rPr>
  </w:style>
  <w:style w:type="character" w:styleId="Hipervnculo">
    <w:name w:val="Hyperlink"/>
    <w:basedOn w:val="Fuentedeprrafopredeter"/>
    <w:uiPriority w:val="99"/>
    <w:unhideWhenUsed/>
    <w:rsid w:val="00E509F9"/>
    <w:rPr>
      <w:color w:val="0000FF" w:themeColor="hyperlink"/>
      <w:u w:val="single"/>
    </w:rPr>
  </w:style>
  <w:style w:type="table" w:styleId="Tablaconcuadrcula4-nfasis3">
    <w:name w:val="Grid Table 4 Accent 3"/>
    <w:basedOn w:val="Tablanormal"/>
    <w:uiPriority w:val="49"/>
    <w:rsid w:val="00E509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a6">
    <w:basedOn w:val="TableNormal3"/>
    <w:rPr>
      <w:color w:val="7B7B7B"/>
    </w:rPr>
    <w:tblPr>
      <w:tblStyleRowBandSize w:val="1"/>
      <w:tblStyleColBandSize w:val="1"/>
      <w:tblCellMar>
        <w:left w:w="115" w:type="dxa"/>
        <w:right w:w="115" w:type="dxa"/>
      </w:tblCellMar>
    </w:tblPr>
    <w:tcPr>
      <w:shd w:val="clear" w:color="auto" w:fill="DEEBF6"/>
    </w:tcPr>
  </w:style>
  <w:style w:type="table" w:customStyle="1" w:styleId="a7">
    <w:basedOn w:val="TableNormal3"/>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8">
    <w:basedOn w:val="TableNormal3"/>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9">
    <w:basedOn w:val="TableNormal3"/>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rPr>
      <w:color w:val="7B7B7B"/>
    </w:rPr>
    <w:tblPr>
      <w:tblStyleRowBandSize w:val="1"/>
      <w:tblStyleColBandSize w:val="1"/>
      <w:tblCellMar>
        <w:left w:w="115" w:type="dxa"/>
        <w:right w:w="115" w:type="dxa"/>
      </w:tblCellMar>
    </w:tblPr>
    <w:tcPr>
      <w:shd w:val="clear" w:color="auto" w:fill="DEEBF6"/>
    </w:tcPr>
  </w:style>
  <w:style w:type="paragraph" w:styleId="NormalWeb">
    <w:name w:val="Normal (Web)"/>
    <w:basedOn w:val="Normal"/>
    <w:uiPriority w:val="99"/>
    <w:unhideWhenUsed/>
    <w:rsid w:val="00E85853"/>
    <w:pPr>
      <w:spacing w:before="100" w:beforeAutospacing="1" w:after="100" w:afterAutospacing="1"/>
    </w:pPr>
    <w:rPr>
      <w:sz w:val="24"/>
      <w:szCs w:val="24"/>
    </w:rPr>
  </w:style>
  <w:style w:type="table" w:customStyle="1" w:styleId="ac">
    <w:basedOn w:val="TableNormal2"/>
    <w:rPr>
      <w:color w:val="7B7B7B"/>
    </w:rPr>
    <w:tblPr>
      <w:tblStyleRowBandSize w:val="1"/>
      <w:tblStyleColBandSize w:val="1"/>
      <w:tblCellMar>
        <w:left w:w="115" w:type="dxa"/>
        <w:right w:w="115" w:type="dxa"/>
      </w:tblCellMar>
    </w:tblPr>
    <w:tcPr>
      <w:shd w:val="clear" w:color="auto" w:fill="DEEBF6"/>
    </w:tcPr>
  </w:style>
  <w:style w:type="table" w:customStyle="1" w:styleId="ad">
    <w:basedOn w:val="TableNormal2"/>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e">
    <w:basedOn w:val="TableNormal2"/>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
    <w:basedOn w:val="TableNormal2"/>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0">
    <w:basedOn w:val="TableNormal2"/>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paragraph" w:styleId="Piedepgina">
    <w:name w:val="footer"/>
    <w:basedOn w:val="Normal"/>
    <w:link w:val="PiedepginaCar"/>
    <w:uiPriority w:val="99"/>
    <w:unhideWhenUsed/>
    <w:rsid w:val="00982A09"/>
    <w:pPr>
      <w:tabs>
        <w:tab w:val="center" w:pos="4419"/>
        <w:tab w:val="right" w:pos="8838"/>
      </w:tabs>
    </w:pPr>
  </w:style>
  <w:style w:type="character" w:customStyle="1" w:styleId="PiedepginaCar">
    <w:name w:val="Pie de página Car"/>
    <w:basedOn w:val="Fuentedeprrafopredeter"/>
    <w:link w:val="Piedepgina"/>
    <w:uiPriority w:val="99"/>
    <w:rsid w:val="00982A09"/>
  </w:style>
  <w:style w:type="paragraph" w:styleId="Encabezado">
    <w:name w:val="header"/>
    <w:basedOn w:val="Normal"/>
    <w:link w:val="EncabezadoCar"/>
    <w:uiPriority w:val="99"/>
    <w:unhideWhenUsed/>
    <w:rsid w:val="00982A09"/>
    <w:pPr>
      <w:tabs>
        <w:tab w:val="center" w:pos="4419"/>
        <w:tab w:val="right" w:pos="8838"/>
      </w:tabs>
    </w:pPr>
  </w:style>
  <w:style w:type="character" w:customStyle="1" w:styleId="EncabezadoCar">
    <w:name w:val="Encabezado Car"/>
    <w:basedOn w:val="Fuentedeprrafopredeter"/>
    <w:link w:val="Encabezado"/>
    <w:uiPriority w:val="99"/>
    <w:rsid w:val="00982A09"/>
  </w:style>
  <w:style w:type="character" w:styleId="Mencinsinresolver">
    <w:name w:val="Unresolved Mention"/>
    <w:basedOn w:val="Fuentedeprrafopredeter"/>
    <w:uiPriority w:val="99"/>
    <w:semiHidden/>
    <w:unhideWhenUsed/>
    <w:rsid w:val="000D4DFF"/>
    <w:rPr>
      <w:color w:val="605E5C"/>
      <w:shd w:val="clear" w:color="auto" w:fill="E1DFDD"/>
    </w:rPr>
  </w:style>
  <w:style w:type="table" w:customStyle="1" w:styleId="af1">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2">
    <w:basedOn w:val="TableNormal1"/>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3">
    <w:basedOn w:val="TableNormal1"/>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4">
    <w:basedOn w:val="TableNormal1"/>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5">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6">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7">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8">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9">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a">
    <w:basedOn w:val="TableNormal0"/>
    <w:tblPr>
      <w:tblStyleRowBandSize w:val="1"/>
      <w:tblStyleColBandSize w:val="1"/>
      <w:tblCellMar>
        <w:top w:w="100" w:type="dxa"/>
        <w:left w:w="100" w:type="dxa"/>
        <w:bottom w:w="100" w:type="dxa"/>
        <w:right w:w="100" w:type="dxa"/>
      </w:tblCellMar>
    </w:tblPr>
  </w:style>
  <w:style w:type="table" w:customStyle="1" w:styleId="afb">
    <w:basedOn w:val="TableNormal0"/>
    <w:tblPr>
      <w:tblStyleRowBandSize w:val="1"/>
      <w:tblStyleColBandSize w:val="1"/>
      <w:tblCellMar>
        <w:left w:w="115" w:type="dxa"/>
        <w:right w:w="115" w:type="dxa"/>
      </w:tblCellMar>
    </w:tblPr>
  </w:style>
  <w:style w:type="table" w:styleId="Tabladecuadrcula3">
    <w:name w:val="Grid Table 3"/>
    <w:basedOn w:val="Tablanormal"/>
    <w:uiPriority w:val="48"/>
    <w:rsid w:val="009149A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0633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youtube.com/watch?v=kVBL6pzeB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instagram.com/p/CcUE3ktDOnj/"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facebook.com/noraruvalcabamx/videos/657593881997892"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te.gob.mx/IUSEapp/tesisjur.aspx?idtesis=XXXIV/2004&amp;tpoBusqueda=S&amp;sWord=XXXIV/2004" TargetMode="External"/><Relationship Id="rId1" Type="http://schemas.openxmlformats.org/officeDocument/2006/relationships/hyperlink" Target="https://www.te.gob.mx/IUSEapp/tesisjur.aspx?idtesis=XXXIV/2004&amp;tpoBusqueda=S&amp;sWord=XXXIV/200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BK8L9Cdr3ZSmwNl6j3IyTwI/WmA==">AMUW2mW3Xz9XIao83Owk1kTspmqSHn7kIwDLnsn1ve53Rz6XSZxK5oNekFLTur4oNwR/+sZLehKaay9nYuuVoPnOFazWU3tm43ivv7RfpYcoks4u763RD0u2FCXIGDNI7Bg3+npqBRrga2uH4ylGKy2zpdz6iextIHFAhIad7EzQK9iKusoQA3cEvh7XQYmvIt4KpyYNNV2m</go:docsCustomData>
</go:gDocsCustomXmlDataStorage>
</file>

<file path=customXml/itemProps1.xml><?xml version="1.0" encoding="utf-8"?>
<ds:datastoreItem xmlns:ds="http://schemas.openxmlformats.org/officeDocument/2006/customXml" ds:itemID="{DFA06F99-6321-48A5-B5A2-B93B3029F9A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5456</Words>
  <Characters>30009</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Juridico</dc:creator>
  <cp:lastModifiedBy>Secretario Gral</cp:lastModifiedBy>
  <cp:revision>2</cp:revision>
  <cp:lastPrinted>2022-05-12T18:15:00Z</cp:lastPrinted>
  <dcterms:created xsi:type="dcterms:W3CDTF">2022-05-13T18:11:00Z</dcterms:created>
  <dcterms:modified xsi:type="dcterms:W3CDTF">2022-05-13T18:11:00Z</dcterms:modified>
</cp:coreProperties>
</file>