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D3D9D" w14:textId="77777777" w:rsidR="004F0743" w:rsidRDefault="0034256B">
      <w:pPr>
        <w:ind w:left="3826" w:right="3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PROCEDIMIENTO ESPECIAL SANCIONADOR.</w:t>
      </w:r>
    </w:p>
    <w:p w14:paraId="4C818AFF" w14:textId="77777777" w:rsidR="004F0743" w:rsidRDefault="004F0743">
      <w:pPr>
        <w:pBdr>
          <w:top w:val="nil"/>
          <w:left w:val="nil"/>
          <w:bottom w:val="nil"/>
          <w:right w:val="nil"/>
          <w:between w:val="nil"/>
        </w:pBdr>
        <w:ind w:left="3826"/>
        <w:rPr>
          <w:rFonts w:ascii="Arial" w:eastAsia="Arial" w:hAnsi="Arial" w:cs="Arial"/>
          <w:color w:val="000000"/>
          <w:sz w:val="14"/>
          <w:szCs w:val="14"/>
        </w:rPr>
      </w:pPr>
    </w:p>
    <w:p w14:paraId="20BE461C" w14:textId="77777777" w:rsidR="004F0743" w:rsidRDefault="0034256B">
      <w:pPr>
        <w:ind w:left="3826"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TEEA-PES-014/2022.</w:t>
      </w:r>
      <w:r>
        <w:rPr>
          <w:rFonts w:ascii="Arial" w:eastAsia="Arial" w:hAnsi="Arial" w:cs="Arial"/>
          <w:b/>
          <w:sz w:val="24"/>
          <w:szCs w:val="24"/>
        </w:rPr>
        <w:t xml:space="preserve"> </w:t>
      </w:r>
    </w:p>
    <w:p w14:paraId="3E94621C" w14:textId="77777777" w:rsidR="004F0743" w:rsidRDefault="004F0743">
      <w:pPr>
        <w:ind w:left="3826" w:right="36"/>
        <w:jc w:val="both"/>
        <w:rPr>
          <w:rFonts w:ascii="Arial" w:eastAsia="Arial" w:hAnsi="Arial" w:cs="Arial"/>
          <w:b/>
          <w:sz w:val="14"/>
          <w:szCs w:val="14"/>
        </w:rPr>
      </w:pPr>
    </w:p>
    <w:p w14:paraId="5D84A004" w14:textId="77777777" w:rsidR="004F0743" w:rsidRDefault="0034256B">
      <w:pPr>
        <w:ind w:left="3826"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PARTIDO ACCIÓN NACIONAL.</w:t>
      </w:r>
    </w:p>
    <w:p w14:paraId="43FB9D1C" w14:textId="77777777" w:rsidR="004F0743" w:rsidRDefault="004F0743">
      <w:pPr>
        <w:pBdr>
          <w:top w:val="nil"/>
          <w:left w:val="nil"/>
          <w:bottom w:val="nil"/>
          <w:right w:val="nil"/>
          <w:between w:val="nil"/>
        </w:pBdr>
        <w:ind w:left="3826"/>
        <w:rPr>
          <w:rFonts w:ascii="Arial" w:eastAsia="Arial" w:hAnsi="Arial" w:cs="Arial"/>
          <w:color w:val="000000"/>
          <w:sz w:val="14"/>
          <w:szCs w:val="14"/>
        </w:rPr>
      </w:pPr>
    </w:p>
    <w:p w14:paraId="26C704FA" w14:textId="77777777" w:rsidR="004F0743" w:rsidRDefault="0034256B">
      <w:pPr>
        <w:ind w:left="3826" w:right="36"/>
        <w:jc w:val="both"/>
        <w:rPr>
          <w:rFonts w:ascii="Arial" w:eastAsia="Arial" w:hAnsi="Arial" w:cs="Arial"/>
          <w:sz w:val="24"/>
          <w:szCs w:val="24"/>
        </w:rPr>
      </w:pPr>
      <w:r>
        <w:rPr>
          <w:rFonts w:ascii="Arial" w:eastAsia="Arial" w:hAnsi="Arial" w:cs="Arial"/>
          <w:b/>
          <w:sz w:val="24"/>
          <w:szCs w:val="24"/>
        </w:rPr>
        <w:t>DENUNCIADA:</w:t>
      </w:r>
      <w:r>
        <w:rPr>
          <w:rFonts w:ascii="Arial" w:eastAsia="Arial" w:hAnsi="Arial" w:cs="Arial"/>
          <w:sz w:val="24"/>
          <w:szCs w:val="24"/>
        </w:rPr>
        <w:t xml:space="preserve"> NORA RUVALCABA GÁMEZ, CANDIDATA DE MORENA A LA GUBERNATURA DEL ESTADO Y OTROS. </w:t>
      </w:r>
    </w:p>
    <w:p w14:paraId="3C16C170" w14:textId="77777777" w:rsidR="004F0743" w:rsidRDefault="004F0743">
      <w:pPr>
        <w:pBdr>
          <w:top w:val="nil"/>
          <w:left w:val="nil"/>
          <w:bottom w:val="nil"/>
          <w:right w:val="nil"/>
          <w:between w:val="nil"/>
        </w:pBdr>
        <w:ind w:left="3826"/>
        <w:rPr>
          <w:rFonts w:ascii="Arial" w:eastAsia="Arial" w:hAnsi="Arial" w:cs="Arial"/>
          <w:color w:val="000000"/>
          <w:sz w:val="14"/>
          <w:szCs w:val="14"/>
        </w:rPr>
      </w:pPr>
    </w:p>
    <w:p w14:paraId="5007BEA0" w14:textId="77777777" w:rsidR="004F0743" w:rsidRDefault="0034256B">
      <w:pPr>
        <w:ind w:left="3826"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5428F144" w14:textId="77777777" w:rsidR="004F0743" w:rsidRDefault="004F0743">
      <w:pPr>
        <w:pBdr>
          <w:top w:val="nil"/>
          <w:left w:val="nil"/>
          <w:bottom w:val="nil"/>
          <w:right w:val="nil"/>
          <w:between w:val="nil"/>
        </w:pBdr>
        <w:ind w:left="3826"/>
        <w:rPr>
          <w:rFonts w:ascii="Arial" w:eastAsia="Arial" w:hAnsi="Arial" w:cs="Arial"/>
          <w:color w:val="000000"/>
          <w:sz w:val="14"/>
          <w:szCs w:val="14"/>
        </w:rPr>
      </w:pPr>
    </w:p>
    <w:p w14:paraId="41BCA22F" w14:textId="77777777" w:rsidR="004F0743" w:rsidRDefault="0034256B">
      <w:pPr>
        <w:ind w:left="3826"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7CA6AECD" w14:textId="77777777" w:rsidR="004F0743" w:rsidRDefault="004F0743">
      <w:pPr>
        <w:ind w:left="3826" w:right="36"/>
        <w:jc w:val="both"/>
        <w:rPr>
          <w:rFonts w:ascii="Arial" w:eastAsia="Arial" w:hAnsi="Arial" w:cs="Arial"/>
          <w:sz w:val="14"/>
          <w:szCs w:val="14"/>
        </w:rPr>
      </w:pPr>
    </w:p>
    <w:p w14:paraId="218CE47D" w14:textId="77777777" w:rsidR="004F0743" w:rsidRDefault="0034256B">
      <w:pPr>
        <w:ind w:left="3826"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3526462F" w14:textId="77777777" w:rsidR="004F0743" w:rsidRDefault="004F0743">
      <w:pPr>
        <w:pBdr>
          <w:top w:val="nil"/>
          <w:left w:val="nil"/>
          <w:bottom w:val="nil"/>
          <w:right w:val="nil"/>
          <w:between w:val="nil"/>
        </w:pBdr>
        <w:rPr>
          <w:color w:val="000000"/>
        </w:rPr>
      </w:pPr>
    </w:p>
    <w:p w14:paraId="185F4A73" w14:textId="1AF2F1EA" w:rsidR="004F0743" w:rsidRDefault="0034256B">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w:t>
      </w:r>
      <w:r w:rsidRPr="007D250C">
        <w:rPr>
          <w:rFonts w:ascii="Arial" w:eastAsia="Arial" w:hAnsi="Arial" w:cs="Arial"/>
          <w:sz w:val="24"/>
          <w:szCs w:val="24"/>
        </w:rPr>
        <w:t xml:space="preserve">Aguascalientes, </w:t>
      </w:r>
      <w:r w:rsidRPr="007D250C">
        <w:rPr>
          <w:rFonts w:ascii="Arial" w:eastAsia="Arial" w:hAnsi="Arial" w:cs="Arial"/>
          <w:color w:val="000000"/>
          <w:sz w:val="24"/>
          <w:szCs w:val="24"/>
        </w:rPr>
        <w:t xml:space="preserve">a </w:t>
      </w:r>
      <w:r w:rsidRPr="007D250C">
        <w:rPr>
          <w:rFonts w:ascii="Arial" w:eastAsia="Arial" w:hAnsi="Arial" w:cs="Arial"/>
          <w:sz w:val="24"/>
          <w:szCs w:val="24"/>
        </w:rPr>
        <w:t>1</w:t>
      </w:r>
      <w:r w:rsidR="00925E2D" w:rsidRPr="007D250C">
        <w:rPr>
          <w:rFonts w:ascii="Arial" w:eastAsia="Arial" w:hAnsi="Arial" w:cs="Arial"/>
          <w:sz w:val="24"/>
          <w:szCs w:val="24"/>
        </w:rPr>
        <w:t>2</w:t>
      </w:r>
      <w:r w:rsidRPr="007D250C">
        <w:rPr>
          <w:rFonts w:ascii="Arial" w:eastAsia="Arial" w:hAnsi="Arial" w:cs="Arial"/>
          <w:color w:val="000000"/>
          <w:sz w:val="24"/>
          <w:szCs w:val="24"/>
        </w:rPr>
        <w:t xml:space="preserve"> </w:t>
      </w:r>
      <w:r>
        <w:rPr>
          <w:rFonts w:ascii="Arial" w:eastAsia="Arial" w:hAnsi="Arial" w:cs="Arial"/>
          <w:color w:val="000000"/>
          <w:sz w:val="24"/>
          <w:szCs w:val="24"/>
        </w:rPr>
        <w:t>de abril de 2022</w:t>
      </w:r>
      <w:r>
        <w:rPr>
          <w:rFonts w:ascii="Arial" w:eastAsia="Arial" w:hAnsi="Arial" w:cs="Arial"/>
          <w:sz w:val="24"/>
          <w:szCs w:val="24"/>
        </w:rPr>
        <w:t>.</w:t>
      </w:r>
    </w:p>
    <w:p w14:paraId="1AB7DB4C" w14:textId="77777777" w:rsidR="004F0743" w:rsidRDefault="004F0743">
      <w:pPr>
        <w:pBdr>
          <w:top w:val="nil"/>
          <w:left w:val="nil"/>
          <w:bottom w:val="nil"/>
          <w:right w:val="nil"/>
          <w:between w:val="nil"/>
        </w:pBdr>
        <w:rPr>
          <w:color w:val="000000"/>
          <w:sz w:val="18"/>
          <w:szCs w:val="18"/>
        </w:rPr>
      </w:pPr>
    </w:p>
    <w:p w14:paraId="1A64AAF5" w14:textId="77777777" w:rsidR="004F0743" w:rsidRDefault="0034256B">
      <w:pPr>
        <w:spacing w:before="240" w:after="240" w:line="360" w:lineRule="auto"/>
        <w:jc w:val="both"/>
        <w:rPr>
          <w:rFonts w:ascii="Arial" w:eastAsia="Arial" w:hAnsi="Arial" w:cs="Arial"/>
          <w:sz w:val="24"/>
          <w:szCs w:val="24"/>
        </w:rPr>
      </w:pPr>
      <w:bookmarkStart w:id="1" w:name="_heading=h.30j0zll" w:colFirst="0" w:colLast="0"/>
      <w:bookmarkEnd w:id="1"/>
      <w:r>
        <w:rPr>
          <w:rFonts w:ascii="Arial" w:eastAsia="Arial" w:hAnsi="Arial" w:cs="Arial"/>
          <w:b/>
          <w:sz w:val="24"/>
          <w:szCs w:val="24"/>
        </w:rPr>
        <w:t xml:space="preserve">Sentencia </w:t>
      </w:r>
      <w:r>
        <w:rPr>
          <w:rFonts w:ascii="Arial" w:eastAsia="Arial" w:hAnsi="Arial" w:cs="Arial"/>
          <w:sz w:val="24"/>
          <w:szCs w:val="24"/>
        </w:rPr>
        <w:t>del Tribunal Electoral</w:t>
      </w:r>
      <w:r>
        <w:rPr>
          <w:rFonts w:ascii="Arial" w:eastAsia="Arial" w:hAnsi="Arial" w:cs="Arial"/>
          <w:b/>
          <w:sz w:val="24"/>
          <w:szCs w:val="24"/>
        </w:rPr>
        <w:t xml:space="preserve"> </w:t>
      </w:r>
      <w:r>
        <w:rPr>
          <w:rFonts w:ascii="Arial" w:eastAsia="Arial" w:hAnsi="Arial" w:cs="Arial"/>
          <w:sz w:val="24"/>
          <w:szCs w:val="24"/>
        </w:rPr>
        <w:t>que declara</w:t>
      </w:r>
      <w:r>
        <w:rPr>
          <w:rFonts w:ascii="Arial" w:eastAsia="Arial" w:hAnsi="Arial" w:cs="Arial"/>
          <w:b/>
          <w:sz w:val="24"/>
          <w:szCs w:val="24"/>
        </w:rPr>
        <w:t xml:space="preserve"> </w:t>
      </w:r>
      <w:r>
        <w:rPr>
          <w:rFonts w:ascii="Arial" w:eastAsia="Arial" w:hAnsi="Arial" w:cs="Arial"/>
          <w:sz w:val="24"/>
          <w:szCs w:val="24"/>
        </w:rPr>
        <w:t xml:space="preserve">la </w:t>
      </w:r>
      <w:r>
        <w:rPr>
          <w:rFonts w:ascii="Arial" w:eastAsia="Arial" w:hAnsi="Arial" w:cs="Arial"/>
          <w:b/>
          <w:sz w:val="24"/>
          <w:szCs w:val="24"/>
        </w:rPr>
        <w:t>inexistencia</w:t>
      </w:r>
      <w:r>
        <w:rPr>
          <w:rFonts w:ascii="Arial" w:eastAsia="Arial" w:hAnsi="Arial" w:cs="Arial"/>
          <w:sz w:val="24"/>
          <w:szCs w:val="24"/>
        </w:rPr>
        <w:t xml:space="preserve"> de la infracción de </w:t>
      </w:r>
      <w:r>
        <w:rPr>
          <w:rFonts w:ascii="Arial" w:eastAsia="Arial" w:hAnsi="Arial" w:cs="Arial"/>
          <w:b/>
          <w:sz w:val="24"/>
          <w:szCs w:val="24"/>
        </w:rPr>
        <w:t xml:space="preserve">actos anticipados de campaña </w:t>
      </w:r>
      <w:r>
        <w:rPr>
          <w:rFonts w:ascii="Arial" w:eastAsia="Arial" w:hAnsi="Arial" w:cs="Arial"/>
          <w:sz w:val="24"/>
          <w:szCs w:val="24"/>
        </w:rPr>
        <w:t xml:space="preserve">atribuida a: </w:t>
      </w:r>
      <w:r>
        <w:rPr>
          <w:rFonts w:ascii="Arial" w:eastAsia="Arial" w:hAnsi="Arial" w:cs="Arial"/>
          <w:b/>
          <w:i/>
          <w:sz w:val="24"/>
          <w:szCs w:val="24"/>
        </w:rPr>
        <w:t>a)</w:t>
      </w:r>
      <w:r>
        <w:rPr>
          <w:rFonts w:ascii="Arial" w:eastAsia="Arial" w:hAnsi="Arial" w:cs="Arial"/>
          <w:sz w:val="24"/>
          <w:szCs w:val="24"/>
        </w:rPr>
        <w:t xml:space="preserve"> Nora Ruvalcaba Gámez, candidata de MORENA a la gubernatura del estado, </w:t>
      </w:r>
      <w:r>
        <w:rPr>
          <w:rFonts w:ascii="Arial" w:eastAsia="Arial" w:hAnsi="Arial" w:cs="Arial"/>
          <w:b/>
          <w:i/>
          <w:sz w:val="24"/>
          <w:szCs w:val="24"/>
        </w:rPr>
        <w:t xml:space="preserve">b) </w:t>
      </w:r>
      <w:r>
        <w:rPr>
          <w:rFonts w:ascii="Arial" w:eastAsia="Arial" w:hAnsi="Arial" w:cs="Arial"/>
          <w:sz w:val="24"/>
          <w:szCs w:val="24"/>
        </w:rPr>
        <w:t xml:space="preserve">así como al propio instituto político; derivado de una publicación realizada a través de la </w:t>
      </w:r>
      <w:r>
        <w:rPr>
          <w:rFonts w:ascii="Arial" w:eastAsia="Arial" w:hAnsi="Arial" w:cs="Arial"/>
          <w:i/>
          <w:sz w:val="24"/>
          <w:szCs w:val="24"/>
        </w:rPr>
        <w:t>fan page</w:t>
      </w:r>
      <w:r>
        <w:rPr>
          <w:rFonts w:ascii="Arial" w:eastAsia="Arial" w:hAnsi="Arial" w:cs="Arial"/>
          <w:sz w:val="24"/>
          <w:szCs w:val="24"/>
        </w:rPr>
        <w:t xml:space="preserve"> de Facebook de la denunciada, que tuvo como propósito dar a conocer la aprobación de la solicitud de su registro como candidata de MORENA a la gubernatura de Aguascalientes para el actual proceso electoral. </w:t>
      </w:r>
    </w:p>
    <w:p w14:paraId="22FF4343" w14:textId="77777777" w:rsidR="004F0743" w:rsidRDefault="0034256B">
      <w:pPr>
        <w:spacing w:before="240" w:after="240" w:line="360" w:lineRule="auto"/>
        <w:jc w:val="both"/>
      </w:pPr>
      <w:r>
        <w:rPr>
          <w:rFonts w:ascii="Arial" w:eastAsia="Arial" w:hAnsi="Arial" w:cs="Arial"/>
          <w:sz w:val="24"/>
          <w:szCs w:val="24"/>
        </w:rPr>
        <w:t xml:space="preserve">Ello, porque </w:t>
      </w:r>
      <w:r>
        <w:rPr>
          <w:rFonts w:ascii="Arial" w:eastAsia="Arial" w:hAnsi="Arial" w:cs="Arial"/>
          <w:b/>
          <w:sz w:val="24"/>
          <w:szCs w:val="24"/>
        </w:rPr>
        <w:t>este órgano jurisdiccional considera</w:t>
      </w:r>
      <w:r>
        <w:rPr>
          <w:rFonts w:ascii="Arial" w:eastAsia="Arial" w:hAnsi="Arial" w:cs="Arial"/>
          <w:sz w:val="24"/>
          <w:szCs w:val="24"/>
        </w:rPr>
        <w:t xml:space="preserve"> que </w:t>
      </w:r>
      <w:r>
        <w:rPr>
          <w:rFonts w:ascii="Arial" w:eastAsia="Arial" w:hAnsi="Arial" w:cs="Arial"/>
          <w:b/>
          <w:sz w:val="24"/>
          <w:szCs w:val="24"/>
        </w:rPr>
        <w:t xml:space="preserve">no fue posible actualizar el elemento subjetivo </w:t>
      </w:r>
      <w:r>
        <w:rPr>
          <w:rFonts w:ascii="Arial" w:eastAsia="Arial" w:hAnsi="Arial" w:cs="Arial"/>
          <w:sz w:val="24"/>
          <w:szCs w:val="24"/>
        </w:rPr>
        <w:t xml:space="preserve">que exige que el mensaje contenga un llamado expreso al voto, ni se advierte que existan elementos que demuestren un </w:t>
      </w:r>
      <w:r>
        <w:rPr>
          <w:rFonts w:ascii="Arial" w:eastAsia="Arial" w:hAnsi="Arial" w:cs="Arial"/>
          <w:b/>
          <w:sz w:val="24"/>
          <w:szCs w:val="24"/>
        </w:rPr>
        <w:t>mensaje funcionalmente equivalente</w:t>
      </w:r>
      <w:r>
        <w:rPr>
          <w:rFonts w:ascii="Arial" w:eastAsia="Arial" w:hAnsi="Arial" w:cs="Arial"/>
          <w:sz w:val="24"/>
          <w:szCs w:val="24"/>
        </w:rPr>
        <w:t xml:space="preserve"> a un llamado al voto en favor de la parte denunciada, ya que la publicación cuestionada tiene una naturaleza genérica, pues aborda un tema de </w:t>
      </w:r>
      <w:r>
        <w:rPr>
          <w:rFonts w:ascii="Arial" w:eastAsia="Arial" w:hAnsi="Arial" w:cs="Arial"/>
          <w:b/>
          <w:sz w:val="24"/>
          <w:szCs w:val="24"/>
        </w:rPr>
        <w:t>interés público</w:t>
      </w:r>
      <w:r>
        <w:rPr>
          <w:rFonts w:ascii="Arial" w:eastAsia="Arial" w:hAnsi="Arial" w:cs="Arial"/>
          <w:sz w:val="24"/>
          <w:szCs w:val="24"/>
        </w:rPr>
        <w:t xml:space="preserve"> -como lo es su participación en el proceso electoral- que abona al debate político y, por tanto, se encuentra dentro de los parámetros permitidos durante la etapa de intercampañas en favor de las candidaturas. De ahí que, el hecho de no se acredite uno de los tres elementos que exige la infracción denunciada -personal, temporal y subjetivo-, implica que debe declararse la inexistencia.</w:t>
      </w:r>
    </w:p>
    <w:p w14:paraId="35C4150B" w14:textId="77777777" w:rsidR="004F0743" w:rsidRDefault="0034256B">
      <w:pPr>
        <w:spacing w:before="240" w:after="240" w:line="360" w:lineRule="auto"/>
        <w:jc w:val="both"/>
        <w:rPr>
          <w:rFonts w:ascii="Arial" w:eastAsia="Arial" w:hAnsi="Arial" w:cs="Arial"/>
          <w:b/>
          <w:color w:val="000000"/>
          <w:sz w:val="16"/>
          <w:szCs w:val="16"/>
        </w:rPr>
      </w:pPr>
      <w:bookmarkStart w:id="2" w:name="_heading=h.g687188sr8bc" w:colFirst="0" w:colLast="0"/>
      <w:bookmarkEnd w:id="2"/>
      <w:r>
        <w:rPr>
          <w:rFonts w:ascii="Arial" w:eastAsia="Arial" w:hAnsi="Arial" w:cs="Arial"/>
          <w:b/>
          <w:color w:val="000000"/>
          <w:sz w:val="16"/>
          <w:szCs w:val="16"/>
        </w:rPr>
        <w:t xml:space="preserve">                                                                                       Índice</w:t>
      </w:r>
    </w:p>
    <w:p w14:paraId="3E680736" w14:textId="77777777" w:rsidR="004F0743" w:rsidRDefault="0034256B">
      <w:pPr>
        <w:ind w:left="993" w:right="616"/>
        <w:rPr>
          <w:rFonts w:ascii="Arial" w:eastAsia="Arial" w:hAnsi="Arial" w:cs="Arial"/>
          <w:sz w:val="16"/>
          <w:szCs w:val="16"/>
        </w:rPr>
      </w:pPr>
      <w:r>
        <w:rPr>
          <w:rFonts w:ascii="Arial" w:eastAsia="Arial" w:hAnsi="Arial" w:cs="Arial"/>
          <w:sz w:val="16"/>
          <w:szCs w:val="16"/>
        </w:rPr>
        <w:t>Contexto del caso ……………………………………………………………………………………………...</w:t>
      </w:r>
      <w:r>
        <w:rPr>
          <w:rFonts w:ascii="Arial" w:eastAsia="Arial" w:hAnsi="Arial" w:cs="Arial"/>
          <w:sz w:val="4"/>
          <w:szCs w:val="4"/>
        </w:rPr>
        <w:t xml:space="preserve">. </w:t>
      </w:r>
      <w:r>
        <w:rPr>
          <w:rFonts w:ascii="Arial" w:eastAsia="Arial" w:hAnsi="Arial" w:cs="Arial"/>
          <w:sz w:val="16"/>
          <w:szCs w:val="16"/>
        </w:rPr>
        <w:t>2</w:t>
      </w:r>
    </w:p>
    <w:p w14:paraId="37E96FA5" w14:textId="77777777" w:rsidR="004F0743" w:rsidRDefault="0034256B">
      <w:pPr>
        <w:ind w:left="993" w:right="616"/>
        <w:rPr>
          <w:rFonts w:ascii="Arial" w:eastAsia="Arial" w:hAnsi="Arial" w:cs="Arial"/>
          <w:sz w:val="16"/>
          <w:szCs w:val="16"/>
        </w:rPr>
      </w:pPr>
      <w:r>
        <w:rPr>
          <w:rFonts w:ascii="Arial" w:eastAsia="Arial" w:hAnsi="Arial" w:cs="Arial"/>
          <w:sz w:val="16"/>
          <w:szCs w:val="16"/>
        </w:rPr>
        <w:t>Competencia ………………………………………………………………………………………………....…3</w:t>
      </w:r>
    </w:p>
    <w:p w14:paraId="116CDC4B" w14:textId="77777777" w:rsidR="004F0743" w:rsidRDefault="0034256B">
      <w:pPr>
        <w:ind w:left="993" w:right="616"/>
        <w:rPr>
          <w:rFonts w:ascii="Arial" w:eastAsia="Arial" w:hAnsi="Arial" w:cs="Arial"/>
          <w:sz w:val="16"/>
          <w:szCs w:val="16"/>
        </w:rPr>
      </w:pPr>
      <w:r>
        <w:rPr>
          <w:rFonts w:ascii="Arial" w:eastAsia="Arial" w:hAnsi="Arial" w:cs="Arial"/>
          <w:sz w:val="16"/>
          <w:szCs w:val="16"/>
        </w:rPr>
        <w:t>Personería …………………………………………………………………………………………………....…3</w:t>
      </w:r>
    </w:p>
    <w:p w14:paraId="184BEA70" w14:textId="77777777" w:rsidR="004F0743" w:rsidRDefault="0034256B">
      <w:pPr>
        <w:ind w:left="993" w:right="616"/>
        <w:rPr>
          <w:rFonts w:ascii="Arial" w:eastAsia="Arial" w:hAnsi="Arial" w:cs="Arial"/>
          <w:sz w:val="16"/>
          <w:szCs w:val="16"/>
        </w:rPr>
      </w:pPr>
      <w:r>
        <w:rPr>
          <w:rFonts w:ascii="Arial" w:eastAsia="Arial" w:hAnsi="Arial" w:cs="Arial"/>
          <w:sz w:val="16"/>
          <w:szCs w:val="16"/>
        </w:rPr>
        <w:t>Causales de improcedencia …………………………………………………………………………………..</w:t>
      </w:r>
      <w:r>
        <w:rPr>
          <w:rFonts w:ascii="Arial" w:eastAsia="Arial" w:hAnsi="Arial" w:cs="Arial"/>
          <w:sz w:val="6"/>
          <w:szCs w:val="6"/>
        </w:rPr>
        <w:t xml:space="preserve"> </w:t>
      </w:r>
      <w:r>
        <w:rPr>
          <w:rFonts w:ascii="Arial" w:eastAsia="Arial" w:hAnsi="Arial" w:cs="Arial"/>
          <w:sz w:val="16"/>
          <w:szCs w:val="16"/>
        </w:rPr>
        <w:t>3</w:t>
      </w:r>
    </w:p>
    <w:p w14:paraId="336D7F37" w14:textId="77777777" w:rsidR="004F0743" w:rsidRDefault="0034256B">
      <w:pPr>
        <w:ind w:left="993" w:right="616"/>
        <w:rPr>
          <w:rFonts w:ascii="Arial" w:eastAsia="Arial" w:hAnsi="Arial" w:cs="Arial"/>
          <w:sz w:val="16"/>
          <w:szCs w:val="16"/>
        </w:rPr>
      </w:pPr>
      <w:r>
        <w:rPr>
          <w:rFonts w:ascii="Arial" w:eastAsia="Arial" w:hAnsi="Arial" w:cs="Arial"/>
          <w:sz w:val="16"/>
          <w:szCs w:val="16"/>
        </w:rPr>
        <w:t>Estudio de fondo……………………………………………………………………………….....………….....4</w:t>
      </w:r>
    </w:p>
    <w:p w14:paraId="0AB6211F" w14:textId="0F2E79FA" w:rsidR="004F0743" w:rsidRDefault="0034256B">
      <w:pPr>
        <w:ind w:left="993" w:right="616"/>
        <w:rPr>
          <w:rFonts w:ascii="Arial" w:eastAsia="Arial" w:hAnsi="Arial" w:cs="Arial"/>
          <w:sz w:val="16"/>
          <w:szCs w:val="16"/>
        </w:rPr>
      </w:pPr>
      <w:r>
        <w:rPr>
          <w:rFonts w:ascii="Arial" w:eastAsia="Arial" w:hAnsi="Arial" w:cs="Arial"/>
          <w:sz w:val="16"/>
          <w:szCs w:val="16"/>
        </w:rPr>
        <w:t>Análisis de fondo …………………………………………………………………………………………….....</w:t>
      </w:r>
      <w:r w:rsidR="002B6BD6">
        <w:rPr>
          <w:rFonts w:ascii="Arial" w:eastAsia="Arial" w:hAnsi="Arial" w:cs="Arial"/>
          <w:sz w:val="16"/>
          <w:szCs w:val="16"/>
        </w:rPr>
        <w:t>6</w:t>
      </w:r>
    </w:p>
    <w:p w14:paraId="08216853" w14:textId="714E0D8B" w:rsidR="004F0743" w:rsidRDefault="0034256B">
      <w:pPr>
        <w:ind w:left="993" w:right="616"/>
        <w:rPr>
          <w:rFonts w:ascii="Arial" w:eastAsia="Arial" w:hAnsi="Arial" w:cs="Arial"/>
          <w:sz w:val="16"/>
          <w:szCs w:val="16"/>
        </w:rPr>
      </w:pPr>
      <w:r>
        <w:rPr>
          <w:rFonts w:ascii="Arial" w:eastAsia="Arial" w:hAnsi="Arial" w:cs="Arial"/>
          <w:sz w:val="16"/>
          <w:szCs w:val="16"/>
        </w:rPr>
        <w:t>Apartado I. Decisión…………………………………………………………………………………………….</w:t>
      </w:r>
      <w:r w:rsidR="002B6BD6">
        <w:rPr>
          <w:rFonts w:ascii="Arial" w:eastAsia="Arial" w:hAnsi="Arial" w:cs="Arial"/>
          <w:sz w:val="16"/>
          <w:szCs w:val="16"/>
        </w:rPr>
        <w:t>6</w:t>
      </w:r>
    </w:p>
    <w:p w14:paraId="04ABE543" w14:textId="453538EA" w:rsidR="004F0743" w:rsidRDefault="0034256B">
      <w:pPr>
        <w:ind w:left="993" w:right="616"/>
        <w:rPr>
          <w:rFonts w:ascii="Arial" w:eastAsia="Arial" w:hAnsi="Arial" w:cs="Arial"/>
          <w:sz w:val="16"/>
          <w:szCs w:val="16"/>
        </w:rPr>
      </w:pPr>
      <w:r>
        <w:rPr>
          <w:rFonts w:ascii="Arial" w:eastAsia="Arial" w:hAnsi="Arial" w:cs="Arial"/>
          <w:sz w:val="16"/>
          <w:szCs w:val="16"/>
        </w:rPr>
        <w:t>Apartado II. Desarrollo y justificación de la decisión………………………………………………………..</w:t>
      </w:r>
      <w:r>
        <w:rPr>
          <w:rFonts w:ascii="Arial" w:eastAsia="Arial" w:hAnsi="Arial" w:cs="Arial"/>
          <w:sz w:val="8"/>
          <w:szCs w:val="8"/>
        </w:rPr>
        <w:t xml:space="preserve"> </w:t>
      </w:r>
      <w:r w:rsidR="002B6BD6">
        <w:rPr>
          <w:rFonts w:ascii="Arial" w:eastAsia="Arial" w:hAnsi="Arial" w:cs="Arial"/>
          <w:sz w:val="16"/>
          <w:szCs w:val="16"/>
        </w:rPr>
        <w:t>7</w:t>
      </w:r>
    </w:p>
    <w:p w14:paraId="5186FC27" w14:textId="01866F9A" w:rsidR="004F0743" w:rsidRDefault="0034256B">
      <w:pPr>
        <w:tabs>
          <w:tab w:val="right" w:pos="8263"/>
          <w:tab w:val="left" w:pos="8789"/>
        </w:tabs>
        <w:ind w:left="993" w:right="616"/>
        <w:rPr>
          <w:rFonts w:ascii="Arial" w:eastAsia="Arial" w:hAnsi="Arial" w:cs="Arial"/>
          <w:sz w:val="16"/>
          <w:szCs w:val="16"/>
        </w:rPr>
      </w:pPr>
      <w:r>
        <w:rPr>
          <w:rFonts w:ascii="Arial" w:eastAsia="Arial" w:hAnsi="Arial" w:cs="Arial"/>
          <w:sz w:val="16"/>
          <w:szCs w:val="16"/>
        </w:rPr>
        <w:t>Culpa in vigilando...………..…………………………………………………………………....………….....1</w:t>
      </w:r>
      <w:r w:rsidR="002B6BD6">
        <w:rPr>
          <w:rFonts w:ascii="Arial" w:eastAsia="Arial" w:hAnsi="Arial" w:cs="Arial"/>
          <w:sz w:val="16"/>
          <w:szCs w:val="16"/>
        </w:rPr>
        <w:t>3</w:t>
      </w:r>
    </w:p>
    <w:p w14:paraId="42844294" w14:textId="0B824343" w:rsidR="004F0743" w:rsidRDefault="0034256B">
      <w:pPr>
        <w:tabs>
          <w:tab w:val="right" w:pos="8263"/>
        </w:tabs>
        <w:ind w:left="993" w:right="616"/>
        <w:rPr>
          <w:rFonts w:ascii="Arial" w:eastAsia="Arial" w:hAnsi="Arial" w:cs="Arial"/>
          <w:b/>
          <w:sz w:val="16"/>
          <w:szCs w:val="16"/>
        </w:rPr>
      </w:pPr>
      <w:r>
        <w:rPr>
          <w:rFonts w:ascii="Arial" w:eastAsia="Arial" w:hAnsi="Arial" w:cs="Arial"/>
          <w:sz w:val="16"/>
          <w:szCs w:val="16"/>
        </w:rPr>
        <w:t>Resolutivos.…………………………………………………………………………………….....…………...</w:t>
      </w:r>
      <w:r>
        <w:rPr>
          <w:rFonts w:ascii="Arial" w:eastAsia="Arial" w:hAnsi="Arial" w:cs="Arial"/>
          <w:sz w:val="6"/>
          <w:szCs w:val="6"/>
        </w:rPr>
        <w:t>.</w:t>
      </w:r>
      <w:r>
        <w:rPr>
          <w:rFonts w:ascii="Arial" w:eastAsia="Arial" w:hAnsi="Arial" w:cs="Arial"/>
          <w:sz w:val="16"/>
          <w:szCs w:val="16"/>
        </w:rPr>
        <w:t>1</w:t>
      </w:r>
      <w:r w:rsidR="002B6BD6">
        <w:rPr>
          <w:rFonts w:ascii="Arial" w:eastAsia="Arial" w:hAnsi="Arial" w:cs="Arial"/>
          <w:sz w:val="16"/>
          <w:szCs w:val="16"/>
        </w:rPr>
        <w:t>4</w:t>
      </w:r>
    </w:p>
    <w:p w14:paraId="66FAFC82" w14:textId="77777777" w:rsidR="004F0743" w:rsidRDefault="004F0743">
      <w:pPr>
        <w:spacing w:line="360" w:lineRule="auto"/>
        <w:ind w:left="2465" w:right="616" w:hanging="140"/>
        <w:jc w:val="center"/>
        <w:rPr>
          <w:rFonts w:ascii="Arial" w:eastAsia="Arial" w:hAnsi="Arial" w:cs="Arial"/>
          <w:b/>
          <w:sz w:val="8"/>
          <w:szCs w:val="8"/>
        </w:rPr>
      </w:pPr>
    </w:p>
    <w:p w14:paraId="45B5F1C6" w14:textId="77777777" w:rsidR="004F0743" w:rsidRDefault="004F0743">
      <w:pPr>
        <w:spacing w:line="360" w:lineRule="auto"/>
        <w:ind w:left="3881" w:right="2324" w:hanging="140"/>
        <w:rPr>
          <w:rFonts w:ascii="Arial" w:eastAsia="Arial" w:hAnsi="Arial" w:cs="Arial"/>
          <w:b/>
          <w:sz w:val="16"/>
          <w:szCs w:val="16"/>
        </w:rPr>
      </w:pPr>
    </w:p>
    <w:p w14:paraId="70091E01" w14:textId="77777777" w:rsidR="004F0743" w:rsidRDefault="0034256B">
      <w:pPr>
        <w:spacing w:line="360" w:lineRule="auto"/>
        <w:ind w:left="3881" w:right="2324" w:hanging="140"/>
        <w:rPr>
          <w:rFonts w:ascii="Arial" w:eastAsia="Arial" w:hAnsi="Arial" w:cs="Arial"/>
          <w:b/>
          <w:sz w:val="16"/>
          <w:szCs w:val="16"/>
        </w:rPr>
      </w:pPr>
      <w:r>
        <w:rPr>
          <w:rFonts w:ascii="Arial" w:eastAsia="Arial" w:hAnsi="Arial" w:cs="Arial"/>
          <w:b/>
          <w:sz w:val="16"/>
          <w:szCs w:val="16"/>
        </w:rPr>
        <w:t xml:space="preserve"> Glosario</w:t>
      </w:r>
    </w:p>
    <w:tbl>
      <w:tblPr>
        <w:tblStyle w:val="af1"/>
        <w:tblW w:w="7229" w:type="dxa"/>
        <w:tblInd w:w="851" w:type="dxa"/>
        <w:tblLayout w:type="fixed"/>
        <w:tblLook w:val="0400" w:firstRow="0" w:lastRow="0" w:firstColumn="0" w:lastColumn="0" w:noHBand="0" w:noVBand="1"/>
      </w:tblPr>
      <w:tblGrid>
        <w:gridCol w:w="1843"/>
        <w:gridCol w:w="5386"/>
      </w:tblGrid>
      <w:tr w:rsidR="004F0743" w14:paraId="18DD4B26" w14:textId="77777777">
        <w:trPr>
          <w:trHeight w:val="578"/>
        </w:trPr>
        <w:tc>
          <w:tcPr>
            <w:tcW w:w="1843" w:type="dxa"/>
            <w:shd w:val="clear" w:color="auto" w:fill="auto"/>
          </w:tcPr>
          <w:p w14:paraId="28D10DD7" w14:textId="77777777" w:rsidR="004F0743" w:rsidRDefault="0034256B">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Denunciante:</w:t>
            </w:r>
          </w:p>
          <w:p w14:paraId="770CC625" w14:textId="77777777" w:rsidR="004F0743" w:rsidRDefault="0034256B">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 xml:space="preserve">Denunciados: </w:t>
            </w:r>
          </w:p>
          <w:p w14:paraId="401A7FDD" w14:textId="77777777" w:rsidR="004F0743" w:rsidRDefault="004F0743">
            <w:pPr>
              <w:spacing w:line="276" w:lineRule="auto"/>
              <w:jc w:val="both"/>
              <w:rPr>
                <w:rFonts w:ascii="Arial" w:eastAsia="Arial" w:hAnsi="Arial" w:cs="Arial"/>
                <w:b/>
                <w:color w:val="000000"/>
                <w:sz w:val="16"/>
                <w:szCs w:val="16"/>
              </w:rPr>
            </w:pPr>
          </w:p>
          <w:p w14:paraId="53A81607" w14:textId="77777777" w:rsidR="004F0743" w:rsidRDefault="0034256B">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Código Electoral:</w:t>
            </w:r>
          </w:p>
          <w:p w14:paraId="7261F517" w14:textId="77777777" w:rsidR="004F0743" w:rsidRDefault="0034256B">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Consejo General:</w:t>
            </w:r>
          </w:p>
          <w:p w14:paraId="3304586F" w14:textId="77777777" w:rsidR="004F0743" w:rsidRDefault="0034256B">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INE:</w:t>
            </w:r>
          </w:p>
          <w:p w14:paraId="48C17583" w14:textId="77777777" w:rsidR="004F0743" w:rsidRDefault="0034256B">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Instituto Local:</w:t>
            </w:r>
          </w:p>
        </w:tc>
        <w:tc>
          <w:tcPr>
            <w:tcW w:w="5386" w:type="dxa"/>
            <w:shd w:val="clear" w:color="auto" w:fill="auto"/>
          </w:tcPr>
          <w:p w14:paraId="40C5FE9A" w14:textId="77777777" w:rsidR="004F0743" w:rsidRDefault="0034256B">
            <w:pPr>
              <w:spacing w:line="276" w:lineRule="auto"/>
              <w:ind w:right="518"/>
              <w:jc w:val="both"/>
              <w:rPr>
                <w:rFonts w:ascii="Arial" w:eastAsia="Arial" w:hAnsi="Arial" w:cs="Arial"/>
                <w:color w:val="000000"/>
                <w:sz w:val="16"/>
                <w:szCs w:val="16"/>
              </w:rPr>
            </w:pPr>
            <w:r>
              <w:rPr>
                <w:rFonts w:ascii="Arial" w:eastAsia="Arial" w:hAnsi="Arial" w:cs="Arial"/>
                <w:color w:val="000000"/>
                <w:sz w:val="16"/>
                <w:szCs w:val="16"/>
              </w:rPr>
              <w:t>Partido Acción Nacional.</w:t>
            </w:r>
          </w:p>
          <w:p w14:paraId="06C535E3" w14:textId="77777777" w:rsidR="004F0743" w:rsidRDefault="0034256B">
            <w:pPr>
              <w:spacing w:line="276" w:lineRule="auto"/>
              <w:ind w:right="-259"/>
              <w:jc w:val="both"/>
              <w:rPr>
                <w:rFonts w:ascii="Arial" w:eastAsia="Arial" w:hAnsi="Arial" w:cs="Arial"/>
                <w:color w:val="000000"/>
                <w:sz w:val="16"/>
                <w:szCs w:val="16"/>
              </w:rPr>
            </w:pPr>
            <w:r>
              <w:rPr>
                <w:rFonts w:ascii="Arial" w:eastAsia="Arial" w:hAnsi="Arial" w:cs="Arial"/>
                <w:color w:val="000000"/>
                <w:sz w:val="16"/>
                <w:szCs w:val="16"/>
              </w:rPr>
              <w:t xml:space="preserve">Nora Ruvalcaba Gámez, candidata de MORENA a la gubernatura </w:t>
            </w:r>
          </w:p>
          <w:p w14:paraId="56B0F412" w14:textId="77777777" w:rsidR="004F0743" w:rsidRDefault="0034256B">
            <w:pPr>
              <w:spacing w:line="276" w:lineRule="auto"/>
              <w:ind w:right="-259"/>
              <w:jc w:val="both"/>
              <w:rPr>
                <w:rFonts w:ascii="Arial" w:eastAsia="Arial" w:hAnsi="Arial" w:cs="Arial"/>
                <w:color w:val="000000"/>
                <w:sz w:val="16"/>
                <w:szCs w:val="16"/>
              </w:rPr>
            </w:pPr>
            <w:r>
              <w:rPr>
                <w:rFonts w:ascii="Arial" w:eastAsia="Arial" w:hAnsi="Arial" w:cs="Arial"/>
                <w:color w:val="000000"/>
                <w:sz w:val="16"/>
                <w:szCs w:val="16"/>
              </w:rPr>
              <w:t xml:space="preserve">del estado, y otros. </w:t>
            </w:r>
          </w:p>
          <w:p w14:paraId="5D902FA1" w14:textId="77777777" w:rsidR="004F0743" w:rsidRDefault="0034256B">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Código Electoral del Estado de Aguascalientes.</w:t>
            </w:r>
          </w:p>
          <w:p w14:paraId="7F800C33" w14:textId="77777777" w:rsidR="004F0743" w:rsidRDefault="0034256B">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Consejo General del Instituto Estatal Electoral de Aguascalientes.</w:t>
            </w:r>
          </w:p>
          <w:p w14:paraId="6E610320" w14:textId="77777777" w:rsidR="004F0743" w:rsidRDefault="0034256B">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Instituto Nacional Electoral. </w:t>
            </w:r>
          </w:p>
          <w:p w14:paraId="1AC1D38B" w14:textId="77777777" w:rsidR="004F0743" w:rsidRDefault="0034256B">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Instituto Estatal Electoral de Aguascalientes.</w:t>
            </w:r>
          </w:p>
        </w:tc>
      </w:tr>
      <w:tr w:rsidR="004F0743" w14:paraId="1989202A" w14:textId="77777777">
        <w:trPr>
          <w:trHeight w:val="578"/>
        </w:trPr>
        <w:tc>
          <w:tcPr>
            <w:tcW w:w="1843" w:type="dxa"/>
            <w:shd w:val="clear" w:color="auto" w:fill="auto"/>
          </w:tcPr>
          <w:p w14:paraId="7C98A780" w14:textId="77777777" w:rsidR="004F0743" w:rsidRDefault="0034256B">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 xml:space="preserve">LEGIPE: </w:t>
            </w:r>
          </w:p>
          <w:p w14:paraId="075ECA45" w14:textId="77777777" w:rsidR="004F0743" w:rsidRDefault="0034256B">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MORENA:</w:t>
            </w:r>
          </w:p>
          <w:p w14:paraId="5A827AC7" w14:textId="77777777" w:rsidR="004F0743" w:rsidRDefault="0034256B">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Sala Superior:</w:t>
            </w:r>
          </w:p>
          <w:p w14:paraId="5AAD0998" w14:textId="77777777" w:rsidR="004F0743" w:rsidRDefault="004F0743">
            <w:pPr>
              <w:spacing w:line="276" w:lineRule="auto"/>
              <w:jc w:val="both"/>
              <w:rPr>
                <w:rFonts w:ascii="Arial" w:eastAsia="Arial" w:hAnsi="Arial" w:cs="Arial"/>
                <w:b/>
                <w:color w:val="000000"/>
                <w:sz w:val="16"/>
                <w:szCs w:val="16"/>
              </w:rPr>
            </w:pPr>
          </w:p>
          <w:p w14:paraId="3B55FC3D" w14:textId="77777777" w:rsidR="004F0743" w:rsidRDefault="0034256B">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Secretario Ejecutivo:</w:t>
            </w:r>
          </w:p>
          <w:p w14:paraId="6CBA78D7" w14:textId="77777777" w:rsidR="004F0743" w:rsidRDefault="0034256B">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PAN:</w:t>
            </w:r>
          </w:p>
          <w:p w14:paraId="48BAB14A" w14:textId="77777777" w:rsidR="004F0743" w:rsidRDefault="0034256B">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PEL:</w:t>
            </w:r>
          </w:p>
          <w:p w14:paraId="3D302DFD" w14:textId="77777777" w:rsidR="004F0743" w:rsidRDefault="0034256B">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PES:</w:t>
            </w:r>
          </w:p>
          <w:p w14:paraId="7C610F09" w14:textId="77777777" w:rsidR="004F0743" w:rsidRDefault="0034256B">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Tribunal Electoral:</w:t>
            </w:r>
          </w:p>
          <w:p w14:paraId="328ABB17" w14:textId="77777777" w:rsidR="004F0743" w:rsidRDefault="0034256B">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UTF:</w:t>
            </w:r>
          </w:p>
          <w:p w14:paraId="0F382DB6" w14:textId="77777777" w:rsidR="004F0743" w:rsidRDefault="004F0743">
            <w:pPr>
              <w:spacing w:line="276" w:lineRule="auto"/>
              <w:jc w:val="both"/>
              <w:rPr>
                <w:rFonts w:ascii="Arial" w:eastAsia="Arial" w:hAnsi="Arial" w:cs="Arial"/>
                <w:b/>
                <w:color w:val="000000"/>
                <w:sz w:val="16"/>
                <w:szCs w:val="16"/>
              </w:rPr>
            </w:pPr>
          </w:p>
        </w:tc>
        <w:tc>
          <w:tcPr>
            <w:tcW w:w="5386" w:type="dxa"/>
            <w:shd w:val="clear" w:color="auto" w:fill="auto"/>
          </w:tcPr>
          <w:p w14:paraId="793E561D" w14:textId="77777777" w:rsidR="004F0743" w:rsidRDefault="0034256B">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Ley General de Instituciones y Procedimientos Electorales.</w:t>
            </w:r>
          </w:p>
          <w:p w14:paraId="677A7CCF" w14:textId="77777777" w:rsidR="004F0743" w:rsidRDefault="0034256B">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Movimiento de Regeneración Nacional. </w:t>
            </w:r>
          </w:p>
          <w:p w14:paraId="61130F27" w14:textId="77777777" w:rsidR="004F0743" w:rsidRDefault="0034256B">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Sala Superior del Tribunal Electoral del Poder Judicial de la Federación. </w:t>
            </w:r>
          </w:p>
          <w:p w14:paraId="333931F8" w14:textId="77777777" w:rsidR="004F0743" w:rsidRDefault="0034256B">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Secretario Ejecutivo del Instituto Estatal Electoral de Aguascalientes. </w:t>
            </w:r>
          </w:p>
          <w:p w14:paraId="343ED907" w14:textId="77777777" w:rsidR="004F0743" w:rsidRDefault="0034256B">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Partido Acción Nacional.</w:t>
            </w:r>
          </w:p>
          <w:p w14:paraId="6A18A487" w14:textId="77777777" w:rsidR="004F0743" w:rsidRDefault="0034256B">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Procedimiento Electoral Local. </w:t>
            </w:r>
          </w:p>
          <w:p w14:paraId="4E6CB7B8" w14:textId="77777777" w:rsidR="004F0743" w:rsidRDefault="0034256B">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Procedimiento Especial Sancionador.</w:t>
            </w:r>
          </w:p>
          <w:p w14:paraId="3BD0DE2B" w14:textId="77777777" w:rsidR="004F0743" w:rsidRDefault="0034256B">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Tribunal Electoral del Estado de Aguascalientes.</w:t>
            </w:r>
          </w:p>
          <w:p w14:paraId="56E7E6AB" w14:textId="77777777" w:rsidR="004F0743" w:rsidRDefault="0034256B">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Unidad Técnica de Fiscalización. </w:t>
            </w:r>
          </w:p>
        </w:tc>
      </w:tr>
    </w:tbl>
    <w:p w14:paraId="3CA3B044" w14:textId="77777777" w:rsidR="004F0743" w:rsidRDefault="004F0743">
      <w:pPr>
        <w:pBdr>
          <w:top w:val="nil"/>
          <w:left w:val="nil"/>
          <w:bottom w:val="nil"/>
          <w:right w:val="nil"/>
          <w:between w:val="nil"/>
        </w:pBdr>
        <w:rPr>
          <w:color w:val="000000"/>
        </w:rPr>
      </w:pPr>
    </w:p>
    <w:p w14:paraId="6EAE05B4" w14:textId="77777777" w:rsidR="004F0743" w:rsidRDefault="0034256B">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I. Contexto del caso.</w:t>
      </w:r>
      <w:r>
        <w:rPr>
          <w:rFonts w:ascii="Arial" w:eastAsia="Arial" w:hAnsi="Arial" w:cs="Arial"/>
          <w:b/>
          <w:sz w:val="24"/>
          <w:szCs w:val="24"/>
          <w:vertAlign w:val="superscript"/>
        </w:rPr>
        <w:footnoteReference w:id="2"/>
      </w:r>
    </w:p>
    <w:p w14:paraId="251DC4E6" w14:textId="77777777" w:rsidR="004F0743" w:rsidRDefault="004F0743">
      <w:pPr>
        <w:pBdr>
          <w:top w:val="nil"/>
          <w:left w:val="nil"/>
          <w:bottom w:val="nil"/>
          <w:right w:val="nil"/>
          <w:between w:val="nil"/>
        </w:pBdr>
        <w:rPr>
          <w:color w:val="000000"/>
        </w:rPr>
      </w:pPr>
    </w:p>
    <w:p w14:paraId="021784CC" w14:textId="77777777" w:rsidR="004F0743" w:rsidRDefault="0034256B">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3"/>
      </w:r>
    </w:p>
    <w:p w14:paraId="5B4E4666" w14:textId="77777777" w:rsidR="004F0743" w:rsidRDefault="0034256B">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2. Denuncia.</w:t>
      </w:r>
      <w:r>
        <w:rPr>
          <w:rFonts w:ascii="Arial" w:eastAsia="Arial" w:hAnsi="Arial" w:cs="Arial"/>
          <w:sz w:val="24"/>
          <w:szCs w:val="24"/>
        </w:rPr>
        <w:t xml:space="preserve"> El 28 de marzo, el ciudadano Israel Ángel Ramírez, representante del PAN ante el Instituto Local, presentó una queja en contra de Nora Ruvalcaba Gámez, candidata de MORENA a la gubernatura del estado, derivado de una publicación a través de su </w:t>
      </w:r>
      <w:r>
        <w:rPr>
          <w:rFonts w:ascii="Arial" w:eastAsia="Arial" w:hAnsi="Arial" w:cs="Arial"/>
          <w:i/>
          <w:sz w:val="24"/>
          <w:szCs w:val="24"/>
        </w:rPr>
        <w:t>fan page</w:t>
      </w:r>
      <w:r>
        <w:rPr>
          <w:rFonts w:ascii="Arial" w:eastAsia="Arial" w:hAnsi="Arial" w:cs="Arial"/>
          <w:sz w:val="24"/>
          <w:szCs w:val="24"/>
        </w:rPr>
        <w:t xml:space="preserve"> de Facebook, relativa a la constancia de aprobación de su registro como tal, otorgada por el Instituto Local, ello, previo al inicio del periodo de campaña, lo cual, a su criterio, constituye la infracción de actos anticipados de campaña. A su vez, exigió a la autoridad administrativa la adopción de medidas cautelares.</w:t>
      </w:r>
    </w:p>
    <w:p w14:paraId="64EF8B0D" w14:textId="77777777" w:rsidR="004F0743" w:rsidRDefault="0034256B">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3. Admisión y medidas cautelares.</w:t>
      </w:r>
      <w:r>
        <w:rPr>
          <w:rFonts w:ascii="Arial" w:eastAsia="Arial" w:hAnsi="Arial" w:cs="Arial"/>
          <w:sz w:val="24"/>
          <w:szCs w:val="24"/>
        </w:rPr>
        <w:t xml:space="preserve"> El 1 de abril, el Secretario Ejecutivo admitió a trámite la denuncia y le asignó el número de expediente IEE/PES/019/2022. Asimismo, </w:t>
      </w:r>
      <w:r>
        <w:rPr>
          <w:rFonts w:ascii="Arial" w:eastAsia="Arial" w:hAnsi="Arial" w:cs="Arial"/>
          <w:color w:val="000000"/>
          <w:sz w:val="24"/>
          <w:szCs w:val="24"/>
        </w:rPr>
        <w:t xml:space="preserve">emitió un acuerdo en el que consideró </w:t>
      </w:r>
      <w:r>
        <w:rPr>
          <w:rFonts w:ascii="Arial" w:eastAsia="Arial" w:hAnsi="Arial" w:cs="Arial"/>
          <w:b/>
          <w:color w:val="000000"/>
          <w:sz w:val="24"/>
          <w:szCs w:val="24"/>
        </w:rPr>
        <w:t xml:space="preserve">improcedente </w:t>
      </w:r>
      <w:r>
        <w:rPr>
          <w:rFonts w:ascii="Arial" w:eastAsia="Arial" w:hAnsi="Arial" w:cs="Arial"/>
          <w:color w:val="000000"/>
          <w:sz w:val="24"/>
          <w:szCs w:val="24"/>
        </w:rPr>
        <w:t>la adopción de las medidas cautelares solicitadas por el quejoso,</w:t>
      </w:r>
      <w:r>
        <w:rPr>
          <w:rFonts w:ascii="Arial" w:eastAsia="Arial" w:hAnsi="Arial" w:cs="Arial"/>
          <w:sz w:val="24"/>
          <w:szCs w:val="24"/>
        </w:rPr>
        <w:t xml:space="preserve"> al considerar que, en atención a la oficialía electoral IEE/OE/028/2022, no existe indicio evidente de que la publicación cuestionada configure la infracción de actos anticipados de campaña.</w:t>
      </w:r>
    </w:p>
    <w:p w14:paraId="54B653F4" w14:textId="77777777" w:rsidR="004F0743" w:rsidRDefault="0034256B">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4. Audiencia de alegatos y remisión del expediente.</w:t>
      </w:r>
      <w:r>
        <w:rPr>
          <w:rFonts w:ascii="Arial" w:eastAsia="Arial" w:hAnsi="Arial" w:cs="Arial"/>
          <w:sz w:val="24"/>
          <w:szCs w:val="24"/>
        </w:rPr>
        <w:t xml:space="preserve"> El 4 siguiente, se celebró la audiencia de pruebas y alegatos y, posteriormente, el Secretario Ejecutivo rindió el informe circunstanciado y remitió el expediente a este Tribunal. </w:t>
      </w:r>
    </w:p>
    <w:p w14:paraId="71BF967F" w14:textId="77777777" w:rsidR="004F0743" w:rsidRDefault="0034256B">
      <w:pPr>
        <w:tabs>
          <w:tab w:val="left" w:pos="284"/>
        </w:tabs>
        <w:spacing w:before="240" w:after="240" w:line="360" w:lineRule="auto"/>
        <w:ind w:right="40"/>
        <w:jc w:val="both"/>
        <w:rPr>
          <w:rFonts w:ascii="Arial" w:eastAsia="Arial" w:hAnsi="Arial" w:cs="Arial"/>
          <w:b/>
          <w:sz w:val="24"/>
          <w:szCs w:val="24"/>
        </w:rPr>
      </w:pPr>
      <w:r>
        <w:rPr>
          <w:rFonts w:ascii="Arial" w:eastAsia="Arial" w:hAnsi="Arial" w:cs="Arial"/>
          <w:b/>
          <w:sz w:val="24"/>
          <w:szCs w:val="24"/>
        </w:rPr>
        <w:t xml:space="preserve">5. Turno, radicación y formulación del proyecto de resolución TEEA-PES-014/2022. </w:t>
      </w:r>
      <w:r>
        <w:rPr>
          <w:rFonts w:ascii="Arial" w:eastAsia="Arial" w:hAnsi="Arial" w:cs="Arial"/>
          <w:sz w:val="24"/>
          <w:szCs w:val="24"/>
        </w:rPr>
        <w:t xml:space="preserve">Al día siguiente, la Magistrada Presidenta ordenó el registro del asunto con el número de </w:t>
      </w:r>
      <w:r>
        <w:rPr>
          <w:rFonts w:ascii="Arial" w:eastAsia="Arial" w:hAnsi="Arial" w:cs="Arial"/>
          <w:sz w:val="24"/>
          <w:szCs w:val="24"/>
        </w:rPr>
        <w:lastRenderedPageBreak/>
        <w:t>expediente TEEA-PES-014/2022 y lo turnó a la Ponencia de la Magistrada Laura Hortensia Llamas Hernández, quien en su oportunidad lo radicó, y al no existir algún trámite pendiente, ordenó la formulación del proyecto.</w:t>
      </w:r>
      <w:r>
        <w:rPr>
          <w:rFonts w:ascii="Arial" w:eastAsia="Arial" w:hAnsi="Arial" w:cs="Arial"/>
          <w:sz w:val="24"/>
          <w:szCs w:val="24"/>
          <w:vertAlign w:val="superscript"/>
        </w:rPr>
        <w:footnoteReference w:id="4"/>
      </w:r>
    </w:p>
    <w:p w14:paraId="5DFD84B0" w14:textId="77777777" w:rsidR="004F0743" w:rsidRDefault="0034256B">
      <w:pPr>
        <w:pBdr>
          <w:top w:val="nil"/>
          <w:left w:val="nil"/>
          <w:bottom w:val="nil"/>
          <w:right w:val="nil"/>
          <w:between w:val="nil"/>
        </w:pBdr>
        <w:tabs>
          <w:tab w:val="left" w:pos="284"/>
        </w:tabs>
        <w:spacing w:line="360" w:lineRule="auto"/>
        <w:ind w:right="36"/>
        <w:jc w:val="both"/>
        <w:rPr>
          <w:color w:val="000000"/>
        </w:rPr>
      </w:pPr>
      <w:r>
        <w:rPr>
          <w:rFonts w:ascii="Arial" w:eastAsia="Arial" w:hAnsi="Arial" w:cs="Arial"/>
          <w:b/>
          <w:color w:val="000000"/>
          <w:sz w:val="24"/>
          <w:szCs w:val="24"/>
        </w:rPr>
        <w:t xml:space="preserve">II. Competencia. </w:t>
      </w:r>
      <w:r>
        <w:rPr>
          <w:rFonts w:ascii="Arial" w:eastAsia="Arial" w:hAnsi="Arial" w:cs="Arial"/>
          <w:color w:val="000000"/>
          <w:sz w:val="24"/>
          <w:szCs w:val="24"/>
        </w:rPr>
        <w:t xml:space="preserve">Este Tribunal es competente para resolver el presente procedimiento especial sancionador, porque se relaciona con la posible vulneración al artículo 244, fracción VI, del Código Electoral, derivado de una publicación en la red social Facebook que presuntamente constituye actos anticipados de campaña, atribuidos a </w:t>
      </w:r>
      <w:r>
        <w:rPr>
          <w:rFonts w:ascii="Arial" w:eastAsia="Arial" w:hAnsi="Arial" w:cs="Arial"/>
          <w:sz w:val="24"/>
          <w:szCs w:val="24"/>
        </w:rPr>
        <w:t xml:space="preserve">la ciudadana </w:t>
      </w:r>
      <w:r>
        <w:rPr>
          <w:rFonts w:ascii="Arial" w:eastAsia="Arial" w:hAnsi="Arial" w:cs="Arial"/>
          <w:color w:val="000000"/>
          <w:sz w:val="24"/>
          <w:szCs w:val="24"/>
        </w:rPr>
        <w:t xml:space="preserve">Nora Ruvalcaba Gámez en su </w:t>
      </w:r>
      <w:r>
        <w:rPr>
          <w:rFonts w:ascii="Arial" w:eastAsia="Arial" w:hAnsi="Arial" w:cs="Arial"/>
          <w:sz w:val="24"/>
          <w:szCs w:val="24"/>
        </w:rPr>
        <w:t>carácter</w:t>
      </w:r>
      <w:r>
        <w:rPr>
          <w:rFonts w:ascii="Arial" w:eastAsia="Arial" w:hAnsi="Arial" w:cs="Arial"/>
          <w:color w:val="000000"/>
          <w:sz w:val="24"/>
          <w:szCs w:val="24"/>
        </w:rPr>
        <w:t xml:space="preserve"> de </w:t>
      </w:r>
      <w:r>
        <w:rPr>
          <w:rFonts w:ascii="Arial" w:eastAsia="Arial" w:hAnsi="Arial" w:cs="Arial"/>
          <w:sz w:val="24"/>
          <w:szCs w:val="24"/>
        </w:rPr>
        <w:t>candidata de MORENA a la gubernatura de esta entidad, con independencia del medio por el cual se difundieron los mensajes cuestionados</w:t>
      </w:r>
      <w:r>
        <w:rPr>
          <w:rFonts w:ascii="Arial" w:eastAsia="Arial" w:hAnsi="Arial" w:cs="Arial"/>
          <w:sz w:val="24"/>
          <w:szCs w:val="24"/>
          <w:vertAlign w:val="superscript"/>
        </w:rPr>
        <w:footnoteReference w:id="5"/>
      </w:r>
      <w:r>
        <w:rPr>
          <w:rFonts w:ascii="Arial" w:eastAsia="Arial" w:hAnsi="Arial" w:cs="Arial"/>
          <w:sz w:val="24"/>
          <w:szCs w:val="24"/>
        </w:rPr>
        <w:t>.</w:t>
      </w:r>
      <w:r>
        <w:rPr>
          <w:rFonts w:ascii="Arial" w:eastAsia="Arial" w:hAnsi="Arial" w:cs="Arial"/>
          <w:color w:val="000000"/>
          <w:sz w:val="24"/>
          <w:szCs w:val="24"/>
        </w:rPr>
        <w:t xml:space="preserve"> Lo anterior, de conformidad con los artículos 252, fracción II, 268, 274 y 275 del Código Electoral.</w:t>
      </w:r>
    </w:p>
    <w:p w14:paraId="61D84C32" w14:textId="77777777" w:rsidR="004F0743" w:rsidRDefault="004F0743">
      <w:pPr>
        <w:pBdr>
          <w:top w:val="nil"/>
          <w:left w:val="nil"/>
          <w:bottom w:val="nil"/>
          <w:right w:val="nil"/>
          <w:between w:val="nil"/>
        </w:pBdr>
        <w:rPr>
          <w:color w:val="000000"/>
        </w:rPr>
      </w:pPr>
    </w:p>
    <w:p w14:paraId="41F00875" w14:textId="77777777" w:rsidR="004F0743" w:rsidRDefault="0034256B">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III. Personería. </w:t>
      </w:r>
      <w:r>
        <w:rPr>
          <w:rFonts w:ascii="Arial" w:eastAsia="Arial" w:hAnsi="Arial" w:cs="Arial"/>
          <w:color w:val="000000"/>
          <w:sz w:val="24"/>
          <w:szCs w:val="24"/>
        </w:rPr>
        <w:t>La autoridad instructora tuvo por acreditada la personería del denunciante y l</w:t>
      </w:r>
      <w:r>
        <w:rPr>
          <w:rFonts w:ascii="Arial" w:eastAsia="Arial" w:hAnsi="Arial" w:cs="Arial"/>
          <w:sz w:val="24"/>
          <w:szCs w:val="24"/>
        </w:rPr>
        <w:t>as</w:t>
      </w:r>
      <w:r>
        <w:rPr>
          <w:rFonts w:ascii="Arial" w:eastAsia="Arial" w:hAnsi="Arial" w:cs="Arial"/>
          <w:color w:val="000000"/>
          <w:sz w:val="24"/>
          <w:szCs w:val="24"/>
        </w:rPr>
        <w:t xml:space="preserve"> </w:t>
      </w:r>
      <w:r>
        <w:rPr>
          <w:rFonts w:ascii="Arial" w:eastAsia="Arial" w:hAnsi="Arial" w:cs="Arial"/>
          <w:sz w:val="24"/>
          <w:szCs w:val="24"/>
        </w:rPr>
        <w:t>partes</w:t>
      </w:r>
      <w:r>
        <w:rPr>
          <w:rFonts w:ascii="Arial" w:eastAsia="Arial" w:hAnsi="Arial" w:cs="Arial"/>
          <w:color w:val="000000"/>
          <w:sz w:val="24"/>
          <w:szCs w:val="24"/>
        </w:rPr>
        <w:t xml:space="preserve"> denunciad</w:t>
      </w:r>
      <w:r>
        <w:rPr>
          <w:rFonts w:ascii="Arial" w:eastAsia="Arial" w:hAnsi="Arial" w:cs="Arial"/>
          <w:sz w:val="24"/>
          <w:szCs w:val="24"/>
        </w:rPr>
        <w:t>as, respectivamente</w:t>
      </w:r>
      <w:r>
        <w:rPr>
          <w:rFonts w:ascii="Arial" w:eastAsia="Arial" w:hAnsi="Arial" w:cs="Arial"/>
          <w:color w:val="000000"/>
          <w:sz w:val="24"/>
          <w:szCs w:val="24"/>
        </w:rPr>
        <w:t>.</w:t>
      </w:r>
    </w:p>
    <w:p w14:paraId="308158BB" w14:textId="77777777" w:rsidR="004F0743" w:rsidRDefault="004F0743">
      <w:pPr>
        <w:pBdr>
          <w:top w:val="nil"/>
          <w:left w:val="nil"/>
          <w:bottom w:val="nil"/>
          <w:right w:val="nil"/>
          <w:between w:val="nil"/>
        </w:pBdr>
        <w:rPr>
          <w:color w:val="000000"/>
        </w:rPr>
      </w:pPr>
    </w:p>
    <w:p w14:paraId="6D35CACF" w14:textId="77777777" w:rsidR="004F0743" w:rsidRDefault="0034256B">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color w:val="000000"/>
          <w:sz w:val="24"/>
          <w:szCs w:val="24"/>
        </w:rPr>
        <w:t xml:space="preserve">IV. Causales de improcedencia. </w:t>
      </w:r>
      <w:r>
        <w:rPr>
          <w:rFonts w:ascii="Arial" w:eastAsia="Arial" w:hAnsi="Arial" w:cs="Arial"/>
          <w:color w:val="000000"/>
          <w:sz w:val="24"/>
          <w:szCs w:val="24"/>
        </w:rPr>
        <w:t xml:space="preserve">La ciudadana </w:t>
      </w:r>
      <w:r>
        <w:rPr>
          <w:rFonts w:ascii="Arial" w:eastAsia="Arial" w:hAnsi="Arial" w:cs="Arial"/>
          <w:sz w:val="24"/>
          <w:szCs w:val="24"/>
        </w:rPr>
        <w:t xml:space="preserve">Nora Ruvalcaba Gámez y el ciudadano Jesús Ricardo Barba Parra, en su carácter de representante propietario de MORENA ante el Instituto Local, en sus escritos de contestación, refieren que la denuncia presentada en su contra es </w:t>
      </w:r>
      <w:r>
        <w:rPr>
          <w:rFonts w:ascii="Arial" w:eastAsia="Arial" w:hAnsi="Arial" w:cs="Arial"/>
          <w:b/>
          <w:sz w:val="24"/>
          <w:szCs w:val="24"/>
        </w:rPr>
        <w:t>frívola y oscura</w:t>
      </w:r>
      <w:r>
        <w:rPr>
          <w:rFonts w:ascii="Arial" w:eastAsia="Arial" w:hAnsi="Arial" w:cs="Arial"/>
          <w:sz w:val="24"/>
          <w:szCs w:val="24"/>
        </w:rPr>
        <w:t>, ya que no se ofrecieron elementos de prueba que permitan acreditar los hechos denunciados.</w:t>
      </w:r>
    </w:p>
    <w:p w14:paraId="43B24EFA" w14:textId="77777777" w:rsidR="004F0743" w:rsidRDefault="004F0743">
      <w:pPr>
        <w:pBdr>
          <w:top w:val="nil"/>
          <w:left w:val="nil"/>
          <w:bottom w:val="nil"/>
          <w:right w:val="nil"/>
          <w:between w:val="nil"/>
        </w:pBdr>
        <w:rPr>
          <w:color w:val="000000"/>
        </w:rPr>
      </w:pPr>
    </w:p>
    <w:p w14:paraId="2A8C9654" w14:textId="77777777" w:rsidR="004F0743" w:rsidRDefault="0034256B">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El artículo 270, fracción V, del Código Electoral</w:t>
      </w:r>
      <w:r>
        <w:rPr>
          <w:rFonts w:ascii="Arial" w:eastAsia="Arial" w:hAnsi="Arial" w:cs="Arial"/>
          <w:sz w:val="24"/>
          <w:szCs w:val="24"/>
          <w:vertAlign w:val="superscript"/>
        </w:rPr>
        <w:footnoteReference w:id="6"/>
      </w:r>
      <w:r>
        <w:rPr>
          <w:rFonts w:ascii="Arial" w:eastAsia="Arial" w:hAnsi="Arial" w:cs="Arial"/>
          <w:sz w:val="24"/>
          <w:szCs w:val="24"/>
        </w:rPr>
        <w:t xml:space="preserve"> establece que la denuncia se desechará de plano, cuando sea evidentemente frívola. Esta causal se actualiza cuando de la denuncia se advierta que las pretensiones de la parte quejosa no podrían lograrse jurídicamente, por no estar al alcance del derecho o bien, que no existan pruebas que sirvan para acreditar la infracción.</w:t>
      </w:r>
    </w:p>
    <w:p w14:paraId="6E6FCF42" w14:textId="77777777" w:rsidR="004F0743" w:rsidRDefault="0034256B">
      <w:pPr>
        <w:tabs>
          <w:tab w:val="left" w:pos="426"/>
        </w:tabs>
        <w:spacing w:before="240" w:after="240" w:line="360" w:lineRule="auto"/>
        <w:ind w:right="40"/>
        <w:jc w:val="both"/>
        <w:rPr>
          <w:color w:val="000000"/>
        </w:rPr>
      </w:pPr>
      <w:r>
        <w:rPr>
          <w:rFonts w:ascii="Arial" w:eastAsia="Arial" w:hAnsi="Arial" w:cs="Arial"/>
          <w:sz w:val="24"/>
          <w:szCs w:val="24"/>
        </w:rPr>
        <w:t xml:space="preserve">Al respecto, este Tribunal considera que del escrito de la denuncia y de las constancias del expediente, se advierte que el denunciante señaló los hechos y las infracciones que, a su criterio se acreditan, por tanto, no es posible actualizar tal causal de improcedencia, pues el quejoso ofreció las pruebas que consideró necesarias para la acreditación de los hechos </w:t>
      </w:r>
      <w:r>
        <w:rPr>
          <w:rFonts w:ascii="Arial" w:eastAsia="Arial" w:hAnsi="Arial" w:cs="Arial"/>
          <w:sz w:val="24"/>
          <w:szCs w:val="24"/>
        </w:rPr>
        <w:lastRenderedPageBreak/>
        <w:t>denunciados. Por tanto, la posible actualización de la infracción, en todo caso, es materia de análisis en el estudio de fondo de la presente resolución.</w:t>
      </w:r>
    </w:p>
    <w:p w14:paraId="487DABD1" w14:textId="77777777" w:rsidR="00C05ACF" w:rsidRDefault="00C05ACF">
      <w:pPr>
        <w:rPr>
          <w:rFonts w:ascii="Arial" w:eastAsia="Arial" w:hAnsi="Arial" w:cs="Arial"/>
          <w:b/>
          <w:sz w:val="24"/>
          <w:szCs w:val="24"/>
        </w:rPr>
      </w:pPr>
      <w:r>
        <w:rPr>
          <w:rFonts w:ascii="Arial" w:eastAsia="Arial" w:hAnsi="Arial" w:cs="Arial"/>
          <w:b/>
          <w:sz w:val="24"/>
          <w:szCs w:val="24"/>
        </w:rPr>
        <w:br w:type="page"/>
      </w:r>
    </w:p>
    <w:p w14:paraId="526F0066" w14:textId="40F09185" w:rsidR="004F0743" w:rsidRDefault="0034256B">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lastRenderedPageBreak/>
        <w:t>V. Estudio de fondo</w:t>
      </w:r>
    </w:p>
    <w:p w14:paraId="076F38C7" w14:textId="77777777" w:rsidR="004F0743" w:rsidRDefault="004F0743">
      <w:pPr>
        <w:pBdr>
          <w:top w:val="nil"/>
          <w:left w:val="nil"/>
          <w:bottom w:val="nil"/>
          <w:right w:val="nil"/>
          <w:between w:val="nil"/>
        </w:pBdr>
        <w:rPr>
          <w:color w:val="000000"/>
          <w:sz w:val="16"/>
          <w:szCs w:val="16"/>
        </w:rPr>
      </w:pPr>
    </w:p>
    <w:p w14:paraId="50E1D719" w14:textId="77777777" w:rsidR="004F0743" w:rsidRDefault="0034256B">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p>
    <w:p w14:paraId="0305CBC1" w14:textId="77777777" w:rsidR="004F0743" w:rsidRDefault="004F0743">
      <w:pPr>
        <w:pBdr>
          <w:top w:val="nil"/>
          <w:left w:val="nil"/>
          <w:bottom w:val="nil"/>
          <w:right w:val="nil"/>
          <w:between w:val="nil"/>
        </w:pBdr>
        <w:rPr>
          <w:color w:val="000000"/>
        </w:rPr>
      </w:pPr>
    </w:p>
    <w:p w14:paraId="10664D49" w14:textId="77777777" w:rsidR="004F0743" w:rsidRDefault="0034256B">
      <w:pPr>
        <w:numPr>
          <w:ilvl w:val="1"/>
          <w:numId w:val="1"/>
        </w:numPr>
        <w:pBdr>
          <w:top w:val="nil"/>
          <w:left w:val="nil"/>
          <w:bottom w:val="nil"/>
          <w:right w:val="nil"/>
          <w:between w:val="nil"/>
        </w:pBdr>
        <w:tabs>
          <w:tab w:val="left" w:pos="426"/>
        </w:tabs>
        <w:spacing w:line="360" w:lineRule="auto"/>
        <w:ind w:left="0" w:right="36" w:firstLine="0"/>
        <w:jc w:val="both"/>
        <w:rPr>
          <w:rFonts w:ascii="Arial" w:eastAsia="Arial" w:hAnsi="Arial" w:cs="Arial"/>
          <w:color w:val="000000"/>
          <w:sz w:val="24"/>
          <w:szCs w:val="24"/>
        </w:rPr>
      </w:pPr>
      <w:bookmarkStart w:id="3" w:name="_heading=h.1fob9te" w:colFirst="0" w:colLast="0"/>
      <w:bookmarkEnd w:id="3"/>
      <w:r>
        <w:rPr>
          <w:rFonts w:ascii="Arial" w:eastAsia="Arial" w:hAnsi="Arial" w:cs="Arial"/>
          <w:b/>
          <w:color w:val="000000"/>
          <w:sz w:val="24"/>
          <w:szCs w:val="24"/>
        </w:rPr>
        <w:t xml:space="preserve">En contra de Nora Ruvalcaba Gámez. </w:t>
      </w:r>
      <w:r>
        <w:rPr>
          <w:rFonts w:ascii="Arial" w:eastAsia="Arial" w:hAnsi="Arial" w:cs="Arial"/>
          <w:color w:val="000000"/>
          <w:sz w:val="24"/>
          <w:szCs w:val="24"/>
        </w:rPr>
        <w:t xml:space="preserve">El PAN refiere que la denunciada </w:t>
      </w:r>
      <w:r>
        <w:rPr>
          <w:rFonts w:ascii="Arial" w:eastAsia="Arial" w:hAnsi="Arial" w:cs="Arial"/>
          <w:b/>
          <w:color w:val="000000"/>
          <w:sz w:val="24"/>
          <w:szCs w:val="24"/>
        </w:rPr>
        <w:t xml:space="preserve">realizó actos anticipados de campaña </w:t>
      </w:r>
      <w:r>
        <w:rPr>
          <w:rFonts w:ascii="Arial" w:eastAsia="Arial" w:hAnsi="Arial" w:cs="Arial"/>
          <w:color w:val="000000"/>
          <w:sz w:val="24"/>
          <w:szCs w:val="24"/>
        </w:rPr>
        <w:t>con el objetivo de generar una ventaja y posicionamiento indebido frente al electorado, ello a partir de la publicación de su constancia de registro emitida por el Instituto Local, en su red social de Facebook, previo al inicio del periodo de campaña</w:t>
      </w:r>
      <w:r>
        <w:rPr>
          <w:rFonts w:ascii="Arial" w:eastAsia="Arial" w:hAnsi="Arial" w:cs="Arial"/>
          <w:sz w:val="24"/>
          <w:szCs w:val="24"/>
        </w:rPr>
        <w:t>. El contenido de la publicación cuestionada es el siguiente</w:t>
      </w:r>
      <w:r>
        <w:rPr>
          <w:rFonts w:ascii="Arial" w:eastAsia="Arial" w:hAnsi="Arial" w:cs="Arial"/>
          <w:color w:val="000000"/>
          <w:sz w:val="24"/>
          <w:szCs w:val="24"/>
        </w:rPr>
        <w:t xml:space="preserve">: </w:t>
      </w:r>
    </w:p>
    <w:p w14:paraId="3FAF9667" w14:textId="77777777" w:rsidR="004F0743" w:rsidRDefault="004F0743">
      <w:pPr>
        <w:pBdr>
          <w:top w:val="nil"/>
          <w:left w:val="nil"/>
          <w:bottom w:val="nil"/>
          <w:right w:val="nil"/>
          <w:between w:val="nil"/>
        </w:pBdr>
        <w:tabs>
          <w:tab w:val="left" w:pos="426"/>
        </w:tabs>
        <w:spacing w:line="360" w:lineRule="auto"/>
        <w:ind w:right="36"/>
        <w:jc w:val="both"/>
        <w:rPr>
          <w:rFonts w:ascii="Arial" w:eastAsia="Arial" w:hAnsi="Arial" w:cs="Arial"/>
          <w:b/>
          <w:color w:val="000000"/>
          <w:sz w:val="24"/>
          <w:szCs w:val="24"/>
          <w:u w:val="single"/>
        </w:rPr>
      </w:pPr>
    </w:p>
    <w:tbl>
      <w:tblPr>
        <w:tblStyle w:val="af2"/>
        <w:tblW w:w="9634" w:type="dxa"/>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400" w:firstRow="0" w:lastRow="0" w:firstColumn="0" w:lastColumn="0" w:noHBand="0" w:noVBand="1"/>
      </w:tblPr>
      <w:tblGrid>
        <w:gridCol w:w="3681"/>
        <w:gridCol w:w="5953"/>
      </w:tblGrid>
      <w:tr w:rsidR="004F0743" w14:paraId="3DA4EF2C" w14:textId="77777777" w:rsidTr="004F0743">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BFBFBF"/>
          </w:tcPr>
          <w:p w14:paraId="4E29D6B1" w14:textId="77777777" w:rsidR="004F0743" w:rsidRDefault="0034256B">
            <w:pPr>
              <w:tabs>
                <w:tab w:val="left" w:pos="426"/>
              </w:tabs>
              <w:spacing w:line="360" w:lineRule="auto"/>
              <w:ind w:right="36"/>
              <w:jc w:val="center"/>
              <w:rPr>
                <w:rFonts w:ascii="Arial" w:eastAsia="Arial" w:hAnsi="Arial" w:cs="Arial"/>
                <w:b/>
                <w:color w:val="000000"/>
                <w:sz w:val="24"/>
                <w:szCs w:val="24"/>
              </w:rPr>
            </w:pPr>
            <w:r>
              <w:rPr>
                <w:rFonts w:ascii="Arial" w:eastAsia="Arial" w:hAnsi="Arial" w:cs="Arial"/>
                <w:b/>
                <w:color w:val="000000"/>
                <w:sz w:val="24"/>
                <w:szCs w:val="24"/>
              </w:rPr>
              <w:t>Publicación</w:t>
            </w:r>
          </w:p>
        </w:tc>
        <w:tc>
          <w:tcPr>
            <w:tcW w:w="5953" w:type="dxa"/>
            <w:shd w:val="clear" w:color="auto" w:fill="BFBFBF"/>
          </w:tcPr>
          <w:p w14:paraId="361E2602" w14:textId="77777777" w:rsidR="004F0743" w:rsidRDefault="0034256B">
            <w:pPr>
              <w:tabs>
                <w:tab w:val="left" w:pos="426"/>
              </w:tabs>
              <w:spacing w:line="360" w:lineRule="auto"/>
              <w:ind w:right="36"/>
              <w:jc w:val="center"/>
              <w:rPr>
                <w:rFonts w:ascii="Arial" w:eastAsia="Arial" w:hAnsi="Arial" w:cs="Arial"/>
                <w:b/>
                <w:color w:val="000000"/>
                <w:sz w:val="24"/>
                <w:szCs w:val="24"/>
              </w:rPr>
            </w:pPr>
            <w:r>
              <w:rPr>
                <w:rFonts w:ascii="Arial" w:eastAsia="Arial" w:hAnsi="Arial" w:cs="Arial"/>
                <w:b/>
                <w:color w:val="000000"/>
                <w:sz w:val="24"/>
                <w:szCs w:val="24"/>
              </w:rPr>
              <w:t>Contenido e interacciones</w:t>
            </w:r>
          </w:p>
        </w:tc>
      </w:tr>
      <w:tr w:rsidR="004F0743" w14:paraId="48C90687" w14:textId="77777777" w:rsidTr="004F0743">
        <w:trPr>
          <w:trHeight w:val="692"/>
        </w:trPr>
        <w:tc>
          <w:tcPr>
            <w:tcW w:w="3681" w:type="dxa"/>
          </w:tcPr>
          <w:p w14:paraId="7B7839A8" w14:textId="77777777" w:rsidR="004F0743" w:rsidRDefault="0034256B">
            <w:pPr>
              <w:tabs>
                <w:tab w:val="left" w:pos="426"/>
              </w:tabs>
              <w:spacing w:line="360" w:lineRule="auto"/>
              <w:ind w:right="36"/>
              <w:jc w:val="right"/>
              <w:rPr>
                <w:rFonts w:ascii="Arial" w:eastAsia="Arial" w:hAnsi="Arial" w:cs="Arial"/>
                <w:color w:val="000000"/>
                <w:sz w:val="24"/>
                <w:szCs w:val="24"/>
              </w:rPr>
            </w:pPr>
            <w:r>
              <w:rPr>
                <w:noProof/>
              </w:rPr>
              <w:drawing>
                <wp:inline distT="0" distB="0" distL="0" distR="0" wp14:anchorId="030E5A15" wp14:editId="58A28988">
                  <wp:extent cx="2147283" cy="3161301"/>
                  <wp:effectExtent l="0" t="0" r="0" b="0"/>
                  <wp:docPr id="5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45736" t="21742" r="28389" b="10521"/>
                          <a:stretch>
                            <a:fillRect/>
                          </a:stretch>
                        </pic:blipFill>
                        <pic:spPr>
                          <a:xfrm>
                            <a:off x="0" y="0"/>
                            <a:ext cx="2147283" cy="3161301"/>
                          </a:xfrm>
                          <a:prstGeom prst="rect">
                            <a:avLst/>
                          </a:prstGeom>
                          <a:ln/>
                        </pic:spPr>
                      </pic:pic>
                    </a:graphicData>
                  </a:graphic>
                </wp:inline>
              </w:drawing>
            </w:r>
          </w:p>
        </w:tc>
        <w:tc>
          <w:tcPr>
            <w:tcW w:w="5953" w:type="dxa"/>
          </w:tcPr>
          <w:p w14:paraId="4E48D798" w14:textId="77777777" w:rsidR="004F0743" w:rsidRDefault="0034256B">
            <w:pPr>
              <w:tabs>
                <w:tab w:val="left" w:pos="426"/>
              </w:tabs>
              <w:spacing w:line="360" w:lineRule="auto"/>
              <w:ind w:right="36"/>
              <w:jc w:val="both"/>
              <w:rPr>
                <w:rFonts w:ascii="Arial" w:eastAsia="Arial" w:hAnsi="Arial" w:cs="Arial"/>
                <w:b/>
                <w:color w:val="000000"/>
                <w:sz w:val="20"/>
                <w:szCs w:val="20"/>
              </w:rPr>
            </w:pPr>
            <w:r>
              <w:rPr>
                <w:rFonts w:ascii="Arial" w:eastAsia="Arial" w:hAnsi="Arial" w:cs="Arial"/>
                <w:b/>
                <w:color w:val="000000"/>
                <w:sz w:val="20"/>
                <w:szCs w:val="20"/>
                <w:u w:val="single"/>
              </w:rPr>
              <w:t>Encabezado</w:t>
            </w:r>
            <w:r>
              <w:rPr>
                <w:rFonts w:ascii="Arial" w:eastAsia="Arial" w:hAnsi="Arial" w:cs="Arial"/>
                <w:b/>
                <w:color w:val="000000"/>
                <w:sz w:val="20"/>
                <w:szCs w:val="20"/>
              </w:rPr>
              <w:t xml:space="preserve">: </w:t>
            </w:r>
          </w:p>
          <w:p w14:paraId="5B83BBE8" w14:textId="77777777" w:rsidR="004F0743" w:rsidRDefault="0034256B">
            <w:pPr>
              <w:tabs>
                <w:tab w:val="left" w:pos="426"/>
              </w:tabs>
              <w:spacing w:line="360" w:lineRule="auto"/>
              <w:ind w:right="36"/>
              <w:jc w:val="both"/>
              <w:rPr>
                <w:rFonts w:ascii="Arial" w:eastAsia="Arial" w:hAnsi="Arial" w:cs="Arial"/>
                <w:i/>
                <w:color w:val="000000"/>
                <w:sz w:val="20"/>
                <w:szCs w:val="20"/>
              </w:rPr>
            </w:pPr>
            <w:r>
              <w:rPr>
                <w:rFonts w:ascii="Arial" w:eastAsia="Arial" w:hAnsi="Arial" w:cs="Arial"/>
                <w:i/>
                <w:color w:val="000000"/>
                <w:sz w:val="20"/>
                <w:szCs w:val="20"/>
              </w:rPr>
              <w:t>“Viene en camino la transformación de Aguascalientes [emoji]”</w:t>
            </w:r>
          </w:p>
          <w:p w14:paraId="67CC9D61" w14:textId="77777777" w:rsidR="004F0743" w:rsidRDefault="004F0743">
            <w:pPr>
              <w:tabs>
                <w:tab w:val="left" w:pos="426"/>
              </w:tabs>
              <w:spacing w:line="360" w:lineRule="auto"/>
              <w:ind w:right="36"/>
              <w:jc w:val="both"/>
              <w:rPr>
                <w:rFonts w:ascii="Arial" w:eastAsia="Arial" w:hAnsi="Arial" w:cs="Arial"/>
                <w:color w:val="000000"/>
                <w:sz w:val="20"/>
                <w:szCs w:val="20"/>
              </w:rPr>
            </w:pPr>
          </w:p>
          <w:p w14:paraId="2FBE73DF" w14:textId="77777777" w:rsidR="004F0743" w:rsidRDefault="0034256B">
            <w:pPr>
              <w:tabs>
                <w:tab w:val="left" w:pos="426"/>
              </w:tabs>
              <w:spacing w:line="360" w:lineRule="auto"/>
              <w:ind w:right="36"/>
              <w:jc w:val="both"/>
              <w:rPr>
                <w:rFonts w:ascii="Arial" w:eastAsia="Arial" w:hAnsi="Arial" w:cs="Arial"/>
                <w:b/>
                <w:color w:val="000000"/>
                <w:sz w:val="20"/>
                <w:szCs w:val="20"/>
                <w:u w:val="single"/>
              </w:rPr>
            </w:pPr>
            <w:r>
              <w:rPr>
                <w:rFonts w:ascii="Arial" w:eastAsia="Arial" w:hAnsi="Arial" w:cs="Arial"/>
                <w:b/>
                <w:color w:val="000000"/>
                <w:sz w:val="20"/>
                <w:szCs w:val="20"/>
                <w:u w:val="single"/>
              </w:rPr>
              <w:t xml:space="preserve">Contenido de la imagen publicada: </w:t>
            </w:r>
          </w:p>
          <w:p w14:paraId="386FFF7D" w14:textId="77777777" w:rsidR="004F0743" w:rsidRDefault="0034256B">
            <w:pPr>
              <w:tabs>
                <w:tab w:val="left" w:pos="426"/>
              </w:tabs>
              <w:spacing w:line="360" w:lineRule="auto"/>
              <w:ind w:right="36"/>
              <w:jc w:val="both"/>
              <w:rPr>
                <w:rFonts w:ascii="Arial" w:eastAsia="Arial" w:hAnsi="Arial" w:cs="Arial"/>
                <w:color w:val="000000"/>
                <w:sz w:val="20"/>
                <w:szCs w:val="20"/>
              </w:rPr>
            </w:pPr>
            <w:r>
              <w:rPr>
                <w:rFonts w:ascii="Arial" w:eastAsia="Arial" w:hAnsi="Arial" w:cs="Arial"/>
                <w:color w:val="000000"/>
                <w:sz w:val="20"/>
                <w:szCs w:val="20"/>
              </w:rPr>
              <w:t>“[Logotipos del Instituto Local y PEL]</w:t>
            </w:r>
          </w:p>
          <w:p w14:paraId="3BA93135" w14:textId="77777777" w:rsidR="004F0743" w:rsidRDefault="0034256B">
            <w:pPr>
              <w:tabs>
                <w:tab w:val="left" w:pos="426"/>
              </w:tabs>
              <w:spacing w:line="360" w:lineRule="auto"/>
              <w:ind w:right="36"/>
              <w:jc w:val="both"/>
              <w:rPr>
                <w:rFonts w:ascii="Arial" w:eastAsia="Arial" w:hAnsi="Arial" w:cs="Arial"/>
                <w:b/>
                <w:i/>
                <w:color w:val="000000"/>
                <w:sz w:val="20"/>
                <w:szCs w:val="20"/>
              </w:rPr>
            </w:pPr>
            <w:r>
              <w:rPr>
                <w:rFonts w:ascii="Arial" w:eastAsia="Arial" w:hAnsi="Arial" w:cs="Arial"/>
                <w:b/>
                <w:i/>
                <w:color w:val="000000"/>
                <w:sz w:val="20"/>
                <w:szCs w:val="20"/>
              </w:rPr>
              <w:t>A QUIEN CORRESPONDA:</w:t>
            </w:r>
          </w:p>
          <w:p w14:paraId="64D18D14" w14:textId="77777777" w:rsidR="004F0743" w:rsidRDefault="0034256B">
            <w:pPr>
              <w:tabs>
                <w:tab w:val="left" w:pos="426"/>
              </w:tabs>
              <w:spacing w:line="360" w:lineRule="auto"/>
              <w:ind w:right="36"/>
              <w:jc w:val="both"/>
              <w:rPr>
                <w:rFonts w:ascii="Arial" w:eastAsia="Arial" w:hAnsi="Arial" w:cs="Arial"/>
                <w:i/>
                <w:color w:val="000000"/>
                <w:sz w:val="20"/>
                <w:szCs w:val="20"/>
              </w:rPr>
            </w:pPr>
            <w:r>
              <w:rPr>
                <w:rFonts w:ascii="Arial" w:eastAsia="Arial" w:hAnsi="Arial" w:cs="Arial"/>
                <w:i/>
                <w:color w:val="000000"/>
                <w:sz w:val="20"/>
                <w:szCs w:val="20"/>
              </w:rPr>
              <w:t xml:space="preserve">El suscrito, en su carácter de Secretario Ejecutivo del Instituto Estatal Electoral de Aguascalientes, y con fundamento en lo dispuesto por el artículo 76 fracciones XI y XIX del Código Electoral para el Estado de Aguascalientes </w:t>
            </w:r>
          </w:p>
          <w:p w14:paraId="561E1567" w14:textId="77777777" w:rsidR="004F0743" w:rsidRDefault="0034256B">
            <w:pPr>
              <w:tabs>
                <w:tab w:val="left" w:pos="426"/>
              </w:tabs>
              <w:spacing w:line="360" w:lineRule="auto"/>
              <w:ind w:right="36"/>
              <w:jc w:val="center"/>
              <w:rPr>
                <w:rFonts w:ascii="Arial" w:eastAsia="Arial" w:hAnsi="Arial" w:cs="Arial"/>
                <w:b/>
                <w:i/>
                <w:color w:val="000000"/>
                <w:sz w:val="20"/>
                <w:szCs w:val="20"/>
              </w:rPr>
            </w:pPr>
            <w:r>
              <w:rPr>
                <w:rFonts w:ascii="Arial" w:eastAsia="Arial" w:hAnsi="Arial" w:cs="Arial"/>
                <w:b/>
                <w:i/>
                <w:color w:val="000000"/>
                <w:sz w:val="20"/>
                <w:szCs w:val="20"/>
              </w:rPr>
              <w:t>CERTIFICA</w:t>
            </w:r>
          </w:p>
          <w:p w14:paraId="5B27E1CA" w14:textId="77777777" w:rsidR="004F0743" w:rsidRDefault="0034256B">
            <w:pPr>
              <w:tabs>
                <w:tab w:val="left" w:pos="426"/>
              </w:tabs>
              <w:spacing w:line="360" w:lineRule="auto"/>
              <w:ind w:right="36"/>
              <w:jc w:val="both"/>
              <w:rPr>
                <w:rFonts w:ascii="Arial" w:eastAsia="Arial" w:hAnsi="Arial" w:cs="Arial"/>
                <w:i/>
                <w:color w:val="000000"/>
                <w:sz w:val="20"/>
                <w:szCs w:val="20"/>
              </w:rPr>
            </w:pPr>
            <w:r>
              <w:rPr>
                <w:rFonts w:ascii="Arial" w:eastAsia="Arial" w:hAnsi="Arial" w:cs="Arial"/>
                <w:i/>
                <w:color w:val="000000"/>
                <w:sz w:val="20"/>
                <w:szCs w:val="20"/>
              </w:rPr>
              <w:t xml:space="preserve">Que derivado de la RESOLUCIÓN DEL CONSEJO GENERAL DEL INSTITUTO ESTATAL ELECTORAL MEDIANTE LA CUAL SE ATIENDE LA SOLICITUD DE REGISTRO DE CANDIDATURA PRESENTADA POR EL PARTIDO POLÍTICO NACIONAL MORENA AL CARGO DE LA GUBERNATURA DEL ESTADO DE AGUASCALIENTES PARA CONTENDER EN EL PROCESO ELECTORAL LOCAL 2021-2022 identificada con la clave CG-R-09/22 emitida en sesión extraordinaria especial en fecha veinticinco de marzo de dos mil veintidós se aprobó el registro de </w:t>
            </w:r>
          </w:p>
          <w:p w14:paraId="240DE644" w14:textId="77777777" w:rsidR="004F0743" w:rsidRDefault="0034256B">
            <w:pPr>
              <w:tabs>
                <w:tab w:val="left" w:pos="426"/>
              </w:tabs>
              <w:spacing w:line="360" w:lineRule="auto"/>
              <w:ind w:right="36"/>
              <w:jc w:val="center"/>
              <w:rPr>
                <w:rFonts w:ascii="Arial" w:eastAsia="Arial" w:hAnsi="Arial" w:cs="Arial"/>
                <w:b/>
                <w:i/>
                <w:color w:val="000000"/>
                <w:sz w:val="20"/>
                <w:szCs w:val="20"/>
              </w:rPr>
            </w:pPr>
            <w:r>
              <w:rPr>
                <w:rFonts w:ascii="Arial" w:eastAsia="Arial" w:hAnsi="Arial" w:cs="Arial"/>
                <w:b/>
                <w:i/>
                <w:color w:val="000000"/>
                <w:sz w:val="20"/>
                <w:szCs w:val="20"/>
              </w:rPr>
              <w:t>NORA RUVALCABA GÁMEZ</w:t>
            </w:r>
          </w:p>
          <w:p w14:paraId="4447770D" w14:textId="77777777" w:rsidR="004F0743" w:rsidRDefault="0034256B">
            <w:pPr>
              <w:tabs>
                <w:tab w:val="left" w:pos="426"/>
              </w:tabs>
              <w:spacing w:line="360" w:lineRule="auto"/>
              <w:ind w:right="36"/>
              <w:jc w:val="both"/>
              <w:rPr>
                <w:rFonts w:ascii="Arial" w:eastAsia="Arial" w:hAnsi="Arial" w:cs="Arial"/>
                <w:i/>
                <w:color w:val="000000"/>
                <w:sz w:val="20"/>
                <w:szCs w:val="20"/>
              </w:rPr>
            </w:pPr>
            <w:r>
              <w:rPr>
                <w:rFonts w:ascii="Arial" w:eastAsia="Arial" w:hAnsi="Arial" w:cs="Arial"/>
                <w:i/>
                <w:color w:val="000000"/>
                <w:sz w:val="20"/>
                <w:szCs w:val="20"/>
              </w:rPr>
              <w:t>Como CANDIDATA A LA GUBERNATURA CONSTITUCIONAL DEL ESTADO postulada por MORENA para contender en el Proceso Electoral Local 2021-2022.</w:t>
            </w:r>
          </w:p>
          <w:p w14:paraId="04AEF7FB" w14:textId="77777777" w:rsidR="004F0743" w:rsidRDefault="0034256B">
            <w:pPr>
              <w:tabs>
                <w:tab w:val="left" w:pos="426"/>
              </w:tabs>
              <w:spacing w:line="360" w:lineRule="auto"/>
              <w:ind w:right="36"/>
              <w:jc w:val="both"/>
              <w:rPr>
                <w:rFonts w:ascii="Arial" w:eastAsia="Arial" w:hAnsi="Arial" w:cs="Arial"/>
                <w:i/>
                <w:color w:val="000000"/>
                <w:sz w:val="20"/>
                <w:szCs w:val="20"/>
              </w:rPr>
            </w:pPr>
            <w:r>
              <w:rPr>
                <w:rFonts w:ascii="Arial" w:eastAsia="Arial" w:hAnsi="Arial" w:cs="Arial"/>
                <w:i/>
                <w:color w:val="000000"/>
                <w:sz w:val="20"/>
                <w:szCs w:val="20"/>
              </w:rPr>
              <w:t>Se extiende la presente en cumplimiento a lo ordenado por el Consejo General del Instituto Estatal Electoral en la citada resolución en su punto resolutivo TERCERO, en relación con el artículo 75 fracción VII del Código Electoral para el Estado de Aguascalientes, en la ciudad de Aguascalientes, capital del Estado del mismo nombre, a los veinticinco días del mes de marzo de dos mil veintidós. Doy fe</w:t>
            </w:r>
          </w:p>
          <w:p w14:paraId="476C0BE2" w14:textId="77777777" w:rsidR="004F0743" w:rsidRDefault="0034256B">
            <w:pPr>
              <w:tabs>
                <w:tab w:val="left" w:pos="426"/>
              </w:tabs>
              <w:spacing w:line="360" w:lineRule="auto"/>
              <w:ind w:right="36"/>
              <w:jc w:val="center"/>
              <w:rPr>
                <w:rFonts w:ascii="Arial" w:eastAsia="Arial" w:hAnsi="Arial" w:cs="Arial"/>
                <w:i/>
                <w:color w:val="000000"/>
                <w:sz w:val="20"/>
                <w:szCs w:val="20"/>
              </w:rPr>
            </w:pPr>
            <w:r>
              <w:rPr>
                <w:rFonts w:ascii="Arial" w:eastAsia="Arial" w:hAnsi="Arial" w:cs="Arial"/>
                <w:i/>
                <w:color w:val="000000"/>
                <w:sz w:val="20"/>
                <w:szCs w:val="20"/>
              </w:rPr>
              <w:t>ATENTAMENTE</w:t>
            </w:r>
          </w:p>
          <w:p w14:paraId="1710C3AE" w14:textId="77777777" w:rsidR="004F0743" w:rsidRDefault="0034256B">
            <w:pPr>
              <w:tabs>
                <w:tab w:val="left" w:pos="426"/>
              </w:tabs>
              <w:spacing w:line="360" w:lineRule="auto"/>
              <w:ind w:right="36"/>
              <w:jc w:val="center"/>
              <w:rPr>
                <w:rFonts w:ascii="Arial" w:eastAsia="Arial" w:hAnsi="Arial" w:cs="Arial"/>
                <w:i/>
                <w:color w:val="000000"/>
                <w:sz w:val="20"/>
                <w:szCs w:val="20"/>
              </w:rPr>
            </w:pPr>
            <w:r>
              <w:rPr>
                <w:rFonts w:ascii="Arial" w:eastAsia="Arial" w:hAnsi="Arial" w:cs="Arial"/>
                <w:i/>
                <w:color w:val="000000"/>
                <w:sz w:val="20"/>
                <w:szCs w:val="20"/>
              </w:rPr>
              <w:lastRenderedPageBreak/>
              <w:t>EL SECRETARIO EJECUTIVO DEL CONSEJO GENERAL</w:t>
            </w:r>
          </w:p>
          <w:p w14:paraId="792FB73C" w14:textId="77777777" w:rsidR="004F0743" w:rsidRDefault="0034256B">
            <w:pPr>
              <w:tabs>
                <w:tab w:val="left" w:pos="426"/>
              </w:tabs>
              <w:spacing w:line="360" w:lineRule="auto"/>
              <w:ind w:right="36"/>
              <w:jc w:val="center"/>
              <w:rPr>
                <w:rFonts w:ascii="Arial" w:eastAsia="Arial" w:hAnsi="Arial" w:cs="Arial"/>
                <w:i/>
                <w:color w:val="000000"/>
                <w:sz w:val="20"/>
                <w:szCs w:val="20"/>
              </w:rPr>
            </w:pPr>
            <w:r>
              <w:rPr>
                <w:rFonts w:ascii="Arial" w:eastAsia="Arial" w:hAnsi="Arial" w:cs="Arial"/>
                <w:i/>
                <w:color w:val="000000"/>
                <w:sz w:val="20"/>
                <w:szCs w:val="20"/>
              </w:rPr>
              <w:t>M. EN D. SANDOR EZEQUIEL HERNÁNDEZ LARA</w:t>
            </w:r>
          </w:p>
          <w:p w14:paraId="36956E83" w14:textId="77777777" w:rsidR="004F0743" w:rsidRDefault="0034256B">
            <w:pPr>
              <w:tabs>
                <w:tab w:val="left" w:pos="426"/>
              </w:tabs>
              <w:spacing w:line="360" w:lineRule="auto"/>
              <w:ind w:right="36"/>
              <w:jc w:val="both"/>
              <w:rPr>
                <w:rFonts w:ascii="Arial" w:eastAsia="Arial" w:hAnsi="Arial" w:cs="Arial"/>
                <w:color w:val="000000"/>
                <w:sz w:val="20"/>
                <w:szCs w:val="20"/>
              </w:rPr>
            </w:pPr>
            <w:r>
              <w:rPr>
                <w:rFonts w:ascii="Arial" w:eastAsia="Arial" w:hAnsi="Arial" w:cs="Arial"/>
                <w:color w:val="000000"/>
                <w:sz w:val="20"/>
                <w:szCs w:val="20"/>
              </w:rPr>
              <w:t>[Sello del Instituto Local y firma del Secretario Ejecutivo]”</w:t>
            </w:r>
          </w:p>
          <w:p w14:paraId="1DBD58DB" w14:textId="77777777" w:rsidR="004F0743" w:rsidRDefault="004F0743">
            <w:pPr>
              <w:tabs>
                <w:tab w:val="left" w:pos="426"/>
              </w:tabs>
              <w:spacing w:line="360" w:lineRule="auto"/>
              <w:ind w:right="36"/>
              <w:jc w:val="both"/>
              <w:rPr>
                <w:rFonts w:ascii="Arial" w:eastAsia="Arial" w:hAnsi="Arial" w:cs="Arial"/>
                <w:color w:val="000000"/>
                <w:sz w:val="20"/>
                <w:szCs w:val="20"/>
              </w:rPr>
            </w:pPr>
          </w:p>
          <w:p w14:paraId="0406850E" w14:textId="77777777" w:rsidR="004F0743" w:rsidRDefault="0034256B">
            <w:pPr>
              <w:tabs>
                <w:tab w:val="left" w:pos="426"/>
              </w:tabs>
              <w:spacing w:line="360" w:lineRule="auto"/>
              <w:ind w:right="36"/>
              <w:jc w:val="both"/>
              <w:rPr>
                <w:rFonts w:ascii="Arial" w:eastAsia="Arial" w:hAnsi="Arial" w:cs="Arial"/>
                <w:b/>
                <w:color w:val="000000"/>
                <w:sz w:val="20"/>
                <w:szCs w:val="20"/>
                <w:u w:val="single"/>
              </w:rPr>
            </w:pPr>
            <w:r>
              <w:rPr>
                <w:rFonts w:ascii="Arial" w:eastAsia="Arial" w:hAnsi="Arial" w:cs="Arial"/>
                <w:b/>
                <w:color w:val="000000"/>
                <w:sz w:val="20"/>
                <w:szCs w:val="20"/>
                <w:u w:val="single"/>
              </w:rPr>
              <w:t xml:space="preserve">Interacciones: </w:t>
            </w:r>
          </w:p>
          <w:p w14:paraId="092B261B" w14:textId="77777777" w:rsidR="004F0743" w:rsidRDefault="0034256B">
            <w:pPr>
              <w:numPr>
                <w:ilvl w:val="0"/>
                <w:numId w:val="4"/>
              </w:numPr>
              <w:pBdr>
                <w:top w:val="nil"/>
                <w:left w:val="nil"/>
                <w:bottom w:val="nil"/>
                <w:right w:val="nil"/>
                <w:between w:val="nil"/>
              </w:pBdr>
              <w:tabs>
                <w:tab w:val="left" w:pos="288"/>
              </w:tabs>
              <w:spacing w:line="360" w:lineRule="auto"/>
              <w:ind w:left="430" w:right="36" w:hanging="426"/>
              <w:jc w:val="both"/>
              <w:rPr>
                <w:rFonts w:ascii="Arial" w:eastAsia="Arial" w:hAnsi="Arial" w:cs="Arial"/>
                <w:color w:val="000000"/>
                <w:sz w:val="20"/>
                <w:szCs w:val="20"/>
              </w:rPr>
            </w:pPr>
            <w:r>
              <w:rPr>
                <w:rFonts w:ascii="Arial" w:eastAsia="Arial" w:hAnsi="Arial" w:cs="Arial"/>
                <w:color w:val="000000"/>
                <w:sz w:val="20"/>
                <w:szCs w:val="20"/>
              </w:rPr>
              <w:t xml:space="preserve">1,318 reacciones </w:t>
            </w:r>
          </w:p>
          <w:p w14:paraId="5761A03D" w14:textId="77777777" w:rsidR="004F0743" w:rsidRDefault="0034256B">
            <w:pPr>
              <w:numPr>
                <w:ilvl w:val="0"/>
                <w:numId w:val="4"/>
              </w:numPr>
              <w:pBdr>
                <w:top w:val="nil"/>
                <w:left w:val="nil"/>
                <w:bottom w:val="nil"/>
                <w:right w:val="nil"/>
                <w:between w:val="nil"/>
              </w:pBdr>
              <w:tabs>
                <w:tab w:val="left" w:pos="288"/>
              </w:tabs>
              <w:spacing w:line="360" w:lineRule="auto"/>
              <w:ind w:left="430" w:right="36" w:hanging="426"/>
              <w:jc w:val="both"/>
              <w:rPr>
                <w:rFonts w:ascii="Arial" w:eastAsia="Arial" w:hAnsi="Arial" w:cs="Arial"/>
                <w:color w:val="000000"/>
                <w:sz w:val="20"/>
                <w:szCs w:val="20"/>
              </w:rPr>
            </w:pPr>
            <w:r>
              <w:rPr>
                <w:rFonts w:ascii="Arial" w:eastAsia="Arial" w:hAnsi="Arial" w:cs="Arial"/>
                <w:color w:val="000000"/>
                <w:sz w:val="20"/>
                <w:szCs w:val="20"/>
              </w:rPr>
              <w:t xml:space="preserve">305 comentarios </w:t>
            </w:r>
          </w:p>
          <w:p w14:paraId="574D3A79" w14:textId="77777777" w:rsidR="004F0743" w:rsidRDefault="0034256B">
            <w:pPr>
              <w:numPr>
                <w:ilvl w:val="0"/>
                <w:numId w:val="4"/>
              </w:numPr>
              <w:pBdr>
                <w:top w:val="nil"/>
                <w:left w:val="nil"/>
                <w:bottom w:val="nil"/>
                <w:right w:val="nil"/>
                <w:between w:val="nil"/>
              </w:pBdr>
              <w:tabs>
                <w:tab w:val="left" w:pos="288"/>
              </w:tabs>
              <w:spacing w:line="360" w:lineRule="auto"/>
              <w:ind w:left="430" w:right="36" w:hanging="426"/>
              <w:jc w:val="both"/>
              <w:rPr>
                <w:rFonts w:ascii="Arial" w:eastAsia="Arial" w:hAnsi="Arial" w:cs="Arial"/>
                <w:color w:val="000000"/>
                <w:sz w:val="24"/>
                <w:szCs w:val="24"/>
              </w:rPr>
            </w:pPr>
            <w:r>
              <w:rPr>
                <w:rFonts w:ascii="Arial" w:eastAsia="Arial" w:hAnsi="Arial" w:cs="Arial"/>
                <w:color w:val="000000"/>
                <w:sz w:val="20"/>
                <w:szCs w:val="20"/>
              </w:rPr>
              <w:t>207 veces compartido</w:t>
            </w:r>
          </w:p>
        </w:tc>
      </w:tr>
    </w:tbl>
    <w:p w14:paraId="630C4953" w14:textId="77777777" w:rsidR="004F0743" w:rsidRDefault="004F0743">
      <w:pPr>
        <w:pBdr>
          <w:top w:val="nil"/>
          <w:left w:val="nil"/>
          <w:bottom w:val="nil"/>
          <w:right w:val="nil"/>
          <w:between w:val="nil"/>
        </w:pBdr>
        <w:tabs>
          <w:tab w:val="left" w:pos="426"/>
        </w:tabs>
        <w:spacing w:line="360" w:lineRule="auto"/>
        <w:ind w:right="36"/>
        <w:jc w:val="both"/>
        <w:rPr>
          <w:rFonts w:ascii="Arial" w:eastAsia="Arial" w:hAnsi="Arial" w:cs="Arial"/>
          <w:b/>
          <w:color w:val="000000"/>
          <w:sz w:val="24"/>
          <w:szCs w:val="24"/>
          <w:u w:val="single"/>
        </w:rPr>
      </w:pPr>
    </w:p>
    <w:p w14:paraId="6965DEA6" w14:textId="77777777" w:rsidR="004F0743" w:rsidRDefault="004F0743">
      <w:pPr>
        <w:pBdr>
          <w:top w:val="nil"/>
          <w:left w:val="nil"/>
          <w:bottom w:val="nil"/>
          <w:right w:val="nil"/>
          <w:between w:val="nil"/>
        </w:pBdr>
        <w:rPr>
          <w:color w:val="000000"/>
          <w:sz w:val="18"/>
          <w:szCs w:val="18"/>
        </w:rPr>
      </w:pPr>
    </w:p>
    <w:p w14:paraId="041B7CEC" w14:textId="77777777" w:rsidR="004F0743" w:rsidRDefault="0034256B">
      <w:pPr>
        <w:pBdr>
          <w:top w:val="nil"/>
          <w:left w:val="nil"/>
          <w:bottom w:val="nil"/>
          <w:right w:val="nil"/>
          <w:between w:val="nil"/>
        </w:pBdr>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1.2. En contra de la coalición. </w:t>
      </w:r>
      <w:r>
        <w:rPr>
          <w:rFonts w:ascii="Arial" w:eastAsia="Arial" w:hAnsi="Arial" w:cs="Arial"/>
          <w:color w:val="000000"/>
          <w:sz w:val="24"/>
          <w:szCs w:val="24"/>
        </w:rPr>
        <w:t xml:space="preserve">El denunciante menciona que MORENA </w:t>
      </w:r>
      <w:r>
        <w:rPr>
          <w:rFonts w:ascii="Arial" w:eastAsia="Arial" w:hAnsi="Arial" w:cs="Arial"/>
          <w:b/>
          <w:color w:val="000000"/>
          <w:sz w:val="24"/>
          <w:szCs w:val="24"/>
        </w:rPr>
        <w:t xml:space="preserve">incumplió su deber de cuidar </w:t>
      </w:r>
      <w:r>
        <w:rPr>
          <w:rFonts w:ascii="Arial" w:eastAsia="Arial" w:hAnsi="Arial" w:cs="Arial"/>
          <w:color w:val="000000"/>
          <w:sz w:val="24"/>
          <w:szCs w:val="24"/>
        </w:rPr>
        <w:t>que la precandidata no incumpliera la normativa electoral.</w:t>
      </w:r>
    </w:p>
    <w:p w14:paraId="2D940B74" w14:textId="77777777" w:rsidR="004F0743" w:rsidRDefault="004F0743">
      <w:pPr>
        <w:pBdr>
          <w:top w:val="nil"/>
          <w:left w:val="nil"/>
          <w:bottom w:val="nil"/>
          <w:right w:val="nil"/>
          <w:between w:val="nil"/>
        </w:pBdr>
        <w:spacing w:line="360" w:lineRule="auto"/>
        <w:ind w:right="36"/>
        <w:jc w:val="both"/>
        <w:rPr>
          <w:rFonts w:ascii="Arial" w:eastAsia="Arial" w:hAnsi="Arial" w:cs="Arial"/>
          <w:sz w:val="24"/>
          <w:szCs w:val="24"/>
        </w:rPr>
      </w:pPr>
    </w:p>
    <w:p w14:paraId="238830F1" w14:textId="77777777" w:rsidR="004F0743" w:rsidRDefault="0034256B">
      <w:pPr>
        <w:pBdr>
          <w:top w:val="nil"/>
          <w:left w:val="nil"/>
          <w:bottom w:val="nil"/>
          <w:right w:val="nil"/>
          <w:between w:val="nil"/>
        </w:pBdr>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1.3 En contra de quienes resulten responsables</w:t>
      </w:r>
      <w:r>
        <w:rPr>
          <w:rFonts w:ascii="Arial" w:eastAsia="Arial" w:hAnsi="Arial" w:cs="Arial"/>
          <w:color w:val="000000"/>
          <w:sz w:val="24"/>
          <w:szCs w:val="24"/>
        </w:rPr>
        <w:t xml:space="preserve">. El PAN sostiene que las interacciones que se derivaron de la publicación cuestionada, </w:t>
      </w:r>
      <w:r>
        <w:rPr>
          <w:rFonts w:ascii="Arial" w:eastAsia="Arial" w:hAnsi="Arial" w:cs="Arial"/>
          <w:sz w:val="24"/>
          <w:szCs w:val="24"/>
        </w:rPr>
        <w:t>también</w:t>
      </w:r>
      <w:r>
        <w:rPr>
          <w:rFonts w:ascii="Arial" w:eastAsia="Arial" w:hAnsi="Arial" w:cs="Arial"/>
          <w:color w:val="000000"/>
          <w:sz w:val="24"/>
          <w:szCs w:val="24"/>
        </w:rPr>
        <w:t xml:space="preserve"> configuran la infracción de actos anticipados de campaña, ello porque se intenta posicionar indebidamente el nombre y la imagen de la candidata de MORENA. </w:t>
      </w:r>
    </w:p>
    <w:p w14:paraId="3ACA5230" w14:textId="77777777" w:rsidR="004F0743" w:rsidRDefault="004F0743">
      <w:pPr>
        <w:pBdr>
          <w:top w:val="nil"/>
          <w:left w:val="nil"/>
          <w:bottom w:val="nil"/>
          <w:right w:val="nil"/>
          <w:between w:val="nil"/>
        </w:pBdr>
        <w:rPr>
          <w:color w:val="000000"/>
        </w:rPr>
      </w:pPr>
    </w:p>
    <w:p w14:paraId="7EBFBD98" w14:textId="77777777" w:rsidR="004F0743" w:rsidRDefault="0034256B">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2. Defensa. </w:t>
      </w:r>
      <w:r>
        <w:rPr>
          <w:rFonts w:ascii="Arial" w:eastAsia="Arial" w:hAnsi="Arial" w:cs="Arial"/>
          <w:color w:val="000000"/>
          <w:sz w:val="24"/>
          <w:szCs w:val="24"/>
        </w:rPr>
        <w:t xml:space="preserve">La candidata y el partido político como partes denunciadas, manifestaron lo siguiente: </w:t>
      </w:r>
    </w:p>
    <w:p w14:paraId="1CD97F56" w14:textId="77777777" w:rsidR="004F0743" w:rsidRDefault="0034256B">
      <w:pPr>
        <w:numPr>
          <w:ilvl w:val="0"/>
          <w:numId w:val="2"/>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Argumentan que la autoridad administrativa no debió admitir la denuncia, </w:t>
      </w:r>
      <w:r>
        <w:rPr>
          <w:rFonts w:ascii="Arial" w:eastAsia="Arial" w:hAnsi="Arial" w:cs="Arial"/>
          <w:sz w:val="24"/>
          <w:szCs w:val="24"/>
        </w:rPr>
        <w:t>al no existir relación entre los hechos planteados y las probanzas ofrecidas,</w:t>
      </w:r>
      <w:r>
        <w:rPr>
          <w:rFonts w:ascii="Arial" w:eastAsia="Arial" w:hAnsi="Arial" w:cs="Arial"/>
          <w:color w:val="000000"/>
          <w:sz w:val="24"/>
          <w:szCs w:val="24"/>
        </w:rPr>
        <w:t xml:space="preserve"> pues </w:t>
      </w:r>
      <w:r>
        <w:rPr>
          <w:rFonts w:ascii="Arial" w:eastAsia="Arial" w:hAnsi="Arial" w:cs="Arial"/>
          <w:sz w:val="24"/>
          <w:szCs w:val="24"/>
        </w:rPr>
        <w:t>estas no</w:t>
      </w:r>
      <w:r>
        <w:rPr>
          <w:rFonts w:ascii="Arial" w:eastAsia="Arial" w:hAnsi="Arial" w:cs="Arial"/>
          <w:color w:val="000000"/>
          <w:sz w:val="24"/>
          <w:szCs w:val="24"/>
        </w:rPr>
        <w:t xml:space="preserve"> </w:t>
      </w:r>
      <w:r>
        <w:rPr>
          <w:rFonts w:ascii="Arial" w:eastAsia="Arial" w:hAnsi="Arial" w:cs="Arial"/>
          <w:sz w:val="24"/>
          <w:szCs w:val="24"/>
        </w:rPr>
        <w:t>logran</w:t>
      </w:r>
      <w:r>
        <w:rPr>
          <w:rFonts w:ascii="Arial" w:eastAsia="Arial" w:hAnsi="Arial" w:cs="Arial"/>
          <w:color w:val="000000"/>
          <w:sz w:val="24"/>
          <w:szCs w:val="24"/>
        </w:rPr>
        <w:t xml:space="preserve"> </w:t>
      </w:r>
      <w:r>
        <w:rPr>
          <w:rFonts w:ascii="Arial" w:eastAsia="Arial" w:hAnsi="Arial" w:cs="Arial"/>
          <w:sz w:val="24"/>
          <w:szCs w:val="24"/>
        </w:rPr>
        <w:t>acreditar</w:t>
      </w:r>
      <w:r>
        <w:rPr>
          <w:rFonts w:ascii="Arial" w:eastAsia="Arial" w:hAnsi="Arial" w:cs="Arial"/>
          <w:color w:val="000000"/>
          <w:sz w:val="24"/>
          <w:szCs w:val="24"/>
        </w:rPr>
        <w:t xml:space="preserve"> que la candidata cuestionada es la propietaria de la cuenta de Facebook</w:t>
      </w:r>
      <w:r>
        <w:rPr>
          <w:rFonts w:ascii="Arial" w:eastAsia="Arial" w:hAnsi="Arial" w:cs="Arial"/>
          <w:sz w:val="24"/>
          <w:szCs w:val="24"/>
        </w:rPr>
        <w:t>.</w:t>
      </w:r>
    </w:p>
    <w:p w14:paraId="5EF6B752" w14:textId="77777777" w:rsidR="004F0743" w:rsidRDefault="0034256B">
      <w:pPr>
        <w:numPr>
          <w:ilvl w:val="0"/>
          <w:numId w:val="2"/>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Consideran que, en todo caso, la publicación denunciada se realizó en el ejercicio de su libertad de expresión, manifestando un tema de interés general y que forma parte del debate público. </w:t>
      </w:r>
    </w:p>
    <w:p w14:paraId="39E39DA8" w14:textId="77777777" w:rsidR="004F0743" w:rsidRDefault="0034256B">
      <w:pPr>
        <w:numPr>
          <w:ilvl w:val="0"/>
          <w:numId w:val="2"/>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Niegan que la publicación cuestionada configure una infracción, ya que no realizaron un llamamiento al voto ni una promoción personalizada de la candidata. </w:t>
      </w:r>
    </w:p>
    <w:p w14:paraId="6C23F9D7" w14:textId="77777777" w:rsidR="004F0743" w:rsidRDefault="0034256B">
      <w:pPr>
        <w:numPr>
          <w:ilvl w:val="0"/>
          <w:numId w:val="2"/>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Afirman que las interacciones </w:t>
      </w:r>
      <w:r>
        <w:rPr>
          <w:rFonts w:ascii="Arial" w:eastAsia="Arial" w:hAnsi="Arial" w:cs="Arial"/>
          <w:sz w:val="24"/>
          <w:szCs w:val="24"/>
        </w:rPr>
        <w:t xml:space="preserve">de </w:t>
      </w:r>
      <w:r>
        <w:rPr>
          <w:rFonts w:ascii="Arial" w:eastAsia="Arial" w:hAnsi="Arial" w:cs="Arial"/>
          <w:color w:val="000000"/>
          <w:sz w:val="24"/>
          <w:szCs w:val="24"/>
        </w:rPr>
        <w:t xml:space="preserve">la publicación en comento, son expresiones libres de la ciudadanía, y en consecuencia, no puede derivarse responsabilidad alguna </w:t>
      </w:r>
      <w:r>
        <w:rPr>
          <w:rFonts w:ascii="Arial" w:eastAsia="Arial" w:hAnsi="Arial" w:cs="Arial"/>
          <w:sz w:val="24"/>
          <w:szCs w:val="24"/>
        </w:rPr>
        <w:t xml:space="preserve">sobre </w:t>
      </w:r>
      <w:r>
        <w:rPr>
          <w:rFonts w:ascii="Arial" w:eastAsia="Arial" w:hAnsi="Arial" w:cs="Arial"/>
          <w:color w:val="000000"/>
          <w:sz w:val="24"/>
          <w:szCs w:val="24"/>
        </w:rPr>
        <w:t>est</w:t>
      </w:r>
      <w:r>
        <w:rPr>
          <w:rFonts w:ascii="Arial" w:eastAsia="Arial" w:hAnsi="Arial" w:cs="Arial"/>
          <w:sz w:val="24"/>
          <w:szCs w:val="24"/>
        </w:rPr>
        <w:t>as</w:t>
      </w:r>
      <w:r>
        <w:rPr>
          <w:rFonts w:ascii="Arial" w:eastAsia="Arial" w:hAnsi="Arial" w:cs="Arial"/>
          <w:color w:val="000000"/>
          <w:sz w:val="24"/>
          <w:szCs w:val="24"/>
        </w:rPr>
        <w:t>.</w:t>
      </w:r>
    </w:p>
    <w:p w14:paraId="3B3495B5" w14:textId="77777777" w:rsidR="004F0743" w:rsidRDefault="004F0743">
      <w:pPr>
        <w:pBdr>
          <w:top w:val="nil"/>
          <w:left w:val="nil"/>
          <w:bottom w:val="nil"/>
          <w:right w:val="nil"/>
          <w:between w:val="nil"/>
        </w:pBdr>
        <w:ind w:left="426"/>
        <w:jc w:val="both"/>
        <w:rPr>
          <w:rFonts w:ascii="Arial" w:eastAsia="Arial" w:hAnsi="Arial" w:cs="Arial"/>
          <w:color w:val="000000"/>
          <w:sz w:val="24"/>
          <w:szCs w:val="24"/>
        </w:rPr>
      </w:pPr>
    </w:p>
    <w:p w14:paraId="6B600A1B" w14:textId="77777777" w:rsidR="004F0743" w:rsidRDefault="0034256B">
      <w:pPr>
        <w:tabs>
          <w:tab w:val="left" w:pos="567"/>
        </w:tabs>
        <w:spacing w:line="360" w:lineRule="auto"/>
        <w:jc w:val="both"/>
        <w:rPr>
          <w:rFonts w:ascii="Arial" w:eastAsia="Arial" w:hAnsi="Arial" w:cs="Arial"/>
          <w:b/>
          <w:sz w:val="24"/>
          <w:szCs w:val="24"/>
        </w:rPr>
      </w:pPr>
      <w:r>
        <w:rPr>
          <w:rFonts w:ascii="Arial" w:eastAsia="Arial" w:hAnsi="Arial" w:cs="Arial"/>
          <w:b/>
          <w:color w:val="000000"/>
          <w:sz w:val="24"/>
          <w:szCs w:val="24"/>
        </w:rPr>
        <w:t xml:space="preserve">3. Descripción de los medios de prueba. </w:t>
      </w:r>
      <w:r>
        <w:rPr>
          <w:rFonts w:ascii="Arial" w:eastAsia="Arial" w:hAnsi="Arial" w:cs="Arial"/>
          <w:color w:val="000000"/>
          <w:sz w:val="24"/>
          <w:szCs w:val="24"/>
        </w:rPr>
        <w:t>Como se advierte, de la audiencia de pruebas y alegatos, a la parte denunciante le fueron admitidas y desahogadas las siguientes probanzas:</w:t>
      </w:r>
      <w:r>
        <w:rPr>
          <w:rFonts w:ascii="Arial" w:eastAsia="Arial" w:hAnsi="Arial" w:cs="Arial"/>
          <w:b/>
          <w:sz w:val="24"/>
          <w:szCs w:val="24"/>
        </w:rPr>
        <w:t xml:space="preserve"> </w:t>
      </w:r>
    </w:p>
    <w:p w14:paraId="5E70A757" w14:textId="77777777" w:rsidR="004F0743" w:rsidRDefault="004F0743">
      <w:pPr>
        <w:pBdr>
          <w:top w:val="nil"/>
          <w:left w:val="nil"/>
          <w:bottom w:val="nil"/>
          <w:right w:val="nil"/>
          <w:between w:val="nil"/>
        </w:pBdr>
        <w:rPr>
          <w:color w:val="000000"/>
        </w:rPr>
      </w:pPr>
    </w:p>
    <w:p w14:paraId="22D0A66C" w14:textId="77777777" w:rsidR="004F0743" w:rsidRDefault="0034256B">
      <w:pPr>
        <w:pBdr>
          <w:top w:val="nil"/>
          <w:left w:val="nil"/>
          <w:bottom w:val="nil"/>
          <w:right w:val="nil"/>
          <w:between w:val="nil"/>
        </w:pBdr>
        <w:tabs>
          <w:tab w:val="left" w:pos="567"/>
        </w:tabs>
        <w:spacing w:line="360" w:lineRule="auto"/>
        <w:jc w:val="both"/>
        <w:rPr>
          <w:rFonts w:ascii="Arial" w:eastAsia="Arial" w:hAnsi="Arial" w:cs="Arial"/>
          <w:b/>
          <w:sz w:val="24"/>
          <w:szCs w:val="24"/>
        </w:rPr>
      </w:pPr>
      <w:r>
        <w:rPr>
          <w:rFonts w:ascii="Arial" w:eastAsia="Arial" w:hAnsi="Arial" w:cs="Arial"/>
          <w:b/>
          <w:color w:val="000000"/>
          <w:sz w:val="24"/>
          <w:szCs w:val="24"/>
        </w:rPr>
        <w:t xml:space="preserve">3.1. Pruebas aportadas por la parte denunciante: </w:t>
      </w:r>
    </w:p>
    <w:tbl>
      <w:tblPr>
        <w:tblStyle w:val="af3"/>
        <w:tblW w:w="8931" w:type="dxa"/>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4A0" w:firstRow="1" w:lastRow="0" w:firstColumn="1" w:lastColumn="0" w:noHBand="0" w:noVBand="1"/>
      </w:tblPr>
      <w:tblGrid>
        <w:gridCol w:w="499"/>
        <w:gridCol w:w="2615"/>
        <w:gridCol w:w="5817"/>
      </w:tblGrid>
      <w:tr w:rsidR="004F0743" w14:paraId="7635ADD8" w14:textId="77777777" w:rsidTr="004F07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398D53B4" w14:textId="77777777" w:rsidR="004F0743" w:rsidRDefault="0034256B">
            <w:pPr>
              <w:jc w:val="center"/>
              <w:rPr>
                <w:rFonts w:ascii="Arial" w:eastAsia="Arial" w:hAnsi="Arial" w:cs="Arial"/>
                <w:color w:val="000000"/>
                <w:sz w:val="18"/>
                <w:szCs w:val="18"/>
              </w:rPr>
            </w:pPr>
            <w:r>
              <w:rPr>
                <w:rFonts w:ascii="Arial" w:eastAsia="Arial" w:hAnsi="Arial" w:cs="Arial"/>
                <w:color w:val="000000"/>
                <w:sz w:val="18"/>
                <w:szCs w:val="18"/>
              </w:rPr>
              <w:t>#</w:t>
            </w:r>
          </w:p>
        </w:tc>
        <w:tc>
          <w:tcPr>
            <w:tcW w:w="2615" w:type="dxa"/>
          </w:tcPr>
          <w:p w14:paraId="7DD0EB64" w14:textId="77777777" w:rsidR="004F0743" w:rsidRDefault="0034256B">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5817" w:type="dxa"/>
          </w:tcPr>
          <w:p w14:paraId="52E354B6" w14:textId="77777777" w:rsidR="004F0743" w:rsidRDefault="0034256B">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4F0743" w14:paraId="6FB29D34" w14:textId="77777777" w:rsidTr="004F0743">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045B2E9C" w14:textId="77777777" w:rsidR="004F0743" w:rsidRDefault="0034256B">
            <w:pPr>
              <w:jc w:val="center"/>
              <w:rPr>
                <w:rFonts w:ascii="Arial" w:eastAsia="Arial" w:hAnsi="Arial" w:cs="Arial"/>
                <w:sz w:val="18"/>
                <w:szCs w:val="18"/>
              </w:rPr>
            </w:pPr>
            <w:r>
              <w:rPr>
                <w:rFonts w:ascii="Arial" w:eastAsia="Arial" w:hAnsi="Arial" w:cs="Arial"/>
                <w:b w:val="0"/>
                <w:sz w:val="18"/>
                <w:szCs w:val="18"/>
              </w:rPr>
              <w:t>1</w:t>
            </w:r>
          </w:p>
        </w:tc>
        <w:tc>
          <w:tcPr>
            <w:tcW w:w="2615" w:type="dxa"/>
          </w:tcPr>
          <w:p w14:paraId="3917C2F5" w14:textId="77777777" w:rsidR="004F0743" w:rsidRDefault="0034256B">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Documental privada. </w:t>
            </w:r>
          </w:p>
        </w:tc>
        <w:tc>
          <w:tcPr>
            <w:tcW w:w="5817" w:type="dxa"/>
          </w:tcPr>
          <w:p w14:paraId="5F9EF1E4" w14:textId="77777777" w:rsidR="004F0743" w:rsidRDefault="0034256B">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Capturas de pantalla de la propaganda, descritas en los numerales 2 y 3 de los hechos de la denuncia. </w:t>
            </w:r>
          </w:p>
        </w:tc>
      </w:tr>
      <w:tr w:rsidR="004F0743" w14:paraId="395A9721" w14:textId="77777777" w:rsidTr="004F0743">
        <w:trPr>
          <w:trHeight w:val="344"/>
        </w:trPr>
        <w:tc>
          <w:tcPr>
            <w:cnfStyle w:val="001000000000" w:firstRow="0" w:lastRow="0" w:firstColumn="1" w:lastColumn="0" w:oddVBand="0" w:evenVBand="0" w:oddHBand="0" w:evenHBand="0" w:firstRowFirstColumn="0" w:firstRowLastColumn="0" w:lastRowFirstColumn="0" w:lastRowLastColumn="0"/>
            <w:tcW w:w="499" w:type="dxa"/>
          </w:tcPr>
          <w:p w14:paraId="3245CAE1" w14:textId="77777777" w:rsidR="004F0743" w:rsidRDefault="0034256B">
            <w:pPr>
              <w:jc w:val="center"/>
              <w:rPr>
                <w:rFonts w:ascii="Arial" w:eastAsia="Arial" w:hAnsi="Arial" w:cs="Arial"/>
                <w:sz w:val="18"/>
                <w:szCs w:val="18"/>
              </w:rPr>
            </w:pPr>
            <w:r>
              <w:rPr>
                <w:rFonts w:ascii="Arial" w:eastAsia="Arial" w:hAnsi="Arial" w:cs="Arial"/>
                <w:b w:val="0"/>
                <w:sz w:val="18"/>
                <w:szCs w:val="18"/>
              </w:rPr>
              <w:t>2</w:t>
            </w:r>
          </w:p>
        </w:tc>
        <w:tc>
          <w:tcPr>
            <w:tcW w:w="2615" w:type="dxa"/>
          </w:tcPr>
          <w:p w14:paraId="3A84DE4C" w14:textId="77777777" w:rsidR="004F0743" w:rsidRDefault="0034256B">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Prueba técnica. </w:t>
            </w:r>
          </w:p>
        </w:tc>
        <w:tc>
          <w:tcPr>
            <w:tcW w:w="5817" w:type="dxa"/>
          </w:tcPr>
          <w:p w14:paraId="1650EB2B" w14:textId="77777777" w:rsidR="004F0743" w:rsidRDefault="0034256B">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Inspección judicial del link </w:t>
            </w:r>
            <w:hyperlink r:id="rId9">
              <w:r>
                <w:rPr>
                  <w:rFonts w:ascii="Arial" w:eastAsia="Arial" w:hAnsi="Arial" w:cs="Arial"/>
                  <w:color w:val="0000FF"/>
                  <w:sz w:val="18"/>
                  <w:szCs w:val="18"/>
                  <w:u w:val="single"/>
                </w:rPr>
                <w:t>http://www.facebook.com/photo?fbid=458305732691256&amp;set=a.267703681751463</w:t>
              </w:r>
            </w:hyperlink>
            <w:r>
              <w:rPr>
                <w:rFonts w:ascii="Arial" w:eastAsia="Arial" w:hAnsi="Arial" w:cs="Arial"/>
                <w:sz w:val="18"/>
                <w:szCs w:val="18"/>
              </w:rPr>
              <w:t xml:space="preserve">, consistente en el perfil de Facebook de la candidata Nora Ruvalcaba Gámez. </w:t>
            </w:r>
          </w:p>
        </w:tc>
      </w:tr>
      <w:tr w:rsidR="004F0743" w14:paraId="5995E5D5" w14:textId="77777777" w:rsidTr="004F0743">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6364A3E7" w14:textId="77777777" w:rsidR="004F0743" w:rsidRDefault="0034256B">
            <w:pPr>
              <w:jc w:val="center"/>
              <w:rPr>
                <w:rFonts w:ascii="Arial" w:eastAsia="Arial" w:hAnsi="Arial" w:cs="Arial"/>
                <w:sz w:val="18"/>
                <w:szCs w:val="18"/>
              </w:rPr>
            </w:pPr>
            <w:r>
              <w:rPr>
                <w:rFonts w:ascii="Arial" w:eastAsia="Arial" w:hAnsi="Arial" w:cs="Arial"/>
                <w:b w:val="0"/>
                <w:sz w:val="18"/>
                <w:szCs w:val="18"/>
              </w:rPr>
              <w:lastRenderedPageBreak/>
              <w:t>3</w:t>
            </w:r>
          </w:p>
        </w:tc>
        <w:tc>
          <w:tcPr>
            <w:tcW w:w="2615" w:type="dxa"/>
          </w:tcPr>
          <w:p w14:paraId="26F0C9BC" w14:textId="77777777" w:rsidR="004F0743" w:rsidRDefault="0034256B">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Documental pública.  </w:t>
            </w:r>
          </w:p>
        </w:tc>
        <w:tc>
          <w:tcPr>
            <w:tcW w:w="5817" w:type="dxa"/>
          </w:tcPr>
          <w:p w14:paraId="7E77EB96" w14:textId="77777777" w:rsidR="004F0743" w:rsidRDefault="0034256B">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Oficialía electoral IEE/OE/028/2022.</w:t>
            </w:r>
          </w:p>
        </w:tc>
      </w:tr>
      <w:tr w:rsidR="004F0743" w14:paraId="02964114" w14:textId="77777777" w:rsidTr="004F0743">
        <w:trPr>
          <w:trHeight w:val="344"/>
        </w:trPr>
        <w:tc>
          <w:tcPr>
            <w:cnfStyle w:val="001000000000" w:firstRow="0" w:lastRow="0" w:firstColumn="1" w:lastColumn="0" w:oddVBand="0" w:evenVBand="0" w:oddHBand="0" w:evenHBand="0" w:firstRowFirstColumn="0" w:firstRowLastColumn="0" w:lastRowFirstColumn="0" w:lastRowLastColumn="0"/>
            <w:tcW w:w="499" w:type="dxa"/>
          </w:tcPr>
          <w:p w14:paraId="669EFE75" w14:textId="77777777" w:rsidR="004F0743" w:rsidRDefault="0034256B">
            <w:pPr>
              <w:jc w:val="center"/>
              <w:rPr>
                <w:rFonts w:ascii="Arial" w:eastAsia="Arial" w:hAnsi="Arial" w:cs="Arial"/>
                <w:sz w:val="18"/>
                <w:szCs w:val="18"/>
              </w:rPr>
            </w:pPr>
            <w:r>
              <w:rPr>
                <w:rFonts w:ascii="Arial" w:eastAsia="Arial" w:hAnsi="Arial" w:cs="Arial"/>
                <w:b w:val="0"/>
                <w:sz w:val="18"/>
                <w:szCs w:val="18"/>
              </w:rPr>
              <w:t>4</w:t>
            </w:r>
          </w:p>
        </w:tc>
        <w:tc>
          <w:tcPr>
            <w:tcW w:w="2615" w:type="dxa"/>
          </w:tcPr>
          <w:p w14:paraId="7C94C5C9" w14:textId="77777777" w:rsidR="004F0743" w:rsidRDefault="0034256B">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Presuncional legal y humana</w:t>
            </w:r>
          </w:p>
        </w:tc>
        <w:tc>
          <w:tcPr>
            <w:tcW w:w="5817" w:type="dxa"/>
          </w:tcPr>
          <w:p w14:paraId="7274B6D0" w14:textId="77777777" w:rsidR="004F0743" w:rsidRDefault="0034256B">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4F0743" w14:paraId="35119569" w14:textId="77777777" w:rsidTr="004F0743">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594B44F3" w14:textId="77777777" w:rsidR="004F0743" w:rsidRDefault="0034256B">
            <w:pPr>
              <w:jc w:val="center"/>
              <w:rPr>
                <w:rFonts w:ascii="Arial" w:eastAsia="Arial" w:hAnsi="Arial" w:cs="Arial"/>
                <w:sz w:val="18"/>
                <w:szCs w:val="18"/>
              </w:rPr>
            </w:pPr>
            <w:r>
              <w:rPr>
                <w:rFonts w:ascii="Arial" w:eastAsia="Arial" w:hAnsi="Arial" w:cs="Arial"/>
                <w:b w:val="0"/>
                <w:sz w:val="18"/>
                <w:szCs w:val="18"/>
              </w:rPr>
              <w:t>5</w:t>
            </w:r>
          </w:p>
        </w:tc>
        <w:tc>
          <w:tcPr>
            <w:tcW w:w="2615" w:type="dxa"/>
          </w:tcPr>
          <w:p w14:paraId="37A11052" w14:textId="77777777" w:rsidR="004F0743" w:rsidRDefault="0034256B">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Instrumental de actuaciones</w:t>
            </w:r>
          </w:p>
        </w:tc>
        <w:tc>
          <w:tcPr>
            <w:tcW w:w="5817" w:type="dxa"/>
          </w:tcPr>
          <w:p w14:paraId="38FBF5CD" w14:textId="77777777" w:rsidR="004F0743" w:rsidRDefault="0034256B">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7E9DB21C" w14:textId="77777777" w:rsidR="004F0743" w:rsidRDefault="004F0743">
      <w:pPr>
        <w:pBdr>
          <w:top w:val="nil"/>
          <w:left w:val="nil"/>
          <w:bottom w:val="nil"/>
          <w:right w:val="nil"/>
          <w:between w:val="nil"/>
        </w:pBdr>
        <w:rPr>
          <w:color w:val="000000"/>
        </w:rPr>
      </w:pPr>
    </w:p>
    <w:p w14:paraId="02C6DBA1" w14:textId="77777777" w:rsidR="004F0743" w:rsidRDefault="0034256B">
      <w:pPr>
        <w:tabs>
          <w:tab w:val="left" w:pos="567"/>
        </w:tabs>
        <w:spacing w:line="360" w:lineRule="auto"/>
        <w:jc w:val="both"/>
        <w:rPr>
          <w:rFonts w:ascii="Arial" w:eastAsia="Arial" w:hAnsi="Arial" w:cs="Arial"/>
          <w:b/>
          <w:sz w:val="24"/>
          <w:szCs w:val="24"/>
        </w:rPr>
      </w:pPr>
      <w:r>
        <w:rPr>
          <w:rFonts w:ascii="Arial" w:eastAsia="Arial" w:hAnsi="Arial" w:cs="Arial"/>
          <w:b/>
          <w:sz w:val="24"/>
          <w:szCs w:val="24"/>
        </w:rPr>
        <w:t>3.2. Pruebas aportadas por la precandidata y el partido político como parte denunciada:</w:t>
      </w:r>
    </w:p>
    <w:tbl>
      <w:tblPr>
        <w:tblStyle w:val="af4"/>
        <w:tblW w:w="8931" w:type="dxa"/>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4A0" w:firstRow="1" w:lastRow="0" w:firstColumn="1" w:lastColumn="0" w:noHBand="0" w:noVBand="1"/>
      </w:tblPr>
      <w:tblGrid>
        <w:gridCol w:w="499"/>
        <w:gridCol w:w="2615"/>
        <w:gridCol w:w="5817"/>
      </w:tblGrid>
      <w:tr w:rsidR="004F0743" w14:paraId="67CF37E1" w14:textId="77777777" w:rsidTr="004F07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21E461EB" w14:textId="77777777" w:rsidR="004F0743" w:rsidRDefault="0034256B">
            <w:pPr>
              <w:jc w:val="center"/>
              <w:rPr>
                <w:rFonts w:ascii="Arial" w:eastAsia="Arial" w:hAnsi="Arial" w:cs="Arial"/>
                <w:color w:val="000000"/>
                <w:sz w:val="18"/>
                <w:szCs w:val="18"/>
              </w:rPr>
            </w:pPr>
            <w:r>
              <w:rPr>
                <w:rFonts w:ascii="Arial" w:eastAsia="Arial" w:hAnsi="Arial" w:cs="Arial"/>
                <w:color w:val="000000"/>
                <w:sz w:val="18"/>
                <w:szCs w:val="18"/>
              </w:rPr>
              <w:t>#</w:t>
            </w:r>
          </w:p>
        </w:tc>
        <w:tc>
          <w:tcPr>
            <w:tcW w:w="2615" w:type="dxa"/>
          </w:tcPr>
          <w:p w14:paraId="518D3137" w14:textId="77777777" w:rsidR="004F0743" w:rsidRDefault="0034256B">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5817" w:type="dxa"/>
          </w:tcPr>
          <w:p w14:paraId="30A5E858" w14:textId="77777777" w:rsidR="004F0743" w:rsidRDefault="0034256B">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4F0743" w14:paraId="5E7D4C2B" w14:textId="77777777" w:rsidTr="004F0743">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139FB09F" w14:textId="77777777" w:rsidR="004F0743" w:rsidRDefault="0034256B">
            <w:pPr>
              <w:jc w:val="center"/>
              <w:rPr>
                <w:rFonts w:ascii="Arial" w:eastAsia="Arial" w:hAnsi="Arial" w:cs="Arial"/>
                <w:sz w:val="18"/>
                <w:szCs w:val="18"/>
              </w:rPr>
            </w:pPr>
            <w:r>
              <w:rPr>
                <w:rFonts w:ascii="Arial" w:eastAsia="Arial" w:hAnsi="Arial" w:cs="Arial"/>
                <w:b w:val="0"/>
                <w:sz w:val="18"/>
                <w:szCs w:val="18"/>
              </w:rPr>
              <w:t>1</w:t>
            </w:r>
          </w:p>
        </w:tc>
        <w:tc>
          <w:tcPr>
            <w:tcW w:w="2615" w:type="dxa"/>
          </w:tcPr>
          <w:p w14:paraId="70477D3B" w14:textId="77777777" w:rsidR="004F0743" w:rsidRDefault="0034256B">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Presuncional pública de actuaciones.  </w:t>
            </w:r>
          </w:p>
        </w:tc>
        <w:tc>
          <w:tcPr>
            <w:tcW w:w="5817" w:type="dxa"/>
          </w:tcPr>
          <w:p w14:paraId="019C267D" w14:textId="77777777" w:rsidR="004F0743" w:rsidRDefault="0034256B">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4F0743" w14:paraId="2E334192" w14:textId="77777777" w:rsidTr="004F0743">
        <w:trPr>
          <w:trHeight w:val="418"/>
        </w:trPr>
        <w:tc>
          <w:tcPr>
            <w:cnfStyle w:val="001000000000" w:firstRow="0" w:lastRow="0" w:firstColumn="1" w:lastColumn="0" w:oddVBand="0" w:evenVBand="0" w:oddHBand="0" w:evenHBand="0" w:firstRowFirstColumn="0" w:firstRowLastColumn="0" w:lastRowFirstColumn="0" w:lastRowLastColumn="0"/>
            <w:tcW w:w="499" w:type="dxa"/>
          </w:tcPr>
          <w:p w14:paraId="07E007C2" w14:textId="77777777" w:rsidR="004F0743" w:rsidRDefault="0034256B">
            <w:pPr>
              <w:jc w:val="center"/>
              <w:rPr>
                <w:rFonts w:ascii="Arial" w:eastAsia="Arial" w:hAnsi="Arial" w:cs="Arial"/>
                <w:sz w:val="18"/>
                <w:szCs w:val="18"/>
              </w:rPr>
            </w:pPr>
            <w:r>
              <w:rPr>
                <w:rFonts w:ascii="Arial" w:eastAsia="Arial" w:hAnsi="Arial" w:cs="Arial"/>
                <w:b w:val="0"/>
                <w:sz w:val="18"/>
                <w:szCs w:val="18"/>
              </w:rPr>
              <w:t>2</w:t>
            </w:r>
          </w:p>
        </w:tc>
        <w:tc>
          <w:tcPr>
            <w:tcW w:w="2615" w:type="dxa"/>
          </w:tcPr>
          <w:p w14:paraId="38965F44" w14:textId="77777777" w:rsidR="004F0743" w:rsidRDefault="0034256B">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Presuncional legal y humana</w:t>
            </w:r>
          </w:p>
        </w:tc>
        <w:tc>
          <w:tcPr>
            <w:tcW w:w="5817" w:type="dxa"/>
          </w:tcPr>
          <w:p w14:paraId="7BD1799C" w14:textId="77777777" w:rsidR="004F0743" w:rsidRDefault="0034256B">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7F674717" w14:textId="77777777" w:rsidR="004F0743" w:rsidRDefault="004F0743">
      <w:pPr>
        <w:tabs>
          <w:tab w:val="left" w:pos="567"/>
        </w:tabs>
        <w:spacing w:line="360" w:lineRule="auto"/>
        <w:jc w:val="both"/>
        <w:rPr>
          <w:rFonts w:ascii="Arial" w:eastAsia="Arial" w:hAnsi="Arial" w:cs="Arial"/>
          <w:b/>
        </w:rPr>
      </w:pPr>
    </w:p>
    <w:p w14:paraId="381F4161" w14:textId="77777777" w:rsidR="004F0743" w:rsidRDefault="0034256B">
      <w:pPr>
        <w:pBdr>
          <w:top w:val="nil"/>
          <w:left w:val="nil"/>
          <w:bottom w:val="nil"/>
          <w:right w:val="nil"/>
          <w:between w:val="nil"/>
        </w:pBdr>
        <w:tabs>
          <w:tab w:val="left" w:pos="567"/>
        </w:tabs>
        <w:spacing w:line="360" w:lineRule="auto"/>
        <w:jc w:val="both"/>
        <w:rPr>
          <w:color w:val="000000"/>
        </w:rPr>
      </w:pPr>
      <w:r>
        <w:rPr>
          <w:rFonts w:ascii="Arial" w:eastAsia="Arial" w:hAnsi="Arial" w:cs="Arial"/>
          <w:b/>
          <w:color w:val="000000"/>
          <w:sz w:val="24"/>
          <w:szCs w:val="24"/>
        </w:rPr>
        <w:t xml:space="preserve">3.3. Valoración de pruebas. </w:t>
      </w:r>
      <w:r>
        <w:rPr>
          <w:rFonts w:ascii="Arial" w:eastAsia="Arial" w:hAnsi="Arial" w:cs="Arial"/>
          <w:color w:val="000000"/>
          <w:sz w:val="24"/>
          <w:szCs w:val="24"/>
        </w:rPr>
        <w:t xml:space="preserve">Las pruebas antes descritas, se valoran </w:t>
      </w:r>
      <w:r>
        <w:rPr>
          <w:rFonts w:ascii="Arial" w:eastAsia="Arial" w:hAnsi="Arial" w:cs="Arial"/>
          <w:sz w:val="24"/>
          <w:szCs w:val="24"/>
        </w:rPr>
        <w:t>conforme al</w:t>
      </w:r>
      <w:r>
        <w:rPr>
          <w:rFonts w:ascii="Arial" w:eastAsia="Arial" w:hAnsi="Arial" w:cs="Arial"/>
          <w:color w:val="000000"/>
          <w:sz w:val="24"/>
          <w:szCs w:val="24"/>
        </w:rPr>
        <w:t xml:space="preserve">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7"/>
      </w:r>
    </w:p>
    <w:p w14:paraId="221C022D" w14:textId="77777777" w:rsidR="004F0743" w:rsidRDefault="004F0743">
      <w:pPr>
        <w:pBdr>
          <w:top w:val="nil"/>
          <w:left w:val="nil"/>
          <w:bottom w:val="nil"/>
          <w:right w:val="nil"/>
          <w:between w:val="nil"/>
        </w:pBdr>
        <w:rPr>
          <w:color w:val="000000"/>
        </w:rPr>
      </w:pPr>
    </w:p>
    <w:p w14:paraId="278C4D51" w14:textId="77777777" w:rsidR="004F0743" w:rsidRDefault="0034256B">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4C7EF584" w14:textId="77777777" w:rsidR="004F0743" w:rsidRDefault="004F0743">
      <w:pPr>
        <w:pBdr>
          <w:top w:val="nil"/>
          <w:left w:val="nil"/>
          <w:bottom w:val="nil"/>
          <w:right w:val="nil"/>
          <w:between w:val="nil"/>
        </w:pBdr>
        <w:tabs>
          <w:tab w:val="left" w:pos="426"/>
        </w:tabs>
        <w:spacing w:line="360" w:lineRule="auto"/>
        <w:ind w:right="36"/>
        <w:jc w:val="both"/>
        <w:rPr>
          <w:rFonts w:ascii="Arial" w:eastAsia="Arial" w:hAnsi="Arial" w:cs="Arial"/>
          <w:color w:val="000000"/>
          <w:sz w:val="6"/>
          <w:szCs w:val="6"/>
        </w:rPr>
      </w:pPr>
    </w:p>
    <w:p w14:paraId="3D9DA1AB" w14:textId="77777777" w:rsidR="004F0743" w:rsidRDefault="0034256B">
      <w:pPr>
        <w:numPr>
          <w:ilvl w:val="0"/>
          <w:numId w:val="3"/>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color w:val="000000"/>
          <w:sz w:val="24"/>
          <w:szCs w:val="24"/>
        </w:rPr>
        <w:t>La calidad de</w:t>
      </w:r>
      <w:r>
        <w:rPr>
          <w:rFonts w:ascii="Arial" w:eastAsia="Arial" w:hAnsi="Arial" w:cs="Arial"/>
          <w:sz w:val="24"/>
          <w:szCs w:val="24"/>
        </w:rPr>
        <w:t xml:space="preserve"> Israel Ángel Ramírez, como representante suplente del PAN ante el Instituto Local. </w:t>
      </w:r>
    </w:p>
    <w:p w14:paraId="634FF95B" w14:textId="77777777" w:rsidR="004F0743" w:rsidRDefault="0034256B">
      <w:pPr>
        <w:numPr>
          <w:ilvl w:val="0"/>
          <w:numId w:val="3"/>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sz w:val="24"/>
          <w:szCs w:val="24"/>
        </w:rPr>
        <w:t>La calidad de Nora Ruvalcaba Gámez, como candidata de MORENA a la gubernatura del estado para el actual proceso electoral.</w:t>
      </w:r>
    </w:p>
    <w:p w14:paraId="0E1E08E7" w14:textId="77777777" w:rsidR="004F0743" w:rsidRDefault="0034256B">
      <w:pPr>
        <w:numPr>
          <w:ilvl w:val="0"/>
          <w:numId w:val="3"/>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color w:val="000000"/>
          <w:sz w:val="24"/>
          <w:szCs w:val="24"/>
        </w:rPr>
        <w:t xml:space="preserve">La existencia de la publicación cuestionada en </w:t>
      </w:r>
      <w:r>
        <w:rPr>
          <w:rFonts w:ascii="Arial" w:eastAsia="Arial" w:hAnsi="Arial" w:cs="Arial"/>
          <w:sz w:val="24"/>
          <w:szCs w:val="24"/>
        </w:rPr>
        <w:t xml:space="preserve">la </w:t>
      </w:r>
      <w:r>
        <w:rPr>
          <w:rFonts w:ascii="Arial" w:eastAsia="Arial" w:hAnsi="Arial" w:cs="Arial"/>
          <w:i/>
          <w:sz w:val="24"/>
          <w:szCs w:val="24"/>
        </w:rPr>
        <w:t>fan page</w:t>
      </w:r>
      <w:r>
        <w:rPr>
          <w:rFonts w:ascii="Arial" w:eastAsia="Arial" w:hAnsi="Arial" w:cs="Arial"/>
          <w:color w:val="000000"/>
          <w:sz w:val="24"/>
          <w:szCs w:val="24"/>
        </w:rPr>
        <w:t xml:space="preserve"> de Facebook de la candidata denunciada. </w:t>
      </w:r>
    </w:p>
    <w:p w14:paraId="31484E86" w14:textId="77777777" w:rsidR="004F0743" w:rsidRDefault="004F0743">
      <w:pPr>
        <w:pBdr>
          <w:top w:val="nil"/>
          <w:left w:val="nil"/>
          <w:bottom w:val="nil"/>
          <w:right w:val="nil"/>
          <w:between w:val="nil"/>
        </w:pBdr>
        <w:spacing w:line="360" w:lineRule="auto"/>
        <w:ind w:right="36"/>
        <w:jc w:val="both"/>
        <w:rPr>
          <w:color w:val="000000"/>
          <w:sz w:val="14"/>
          <w:szCs w:val="14"/>
        </w:rPr>
      </w:pPr>
    </w:p>
    <w:p w14:paraId="3DF944E5" w14:textId="77777777" w:rsidR="004F0743" w:rsidRDefault="0034256B">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VI. Análisis de fondo</w:t>
      </w:r>
    </w:p>
    <w:p w14:paraId="1ED4D358" w14:textId="77777777" w:rsidR="004F0743" w:rsidRDefault="004F0743">
      <w:pPr>
        <w:pBdr>
          <w:top w:val="nil"/>
          <w:left w:val="nil"/>
          <w:bottom w:val="nil"/>
          <w:right w:val="nil"/>
          <w:between w:val="nil"/>
        </w:pBdr>
        <w:rPr>
          <w:color w:val="000000"/>
          <w:sz w:val="14"/>
          <w:szCs w:val="14"/>
        </w:rPr>
      </w:pPr>
    </w:p>
    <w:p w14:paraId="65BC9BC0" w14:textId="77777777" w:rsidR="004F0743" w:rsidRDefault="0034256B">
      <w:pPr>
        <w:numPr>
          <w:ilvl w:val="0"/>
          <w:numId w:val="6"/>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0FB00B37" w14:textId="77777777" w:rsidR="004F0743" w:rsidRDefault="004F0743">
      <w:pPr>
        <w:pBdr>
          <w:top w:val="nil"/>
          <w:left w:val="nil"/>
          <w:bottom w:val="nil"/>
          <w:right w:val="nil"/>
          <w:between w:val="nil"/>
        </w:pBdr>
        <w:rPr>
          <w:color w:val="000000"/>
          <w:sz w:val="14"/>
          <w:szCs w:val="14"/>
        </w:rPr>
      </w:pPr>
    </w:p>
    <w:p w14:paraId="6FAAF71F" w14:textId="77777777" w:rsidR="004F0743" w:rsidRDefault="0034256B">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sz w:val="24"/>
          <w:szCs w:val="24"/>
        </w:rPr>
        <w:t xml:space="preserve"> ¿Si la publicación denunciada, actualiza la infracción de </w:t>
      </w:r>
      <w:r>
        <w:rPr>
          <w:rFonts w:ascii="Arial" w:eastAsia="Arial" w:hAnsi="Arial" w:cs="Arial"/>
          <w:b/>
          <w:sz w:val="24"/>
          <w:szCs w:val="24"/>
        </w:rPr>
        <w:t>actos anticipados de campaña</w:t>
      </w:r>
      <w:r>
        <w:rPr>
          <w:rFonts w:ascii="Arial" w:eastAsia="Arial" w:hAnsi="Arial" w:cs="Arial"/>
          <w:sz w:val="24"/>
          <w:szCs w:val="24"/>
        </w:rPr>
        <w:t xml:space="preserve"> en favor de la candidata Nora Ruvalcaba Gámez y MORENA, a partir de un posicionamiento indebido de su nombre e imagen?</w:t>
      </w:r>
    </w:p>
    <w:p w14:paraId="0CD75EAB" w14:textId="77777777" w:rsidR="004F0743" w:rsidRDefault="004F0743">
      <w:pPr>
        <w:pBdr>
          <w:top w:val="nil"/>
          <w:left w:val="nil"/>
          <w:bottom w:val="nil"/>
          <w:right w:val="nil"/>
          <w:between w:val="nil"/>
        </w:pBdr>
        <w:rPr>
          <w:color w:val="000000"/>
          <w:sz w:val="14"/>
          <w:szCs w:val="14"/>
        </w:rPr>
      </w:pPr>
    </w:p>
    <w:p w14:paraId="3D578A15" w14:textId="77777777" w:rsidR="004F0743" w:rsidRDefault="0034256B">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b/>
          <w:sz w:val="24"/>
          <w:szCs w:val="24"/>
          <w:u w:val="single"/>
        </w:rPr>
        <w:t>Aparatado I.</w:t>
      </w:r>
      <w:r>
        <w:rPr>
          <w:rFonts w:ascii="Arial" w:eastAsia="Arial" w:hAnsi="Arial" w:cs="Arial"/>
          <w:b/>
          <w:sz w:val="24"/>
          <w:szCs w:val="24"/>
        </w:rPr>
        <w:t xml:space="preserve"> Decisión. </w:t>
      </w:r>
      <w:r>
        <w:rPr>
          <w:rFonts w:ascii="Arial" w:eastAsia="Arial" w:hAnsi="Arial" w:cs="Arial"/>
          <w:sz w:val="24"/>
          <w:szCs w:val="24"/>
        </w:rPr>
        <w:t>Este Tribunal Electoral</w:t>
      </w:r>
      <w:r>
        <w:rPr>
          <w:rFonts w:ascii="Arial" w:eastAsia="Arial" w:hAnsi="Arial" w:cs="Arial"/>
          <w:b/>
          <w:sz w:val="24"/>
          <w:szCs w:val="24"/>
        </w:rPr>
        <w:t xml:space="preserve"> </w:t>
      </w:r>
      <w:r>
        <w:rPr>
          <w:rFonts w:ascii="Arial" w:eastAsia="Arial" w:hAnsi="Arial" w:cs="Arial"/>
          <w:sz w:val="24"/>
          <w:szCs w:val="24"/>
        </w:rPr>
        <w:t>estima que debe declararse</w:t>
      </w:r>
      <w:r>
        <w:rPr>
          <w:rFonts w:ascii="Arial" w:eastAsia="Arial" w:hAnsi="Arial" w:cs="Arial"/>
          <w:b/>
          <w:sz w:val="24"/>
          <w:szCs w:val="24"/>
        </w:rPr>
        <w:t xml:space="preserve"> </w:t>
      </w:r>
      <w:r>
        <w:rPr>
          <w:rFonts w:ascii="Arial" w:eastAsia="Arial" w:hAnsi="Arial" w:cs="Arial"/>
          <w:sz w:val="24"/>
          <w:szCs w:val="24"/>
        </w:rPr>
        <w:t xml:space="preserve">la </w:t>
      </w:r>
      <w:r>
        <w:rPr>
          <w:rFonts w:ascii="Arial" w:eastAsia="Arial" w:hAnsi="Arial" w:cs="Arial"/>
          <w:b/>
          <w:sz w:val="24"/>
          <w:szCs w:val="24"/>
        </w:rPr>
        <w:t>inexistencia</w:t>
      </w:r>
      <w:r>
        <w:rPr>
          <w:rFonts w:ascii="Arial" w:eastAsia="Arial" w:hAnsi="Arial" w:cs="Arial"/>
          <w:sz w:val="24"/>
          <w:szCs w:val="24"/>
        </w:rPr>
        <w:t xml:space="preserve"> de la infracción de </w:t>
      </w:r>
      <w:r>
        <w:rPr>
          <w:rFonts w:ascii="Arial" w:eastAsia="Arial" w:hAnsi="Arial" w:cs="Arial"/>
          <w:b/>
          <w:sz w:val="24"/>
          <w:szCs w:val="24"/>
        </w:rPr>
        <w:t xml:space="preserve">actos anticipados de campaña </w:t>
      </w:r>
      <w:r>
        <w:rPr>
          <w:rFonts w:ascii="Arial" w:eastAsia="Arial" w:hAnsi="Arial" w:cs="Arial"/>
          <w:sz w:val="24"/>
          <w:szCs w:val="24"/>
        </w:rPr>
        <w:t xml:space="preserve">atribuida a: </w:t>
      </w:r>
      <w:r>
        <w:rPr>
          <w:rFonts w:ascii="Arial" w:eastAsia="Arial" w:hAnsi="Arial" w:cs="Arial"/>
          <w:b/>
          <w:i/>
          <w:sz w:val="24"/>
          <w:szCs w:val="24"/>
        </w:rPr>
        <w:t>a)</w:t>
      </w:r>
      <w:r>
        <w:rPr>
          <w:rFonts w:ascii="Arial" w:eastAsia="Arial" w:hAnsi="Arial" w:cs="Arial"/>
          <w:sz w:val="24"/>
          <w:szCs w:val="24"/>
        </w:rPr>
        <w:t xml:space="preserve"> Nora Ruvalcaba Gámez, candidata de MORENA a la gubernatura del estado, </w:t>
      </w:r>
      <w:r>
        <w:rPr>
          <w:rFonts w:ascii="Arial" w:eastAsia="Arial" w:hAnsi="Arial" w:cs="Arial"/>
          <w:b/>
          <w:i/>
          <w:sz w:val="24"/>
          <w:szCs w:val="24"/>
        </w:rPr>
        <w:t xml:space="preserve">b) </w:t>
      </w:r>
      <w:r>
        <w:rPr>
          <w:rFonts w:ascii="Arial" w:eastAsia="Arial" w:hAnsi="Arial" w:cs="Arial"/>
          <w:sz w:val="24"/>
          <w:szCs w:val="24"/>
        </w:rPr>
        <w:t xml:space="preserve">así como al propio instituto político; derivado de una publicación realizada a través de la </w:t>
      </w:r>
      <w:r>
        <w:rPr>
          <w:rFonts w:ascii="Arial" w:eastAsia="Arial" w:hAnsi="Arial" w:cs="Arial"/>
          <w:i/>
          <w:sz w:val="24"/>
          <w:szCs w:val="24"/>
        </w:rPr>
        <w:t>fan page</w:t>
      </w:r>
      <w:r>
        <w:rPr>
          <w:rFonts w:ascii="Arial" w:eastAsia="Arial" w:hAnsi="Arial" w:cs="Arial"/>
          <w:sz w:val="24"/>
          <w:szCs w:val="24"/>
        </w:rPr>
        <w:t xml:space="preserve"> de Facebook de la denunciada, que tuvo como objeto dar a conocer la aprobación de su solicitud de registro </w:t>
      </w:r>
      <w:r>
        <w:rPr>
          <w:rFonts w:ascii="Arial" w:eastAsia="Arial" w:hAnsi="Arial" w:cs="Arial"/>
          <w:sz w:val="24"/>
          <w:szCs w:val="24"/>
        </w:rPr>
        <w:lastRenderedPageBreak/>
        <w:t xml:space="preserve">como candidata de MORENA a la gubernatura de Aguascalientes para el actual proceso electoral. </w:t>
      </w:r>
    </w:p>
    <w:p w14:paraId="625917CD" w14:textId="77777777" w:rsidR="004F0743" w:rsidRDefault="0034256B">
      <w:pPr>
        <w:spacing w:before="240" w:after="240" w:line="360" w:lineRule="auto"/>
        <w:jc w:val="both"/>
        <w:rPr>
          <w:color w:val="000000"/>
        </w:rPr>
      </w:pPr>
      <w:bookmarkStart w:id="4" w:name="_heading=h.2vxuprrtlk1k" w:colFirst="0" w:colLast="0"/>
      <w:bookmarkEnd w:id="4"/>
      <w:r>
        <w:rPr>
          <w:rFonts w:ascii="Arial" w:eastAsia="Arial" w:hAnsi="Arial" w:cs="Arial"/>
          <w:sz w:val="24"/>
          <w:szCs w:val="24"/>
        </w:rPr>
        <w:t xml:space="preserve">Ello, porque </w:t>
      </w:r>
      <w:r>
        <w:rPr>
          <w:rFonts w:ascii="Arial" w:eastAsia="Arial" w:hAnsi="Arial" w:cs="Arial"/>
          <w:b/>
          <w:sz w:val="24"/>
          <w:szCs w:val="24"/>
        </w:rPr>
        <w:t>este órgano jurisdiccional considera</w:t>
      </w:r>
      <w:r>
        <w:rPr>
          <w:rFonts w:ascii="Arial" w:eastAsia="Arial" w:hAnsi="Arial" w:cs="Arial"/>
          <w:sz w:val="24"/>
          <w:szCs w:val="24"/>
        </w:rPr>
        <w:t xml:space="preserve"> que </w:t>
      </w:r>
      <w:r>
        <w:rPr>
          <w:rFonts w:ascii="Arial" w:eastAsia="Arial" w:hAnsi="Arial" w:cs="Arial"/>
          <w:b/>
          <w:sz w:val="24"/>
          <w:szCs w:val="24"/>
        </w:rPr>
        <w:t xml:space="preserve">no fue posible actualizar el elemento subjetivo </w:t>
      </w:r>
      <w:r>
        <w:rPr>
          <w:rFonts w:ascii="Arial" w:eastAsia="Arial" w:hAnsi="Arial" w:cs="Arial"/>
          <w:sz w:val="24"/>
          <w:szCs w:val="24"/>
        </w:rPr>
        <w:t xml:space="preserve">que exige que el mensaje contenga un llamado expreso al voto, ni se advierte que existan elementos que demuestren un </w:t>
      </w:r>
      <w:r>
        <w:rPr>
          <w:rFonts w:ascii="Arial" w:eastAsia="Arial" w:hAnsi="Arial" w:cs="Arial"/>
          <w:b/>
          <w:sz w:val="24"/>
          <w:szCs w:val="24"/>
        </w:rPr>
        <w:t>mensaje funcionalmente equivalente</w:t>
      </w:r>
      <w:r>
        <w:rPr>
          <w:rFonts w:ascii="Arial" w:eastAsia="Arial" w:hAnsi="Arial" w:cs="Arial"/>
          <w:sz w:val="24"/>
          <w:szCs w:val="24"/>
        </w:rPr>
        <w:t xml:space="preserve"> a un llamado al voto en favor de la parte denunciada, ya que la publicación cuestionada tiene una naturaleza genérica, pues aborda un tema de </w:t>
      </w:r>
      <w:r>
        <w:rPr>
          <w:rFonts w:ascii="Arial" w:eastAsia="Arial" w:hAnsi="Arial" w:cs="Arial"/>
          <w:b/>
          <w:sz w:val="24"/>
          <w:szCs w:val="24"/>
        </w:rPr>
        <w:t>interés público</w:t>
      </w:r>
      <w:r>
        <w:rPr>
          <w:rFonts w:ascii="Arial" w:eastAsia="Arial" w:hAnsi="Arial" w:cs="Arial"/>
          <w:sz w:val="24"/>
          <w:szCs w:val="24"/>
        </w:rPr>
        <w:t xml:space="preserve"> -como lo es su participación en el proceso electoral- que abona al debate político y, por tanto, se encuentra dentro de los parámetros permitidos durante la etapa de intercampañas en favor de las candidaturas. De ahí que, el hecho de no se acredite uno de los tres elementos que exige la infracción denunciada -personal, temporal y subjetivo-, implica que debe declararse la inexistencia.</w:t>
      </w:r>
    </w:p>
    <w:p w14:paraId="0EF2FAF4" w14:textId="77777777" w:rsidR="004F0743" w:rsidRDefault="0034256B">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1A921033" w14:textId="77777777" w:rsidR="004F0743" w:rsidRDefault="004F0743">
      <w:pPr>
        <w:pBdr>
          <w:top w:val="nil"/>
          <w:left w:val="nil"/>
          <w:bottom w:val="nil"/>
          <w:right w:val="nil"/>
          <w:between w:val="nil"/>
        </w:pBdr>
        <w:rPr>
          <w:color w:val="000000"/>
        </w:rPr>
      </w:pPr>
    </w:p>
    <w:p w14:paraId="18C31E8B" w14:textId="64F4A000" w:rsidR="00C05ACF" w:rsidRDefault="0034256B" w:rsidP="00C05ACF">
      <w:pPr>
        <w:spacing w:line="360" w:lineRule="auto"/>
        <w:jc w:val="both"/>
        <w:rPr>
          <w:rFonts w:ascii="Arial" w:eastAsia="Arial" w:hAnsi="Arial" w:cs="Arial"/>
          <w:b/>
          <w:sz w:val="24"/>
          <w:szCs w:val="24"/>
        </w:rPr>
      </w:pPr>
      <w:r>
        <w:rPr>
          <w:rFonts w:ascii="Arial" w:eastAsia="Arial" w:hAnsi="Arial" w:cs="Arial"/>
          <w:b/>
          <w:sz w:val="24"/>
          <w:szCs w:val="24"/>
        </w:rPr>
        <w:t xml:space="preserve">1. Marco normativo </w:t>
      </w:r>
    </w:p>
    <w:p w14:paraId="17AB00CF" w14:textId="77777777" w:rsidR="00C05ACF" w:rsidRDefault="00C05ACF" w:rsidP="00C05ACF">
      <w:pPr>
        <w:pStyle w:val="Sinespaciado"/>
        <w:rPr>
          <w:rFonts w:eastAsia="Arial"/>
        </w:rPr>
      </w:pPr>
    </w:p>
    <w:p w14:paraId="2C560D4A" w14:textId="7261D8F0" w:rsidR="00C05ACF" w:rsidRPr="00954553" w:rsidRDefault="00C05ACF" w:rsidP="00C05ACF">
      <w:pPr>
        <w:spacing w:line="360" w:lineRule="auto"/>
        <w:jc w:val="both"/>
        <w:rPr>
          <w:rFonts w:ascii="Arial" w:eastAsia="Arial" w:hAnsi="Arial" w:cs="Arial"/>
          <w:b/>
          <w:bCs/>
          <w:sz w:val="24"/>
          <w:szCs w:val="24"/>
          <w:u w:val="single"/>
        </w:rPr>
      </w:pPr>
      <w:r>
        <w:rPr>
          <w:rFonts w:ascii="Arial" w:eastAsia="Arial" w:hAnsi="Arial" w:cs="Arial"/>
          <w:b/>
          <w:sz w:val="24"/>
          <w:szCs w:val="24"/>
        </w:rPr>
        <w:t xml:space="preserve">1.1. </w:t>
      </w:r>
      <w:r w:rsidRPr="00954553">
        <w:rPr>
          <w:rFonts w:ascii="Arial" w:hAnsi="Arial" w:cs="Arial"/>
          <w:b/>
          <w:bCs/>
          <w:sz w:val="24"/>
          <w:szCs w:val="24"/>
        </w:rPr>
        <w:t xml:space="preserve">Marco normativo de la libertad de expresión en las redes sociales </w:t>
      </w:r>
    </w:p>
    <w:p w14:paraId="7C488ED2" w14:textId="77777777" w:rsidR="00C05ACF" w:rsidRPr="00C940DD" w:rsidRDefault="00C05ACF" w:rsidP="00C05ACF">
      <w:pPr>
        <w:pStyle w:val="Sinespaciado"/>
        <w:rPr>
          <w:rFonts w:eastAsia="Arial"/>
          <w:sz w:val="16"/>
          <w:szCs w:val="16"/>
        </w:rPr>
      </w:pPr>
    </w:p>
    <w:p w14:paraId="069BFE50" w14:textId="77777777" w:rsidR="00C05ACF" w:rsidRDefault="00C05ACF" w:rsidP="00C05ACF">
      <w:pPr>
        <w:spacing w:line="360" w:lineRule="auto"/>
        <w:jc w:val="both"/>
        <w:rPr>
          <w:rFonts w:ascii="Arial" w:hAnsi="Arial" w:cs="Arial"/>
          <w:sz w:val="24"/>
          <w:szCs w:val="24"/>
          <w:lang w:val="es-ES_tradnl"/>
        </w:rPr>
      </w:pPr>
      <w:r>
        <w:rPr>
          <w:rFonts w:ascii="Arial" w:hAnsi="Arial" w:cs="Arial"/>
          <w:sz w:val="24"/>
          <w:szCs w:val="24"/>
        </w:rPr>
        <w:t xml:space="preserve">Las redes sociales </w:t>
      </w:r>
      <w:r w:rsidRPr="00F57741">
        <w:rPr>
          <w:rFonts w:ascii="Arial" w:hAnsi="Arial" w:cs="Arial"/>
          <w:sz w:val="24"/>
          <w:szCs w:val="24"/>
        </w:rPr>
        <w:t xml:space="preserve">fungen como un </w:t>
      </w:r>
      <w:r w:rsidRPr="001F67F5">
        <w:rPr>
          <w:rFonts w:ascii="Arial" w:hAnsi="Arial" w:cs="Arial"/>
          <w:b/>
          <w:bCs/>
          <w:sz w:val="24"/>
          <w:szCs w:val="24"/>
        </w:rPr>
        <w:t>medio de comunicación masivo</w:t>
      </w:r>
      <w:r w:rsidRPr="00F57741">
        <w:rPr>
          <w:rFonts w:ascii="Arial" w:hAnsi="Arial" w:cs="Arial"/>
          <w:sz w:val="24"/>
          <w:szCs w:val="24"/>
        </w:rPr>
        <w:t xml:space="preserve"> que </w:t>
      </w:r>
      <w:r w:rsidRPr="001F67F5">
        <w:rPr>
          <w:rFonts w:ascii="Arial" w:hAnsi="Arial" w:cs="Arial"/>
          <w:sz w:val="24"/>
          <w:szCs w:val="24"/>
        </w:rPr>
        <w:t>permite a los usuarios tener un</w:t>
      </w:r>
      <w:r w:rsidRPr="00F57741">
        <w:rPr>
          <w:rFonts w:ascii="Arial" w:hAnsi="Arial" w:cs="Arial"/>
          <w:b/>
          <w:bCs/>
          <w:sz w:val="24"/>
          <w:szCs w:val="24"/>
        </w:rPr>
        <w:t xml:space="preserve"> debate amplio y robusto</w:t>
      </w:r>
      <w:r w:rsidRPr="00F57741">
        <w:rPr>
          <w:rFonts w:ascii="Arial" w:hAnsi="Arial" w:cs="Arial"/>
          <w:sz w:val="24"/>
          <w:szCs w:val="24"/>
        </w:rPr>
        <w:t xml:space="preserve">, en el que </w:t>
      </w:r>
      <w:r w:rsidRPr="001F67F5">
        <w:rPr>
          <w:rFonts w:ascii="Arial" w:hAnsi="Arial" w:cs="Arial"/>
          <w:sz w:val="24"/>
          <w:szCs w:val="24"/>
        </w:rPr>
        <w:t>intercambian ideas y opiniones positivas o negativas,</w:t>
      </w:r>
      <w:r w:rsidRPr="00F57741">
        <w:rPr>
          <w:rFonts w:ascii="Arial" w:hAnsi="Arial" w:cs="Arial"/>
          <w:sz w:val="24"/>
          <w:szCs w:val="24"/>
        </w:rPr>
        <w:t xml:space="preserve"> de manera ágil y fluid</w:t>
      </w:r>
      <w:r>
        <w:rPr>
          <w:rFonts w:ascii="Arial" w:hAnsi="Arial" w:cs="Arial"/>
          <w:sz w:val="24"/>
          <w:szCs w:val="24"/>
        </w:rPr>
        <w:t xml:space="preserve">a, lo cual implica que </w:t>
      </w:r>
      <w:r w:rsidRPr="00C940DD">
        <w:rPr>
          <w:rFonts w:ascii="Arial" w:hAnsi="Arial" w:cs="Arial"/>
          <w:b/>
          <w:bCs/>
          <w:sz w:val="24"/>
          <w:szCs w:val="24"/>
          <w:lang w:val="es-ES_tradnl"/>
        </w:rPr>
        <w:t xml:space="preserve">la comunicación no </w:t>
      </w:r>
      <w:r>
        <w:rPr>
          <w:rFonts w:ascii="Arial" w:hAnsi="Arial" w:cs="Arial"/>
          <w:b/>
          <w:bCs/>
          <w:sz w:val="24"/>
          <w:szCs w:val="24"/>
          <w:lang w:val="es-ES_tradnl"/>
        </w:rPr>
        <w:t>sea</w:t>
      </w:r>
      <w:r w:rsidRPr="00C940DD">
        <w:rPr>
          <w:rFonts w:ascii="Arial" w:hAnsi="Arial" w:cs="Arial"/>
          <w:b/>
          <w:bCs/>
          <w:sz w:val="24"/>
          <w:szCs w:val="24"/>
          <w:lang w:val="es-ES_tradnl"/>
        </w:rPr>
        <w:t xml:space="preserve"> unidireccional</w:t>
      </w:r>
      <w:r w:rsidRPr="00F57741">
        <w:rPr>
          <w:rFonts w:ascii="Arial" w:hAnsi="Arial" w:cs="Arial"/>
          <w:sz w:val="24"/>
          <w:szCs w:val="24"/>
          <w:lang w:val="es-ES_tradnl"/>
        </w:rPr>
        <w:t xml:space="preserve">, </w:t>
      </w:r>
      <w:r>
        <w:rPr>
          <w:rFonts w:ascii="Arial" w:hAnsi="Arial" w:cs="Arial"/>
          <w:sz w:val="24"/>
          <w:szCs w:val="24"/>
          <w:lang w:val="es-ES_tradnl"/>
        </w:rPr>
        <w:t>pues</w:t>
      </w:r>
      <w:r w:rsidRPr="00F57741">
        <w:rPr>
          <w:rFonts w:ascii="Arial" w:hAnsi="Arial" w:cs="Arial"/>
          <w:sz w:val="24"/>
          <w:szCs w:val="24"/>
          <w:lang w:val="es-ES_tradnl"/>
        </w:rPr>
        <w:t xml:space="preserve"> los usuarios pueden interactuar de diferentes maneras y con varias personas a la vez. </w:t>
      </w:r>
    </w:p>
    <w:p w14:paraId="2977E575" w14:textId="77777777" w:rsidR="00C05ACF" w:rsidRPr="00326B34" w:rsidRDefault="00C05ACF" w:rsidP="00C05ACF">
      <w:pPr>
        <w:pStyle w:val="Sinespaciado"/>
      </w:pPr>
    </w:p>
    <w:p w14:paraId="77AA7B4A" w14:textId="77777777" w:rsidR="00C05ACF" w:rsidRPr="00F57741" w:rsidRDefault="00C05ACF" w:rsidP="00C05ACF">
      <w:pPr>
        <w:spacing w:line="360" w:lineRule="auto"/>
        <w:jc w:val="both"/>
        <w:rPr>
          <w:rFonts w:ascii="Arial" w:hAnsi="Arial" w:cs="Arial"/>
          <w:sz w:val="24"/>
          <w:szCs w:val="24"/>
        </w:rPr>
      </w:pPr>
      <w:r w:rsidRPr="00F57741">
        <w:rPr>
          <w:rFonts w:ascii="Arial" w:hAnsi="Arial" w:cs="Arial"/>
          <w:sz w:val="24"/>
          <w:szCs w:val="24"/>
        </w:rPr>
        <w:t>Por otro lado</w:t>
      </w:r>
      <w:r>
        <w:rPr>
          <w:rFonts w:ascii="Arial" w:hAnsi="Arial" w:cs="Arial"/>
          <w:sz w:val="24"/>
          <w:szCs w:val="24"/>
        </w:rPr>
        <w:t>,</w:t>
      </w:r>
      <w:r w:rsidRPr="00F57741">
        <w:rPr>
          <w:rFonts w:ascii="Arial" w:hAnsi="Arial" w:cs="Arial"/>
          <w:sz w:val="24"/>
          <w:szCs w:val="24"/>
        </w:rPr>
        <w:t xml:space="preserve"> son el medio idóneo para que las personas ejerzan de manera plena sus derechos a la libertad de expresión, opinión</w:t>
      </w:r>
      <w:r>
        <w:rPr>
          <w:rFonts w:ascii="Arial" w:hAnsi="Arial" w:cs="Arial"/>
          <w:sz w:val="24"/>
          <w:szCs w:val="24"/>
        </w:rPr>
        <w:t xml:space="preserve"> y</w:t>
      </w:r>
      <w:r w:rsidRPr="00F57741">
        <w:rPr>
          <w:rFonts w:ascii="Arial" w:hAnsi="Arial" w:cs="Arial"/>
          <w:sz w:val="24"/>
          <w:szCs w:val="24"/>
        </w:rPr>
        <w:t xml:space="preserve"> asociación</w:t>
      </w:r>
      <w:r>
        <w:rPr>
          <w:rFonts w:ascii="Arial" w:hAnsi="Arial" w:cs="Arial"/>
          <w:sz w:val="24"/>
          <w:szCs w:val="24"/>
        </w:rPr>
        <w:t xml:space="preserve">. Por ello, </w:t>
      </w:r>
      <w:r w:rsidRPr="00F57741">
        <w:rPr>
          <w:rFonts w:ascii="Arial" w:hAnsi="Arial" w:cs="Arial"/>
          <w:sz w:val="24"/>
          <w:szCs w:val="24"/>
        </w:rPr>
        <w:t>se vuelven un elemento importante para la democracia</w:t>
      </w:r>
      <w:r>
        <w:rPr>
          <w:rFonts w:ascii="Arial" w:hAnsi="Arial" w:cs="Arial"/>
          <w:sz w:val="24"/>
          <w:szCs w:val="24"/>
        </w:rPr>
        <w:t>, ya que permiten a la ciudadanía realizar un ejercicio más abierto, plural y expansivo, respecto a temáticas cívicas y políticas de trascendencia e interés.</w:t>
      </w:r>
    </w:p>
    <w:p w14:paraId="6248B227" w14:textId="77777777" w:rsidR="00C05ACF" w:rsidRDefault="00C05ACF" w:rsidP="00C05ACF"/>
    <w:p w14:paraId="19E76E24" w14:textId="77777777" w:rsidR="00C05ACF" w:rsidRDefault="00C05ACF" w:rsidP="00C05ACF">
      <w:pPr>
        <w:spacing w:line="360" w:lineRule="auto"/>
        <w:jc w:val="both"/>
        <w:rPr>
          <w:rFonts w:ascii="Arial" w:hAnsi="Arial" w:cs="Arial"/>
          <w:sz w:val="24"/>
          <w:szCs w:val="24"/>
          <w:shd w:val="clear" w:color="auto" w:fill="FFFFFF"/>
        </w:rPr>
      </w:pPr>
      <w:r w:rsidRPr="001F67F5">
        <w:rPr>
          <w:rFonts w:ascii="Arial" w:hAnsi="Arial" w:cs="Arial"/>
          <w:sz w:val="24"/>
          <w:szCs w:val="24"/>
          <w:shd w:val="clear" w:color="auto" w:fill="FFFFFF"/>
        </w:rPr>
        <w:t>No obstante, la Sala Superior</w:t>
      </w:r>
      <w:bookmarkStart w:id="5" w:name="_ftnref7"/>
      <w:bookmarkEnd w:id="5"/>
      <w:r w:rsidRPr="001F67F5">
        <w:rPr>
          <w:rFonts w:ascii="Arial" w:hAnsi="Arial" w:cs="Arial"/>
          <w:sz w:val="24"/>
          <w:szCs w:val="24"/>
          <w:shd w:val="clear" w:color="auto" w:fill="FFFFFF"/>
        </w:rPr>
        <w:t xml:space="preserve"> ha sostenido que los usuarios de </w:t>
      </w:r>
      <w:r>
        <w:rPr>
          <w:rFonts w:ascii="Arial" w:hAnsi="Arial" w:cs="Arial"/>
          <w:sz w:val="24"/>
          <w:szCs w:val="24"/>
          <w:shd w:val="clear" w:color="auto" w:fill="FFFFFF"/>
        </w:rPr>
        <w:t>éstas</w:t>
      </w:r>
      <w:r w:rsidRPr="001F67F5">
        <w:rPr>
          <w:rFonts w:ascii="Arial" w:hAnsi="Arial" w:cs="Arial"/>
          <w:sz w:val="24"/>
          <w:szCs w:val="24"/>
          <w:shd w:val="clear" w:color="auto" w:fill="FFFFFF"/>
        </w:rPr>
        <w:t xml:space="preserve"> no están excluidos de cumplir las obligaciones y respetar las prohibiciones que existan en materia electoral, de modo que la autoridad jurisdiccional competente, al analizar cada caso concreto, debe valorar si los contenidos o mensajes actualizan una infracción a la normativa electoral </w:t>
      </w:r>
      <w:r w:rsidRPr="001F67F5">
        <w:rPr>
          <w:rFonts w:ascii="Arial" w:hAnsi="Arial" w:cs="Arial"/>
          <w:b/>
          <w:bCs/>
          <w:sz w:val="24"/>
          <w:szCs w:val="24"/>
          <w:shd w:val="clear" w:color="auto" w:fill="FFFFFF"/>
        </w:rPr>
        <w:t>con independencia del medio a través del cual se produzca o acredite la falta</w:t>
      </w:r>
      <w:r w:rsidRPr="001F67F5">
        <w:rPr>
          <w:rFonts w:ascii="Arial" w:hAnsi="Arial" w:cs="Arial"/>
          <w:sz w:val="24"/>
          <w:szCs w:val="24"/>
          <w:shd w:val="clear" w:color="auto" w:fill="FFFFFF"/>
        </w:rPr>
        <w:t>, ya que de lo contrario se pondrían en riesgo los principios constitucionales que la materia electoral tutela.</w:t>
      </w:r>
    </w:p>
    <w:p w14:paraId="5E792B1A" w14:textId="77777777" w:rsidR="00C05ACF" w:rsidRDefault="00C05ACF" w:rsidP="00C05ACF">
      <w:pPr>
        <w:pStyle w:val="Sinespaciado"/>
        <w:rPr>
          <w:shd w:val="clear" w:color="auto" w:fill="FFFFFF"/>
        </w:rPr>
      </w:pPr>
    </w:p>
    <w:p w14:paraId="69775DFB" w14:textId="77777777" w:rsidR="00C05ACF" w:rsidRDefault="00C05ACF" w:rsidP="00C05ACF">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Así, en los casos en los que se analicen conductas que posiblemente actualicen alguna infracción en materia electoral a través de redes sociales, resulta necesario identificar al </w:t>
      </w:r>
      <w:r>
        <w:rPr>
          <w:rFonts w:ascii="Arial" w:hAnsi="Arial" w:cs="Arial"/>
          <w:sz w:val="24"/>
          <w:szCs w:val="24"/>
          <w:shd w:val="clear" w:color="auto" w:fill="FFFFFF"/>
        </w:rPr>
        <w:lastRenderedPageBreak/>
        <w:t xml:space="preserve">emisor y establecer su calidad -ya sea como </w:t>
      </w:r>
      <w:r w:rsidRPr="00326B34">
        <w:rPr>
          <w:rFonts w:ascii="Arial" w:hAnsi="Arial" w:cs="Arial"/>
          <w:sz w:val="24"/>
          <w:szCs w:val="24"/>
          <w:shd w:val="clear" w:color="auto" w:fill="FFFFFF"/>
        </w:rPr>
        <w:t>ciudadano</w:t>
      </w:r>
      <w:r>
        <w:rPr>
          <w:rFonts w:ascii="Arial" w:hAnsi="Arial" w:cs="Arial"/>
          <w:sz w:val="24"/>
          <w:szCs w:val="24"/>
          <w:shd w:val="clear" w:color="auto" w:fill="FFFFFF"/>
        </w:rPr>
        <w:t xml:space="preserve"> o ciudadana</w:t>
      </w:r>
      <w:r w:rsidRPr="00326B34">
        <w:rPr>
          <w:rFonts w:ascii="Arial" w:hAnsi="Arial" w:cs="Arial"/>
          <w:sz w:val="24"/>
          <w:szCs w:val="24"/>
          <w:shd w:val="clear" w:color="auto" w:fill="FFFFFF"/>
        </w:rPr>
        <w:t>, aspirante, candidat</w:t>
      </w:r>
      <w:r>
        <w:rPr>
          <w:rFonts w:ascii="Arial" w:hAnsi="Arial" w:cs="Arial"/>
          <w:sz w:val="24"/>
          <w:szCs w:val="24"/>
          <w:shd w:val="clear" w:color="auto" w:fill="FFFFFF"/>
        </w:rPr>
        <w:t>ura</w:t>
      </w:r>
      <w:r w:rsidRPr="00326B34">
        <w:rPr>
          <w:rFonts w:ascii="Arial" w:hAnsi="Arial" w:cs="Arial"/>
          <w:sz w:val="24"/>
          <w:szCs w:val="24"/>
          <w:shd w:val="clear" w:color="auto" w:fill="FFFFFF"/>
        </w:rPr>
        <w:t>, partido político</w:t>
      </w:r>
      <w:r>
        <w:rPr>
          <w:rFonts w:ascii="Arial" w:hAnsi="Arial" w:cs="Arial"/>
          <w:sz w:val="24"/>
          <w:szCs w:val="24"/>
          <w:shd w:val="clear" w:color="auto" w:fill="FFFFFF"/>
        </w:rPr>
        <w:t xml:space="preserve"> o</w:t>
      </w:r>
      <w:r w:rsidRPr="00326B34">
        <w:rPr>
          <w:rFonts w:ascii="Arial" w:hAnsi="Arial" w:cs="Arial"/>
          <w:sz w:val="24"/>
          <w:szCs w:val="24"/>
          <w:shd w:val="clear" w:color="auto" w:fill="FFFFFF"/>
        </w:rPr>
        <w:t xml:space="preserve"> persona moral</w:t>
      </w:r>
      <w:r>
        <w:rPr>
          <w:rFonts w:ascii="Arial" w:hAnsi="Arial" w:cs="Arial"/>
          <w:sz w:val="24"/>
          <w:szCs w:val="24"/>
          <w:shd w:val="clear" w:color="auto" w:fill="FFFFFF"/>
        </w:rPr>
        <w:t>- y el contexto en el cual se difunde, a fin de poder determinar si se actualiza alguna afectación a los principios rectores, tales como el de equidad en la contienda.</w:t>
      </w:r>
    </w:p>
    <w:p w14:paraId="235D68B6" w14:textId="77777777" w:rsidR="00C05ACF" w:rsidRPr="00C05ACF" w:rsidRDefault="00C05ACF" w:rsidP="00C05ACF">
      <w:pPr>
        <w:pStyle w:val="Sinespaciado"/>
      </w:pPr>
    </w:p>
    <w:p w14:paraId="5186D1A0" w14:textId="77777777" w:rsidR="00C05ACF" w:rsidRPr="00F3101B" w:rsidRDefault="00C05ACF" w:rsidP="00C05ACF">
      <w:pPr>
        <w:spacing w:line="360" w:lineRule="auto"/>
        <w:jc w:val="both"/>
        <w:rPr>
          <w:rFonts w:ascii="Arial" w:hAnsi="Arial" w:cs="Arial"/>
          <w:sz w:val="24"/>
          <w:szCs w:val="24"/>
          <w:lang w:val="es-ES_tradnl"/>
        </w:rPr>
      </w:pPr>
      <w:r w:rsidRPr="00F57741">
        <w:rPr>
          <w:rFonts w:ascii="Arial" w:hAnsi="Arial" w:cs="Arial"/>
          <w:sz w:val="24"/>
          <w:szCs w:val="24"/>
          <w:lang w:val="es-ES_tradnl"/>
        </w:rPr>
        <w:t xml:space="preserve">De lo anterior es posible concluir que, si bien la </w:t>
      </w:r>
      <w:r w:rsidRPr="00326B34">
        <w:rPr>
          <w:rFonts w:ascii="Arial" w:hAnsi="Arial" w:cs="Arial"/>
          <w:sz w:val="24"/>
          <w:szCs w:val="24"/>
          <w:lang w:val="es-ES_tradnl"/>
        </w:rPr>
        <w:t>libertad de expresión a través de redes sociales goza, en principio, de una presunción de espontaneida</w:t>
      </w:r>
      <w:bookmarkStart w:id="6" w:name="_ftnref24"/>
      <w:bookmarkEnd w:id="6"/>
      <w:r w:rsidRPr="00326B34">
        <w:rPr>
          <w:rFonts w:ascii="Arial" w:hAnsi="Arial" w:cs="Arial"/>
          <w:sz w:val="24"/>
          <w:szCs w:val="24"/>
          <w:lang w:val="es-ES_tradnl"/>
        </w:rPr>
        <w:t>d</w:t>
      </w:r>
      <w:r w:rsidRPr="00F57741">
        <w:rPr>
          <w:rFonts w:ascii="Arial" w:hAnsi="Arial" w:cs="Arial"/>
          <w:sz w:val="24"/>
          <w:szCs w:val="24"/>
          <w:lang w:val="es-ES_tradnl"/>
        </w:rPr>
        <w:t>, es decir, que la difusión de mensajes, videos, fotografías o cualquier elemento audiovisual cuenta con una protección amplia</w:t>
      </w:r>
      <w:r>
        <w:rPr>
          <w:rFonts w:ascii="Arial" w:hAnsi="Arial" w:cs="Arial"/>
          <w:sz w:val="24"/>
          <w:szCs w:val="24"/>
          <w:lang w:val="es-ES_tradnl"/>
        </w:rPr>
        <w:t xml:space="preserve">, también es que </w:t>
      </w:r>
      <w:r w:rsidRPr="00326B34">
        <w:rPr>
          <w:rFonts w:ascii="Arial" w:hAnsi="Arial" w:cs="Arial"/>
          <w:b/>
          <w:bCs/>
          <w:sz w:val="24"/>
          <w:szCs w:val="24"/>
          <w:lang w:val="es-ES_tradnl"/>
        </w:rPr>
        <w:t>los mensajes difundidos pueden ser susceptibles de constituir una infracción en materia electoral.</w:t>
      </w:r>
    </w:p>
    <w:p w14:paraId="3C24DA37" w14:textId="77777777" w:rsidR="00C05ACF" w:rsidRDefault="00C05ACF" w:rsidP="00C05ACF">
      <w:pPr>
        <w:pStyle w:val="Sinespaciado"/>
        <w:rPr>
          <w:rFonts w:eastAsia="Arial"/>
        </w:rPr>
      </w:pPr>
    </w:p>
    <w:p w14:paraId="6CD449D1" w14:textId="77777777" w:rsidR="00C05ACF" w:rsidRDefault="00C05ACF" w:rsidP="00C05ACF">
      <w:pPr>
        <w:spacing w:line="360" w:lineRule="auto"/>
        <w:jc w:val="both"/>
        <w:rPr>
          <w:rFonts w:ascii="Arial" w:eastAsia="Arial" w:hAnsi="Arial" w:cs="Arial"/>
          <w:b/>
          <w:sz w:val="24"/>
          <w:szCs w:val="24"/>
        </w:rPr>
      </w:pPr>
      <w:r>
        <w:rPr>
          <w:rFonts w:ascii="Arial" w:eastAsia="Arial" w:hAnsi="Arial" w:cs="Arial"/>
          <w:b/>
          <w:sz w:val="24"/>
          <w:szCs w:val="24"/>
        </w:rPr>
        <w:t>1.2. Infracción de actos anticipados de campaña</w:t>
      </w:r>
    </w:p>
    <w:p w14:paraId="2720CEF6" w14:textId="77777777" w:rsidR="00C05ACF" w:rsidRDefault="00C05ACF" w:rsidP="00C05ACF">
      <w:pPr>
        <w:pBdr>
          <w:top w:val="nil"/>
          <w:left w:val="nil"/>
          <w:bottom w:val="nil"/>
          <w:right w:val="nil"/>
          <w:between w:val="nil"/>
        </w:pBdr>
        <w:rPr>
          <w:color w:val="000000"/>
        </w:rPr>
      </w:pPr>
    </w:p>
    <w:p w14:paraId="30B08CE8" w14:textId="77777777" w:rsidR="00C05ACF" w:rsidRDefault="00C05ACF" w:rsidP="00C05ACF">
      <w:pPr>
        <w:spacing w:line="360" w:lineRule="auto"/>
        <w:jc w:val="both"/>
        <w:rPr>
          <w:rFonts w:ascii="Arial" w:eastAsia="Arial" w:hAnsi="Arial" w:cs="Arial"/>
          <w:sz w:val="24"/>
          <w:szCs w:val="24"/>
        </w:rPr>
      </w:pPr>
      <w:r>
        <w:rPr>
          <w:rFonts w:ascii="Arial" w:eastAsia="Arial" w:hAnsi="Arial" w:cs="Arial"/>
          <w:sz w:val="24"/>
          <w:szCs w:val="24"/>
        </w:rPr>
        <w:t>El artículo 3°, párrafo 1, inciso a), de la LEGIPE</w:t>
      </w:r>
      <w:r>
        <w:rPr>
          <w:rFonts w:ascii="Arial" w:eastAsia="Arial" w:hAnsi="Arial" w:cs="Arial"/>
          <w:sz w:val="24"/>
          <w:szCs w:val="24"/>
          <w:vertAlign w:val="superscript"/>
        </w:rPr>
        <w:footnoteReference w:id="8"/>
      </w:r>
      <w:r>
        <w:rPr>
          <w:rFonts w:ascii="Arial" w:eastAsia="Arial" w:hAnsi="Arial" w:cs="Arial"/>
          <w:sz w:val="24"/>
          <w:szCs w:val="24"/>
        </w:rPr>
        <w:t xml:space="preserve"> establece que son actos anticipados de campaña las expresiones -bajo cualquier modalidad y realizadas en cualquier momento fuera de dicha etapa-, que contengan llamados expresos al voto en favor o en contra de una candidatura o partido político o bien, expresiones solicitando cualquier tipo de apoyo para contender en el proceso electoral.</w:t>
      </w:r>
    </w:p>
    <w:p w14:paraId="001A7C73" w14:textId="77777777" w:rsidR="00C05ACF" w:rsidRDefault="00C05ACF" w:rsidP="00C05ACF">
      <w:pPr>
        <w:pBdr>
          <w:top w:val="nil"/>
          <w:left w:val="nil"/>
          <w:bottom w:val="nil"/>
          <w:right w:val="nil"/>
          <w:between w:val="nil"/>
        </w:pBdr>
        <w:rPr>
          <w:color w:val="000000"/>
        </w:rPr>
      </w:pPr>
    </w:p>
    <w:p w14:paraId="1324E4ED" w14:textId="77777777" w:rsidR="00C05ACF" w:rsidRDefault="00C05ACF" w:rsidP="00C05ACF">
      <w:pPr>
        <w:spacing w:line="360" w:lineRule="auto"/>
        <w:jc w:val="both"/>
        <w:rPr>
          <w:rFonts w:ascii="Arial" w:eastAsia="Arial" w:hAnsi="Arial" w:cs="Arial"/>
          <w:sz w:val="24"/>
          <w:szCs w:val="24"/>
        </w:rPr>
      </w:pPr>
      <w:r>
        <w:rPr>
          <w:rFonts w:ascii="Arial" w:eastAsia="Arial" w:hAnsi="Arial" w:cs="Arial"/>
          <w:sz w:val="24"/>
          <w:szCs w:val="24"/>
        </w:rPr>
        <w:t>Por tanto, el artículo 244, del Código Local</w:t>
      </w:r>
      <w:r>
        <w:rPr>
          <w:rFonts w:ascii="Arial" w:eastAsia="Arial" w:hAnsi="Arial" w:cs="Arial"/>
          <w:sz w:val="24"/>
          <w:szCs w:val="24"/>
          <w:vertAlign w:val="superscript"/>
        </w:rPr>
        <w:footnoteReference w:id="9"/>
      </w:r>
      <w:r>
        <w:rPr>
          <w:rFonts w:ascii="Arial" w:eastAsia="Arial" w:hAnsi="Arial" w:cs="Arial"/>
          <w:sz w:val="24"/>
          <w:szCs w:val="24"/>
        </w:rPr>
        <w:t xml:space="preserve"> prevé la prohibición a las y los aspirantes, precandidaturas y candidaturas de realizar actos anticipados de precampaña o campaña.</w:t>
      </w:r>
    </w:p>
    <w:p w14:paraId="096F24D4" w14:textId="77777777" w:rsidR="00C05ACF" w:rsidRDefault="00C05ACF" w:rsidP="00C05ACF">
      <w:pPr>
        <w:pBdr>
          <w:top w:val="nil"/>
          <w:left w:val="nil"/>
          <w:bottom w:val="nil"/>
          <w:right w:val="nil"/>
          <w:between w:val="nil"/>
        </w:pBdr>
        <w:rPr>
          <w:color w:val="000000"/>
        </w:rPr>
      </w:pPr>
    </w:p>
    <w:p w14:paraId="07E49ADD" w14:textId="77777777" w:rsidR="00C05ACF" w:rsidRDefault="00C05ACF" w:rsidP="00C05ACF">
      <w:pPr>
        <w:spacing w:line="360" w:lineRule="auto"/>
        <w:jc w:val="both"/>
        <w:rPr>
          <w:rFonts w:ascii="Arial" w:eastAsia="Arial" w:hAnsi="Arial" w:cs="Arial"/>
          <w:sz w:val="24"/>
          <w:szCs w:val="24"/>
        </w:rPr>
      </w:pPr>
      <w:r>
        <w:rPr>
          <w:rFonts w:ascii="Arial" w:eastAsia="Arial" w:hAnsi="Arial" w:cs="Arial"/>
          <w:sz w:val="24"/>
          <w:szCs w:val="24"/>
        </w:rPr>
        <w:t xml:space="preserve">Por otra parte, la Sala Superior ha sostenido que los actos anticipados de campaña </w:t>
      </w:r>
      <w:r>
        <w:rPr>
          <w:rFonts w:ascii="Arial" w:eastAsia="Arial" w:hAnsi="Arial" w:cs="Arial"/>
          <w:b/>
          <w:sz w:val="24"/>
          <w:szCs w:val="24"/>
        </w:rPr>
        <w:t>se actualizan a través de la coexistencia de los elementos personal, temporal y subjetivo</w:t>
      </w:r>
      <w:r>
        <w:rPr>
          <w:rFonts w:ascii="Arial" w:eastAsia="Arial" w:hAnsi="Arial" w:cs="Arial"/>
          <w:sz w:val="24"/>
          <w:szCs w:val="24"/>
        </w:rPr>
        <w:t>, los cuales atienden a lo siguiente:</w:t>
      </w:r>
    </w:p>
    <w:p w14:paraId="6815BEA5" w14:textId="77777777" w:rsidR="00C05ACF" w:rsidRDefault="00C05ACF" w:rsidP="00C05ACF">
      <w:pPr>
        <w:pBdr>
          <w:top w:val="nil"/>
          <w:left w:val="nil"/>
          <w:bottom w:val="nil"/>
          <w:right w:val="nil"/>
          <w:between w:val="nil"/>
        </w:pBdr>
        <w:rPr>
          <w:color w:val="000000"/>
        </w:rPr>
      </w:pPr>
    </w:p>
    <w:p w14:paraId="253FB257" w14:textId="18255441" w:rsidR="00C05ACF" w:rsidRDefault="00C05ACF" w:rsidP="00C05ACF">
      <w:pPr>
        <w:spacing w:line="360" w:lineRule="auto"/>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b/>
          <w:sz w:val="24"/>
          <w:szCs w:val="24"/>
        </w:rPr>
        <w:t xml:space="preserve"> Personal:</w:t>
      </w:r>
      <w:r>
        <w:rPr>
          <w:rFonts w:ascii="Arial" w:eastAsia="Arial" w:hAnsi="Arial" w:cs="Arial"/>
          <w:sz w:val="24"/>
          <w:szCs w:val="24"/>
        </w:rPr>
        <w:t xml:space="preserve"> Se acredita si la expresión es realizada por </w:t>
      </w:r>
      <w:r>
        <w:rPr>
          <w:rFonts w:ascii="Arial" w:eastAsia="Arial" w:hAnsi="Arial" w:cs="Arial"/>
          <w:b/>
          <w:sz w:val="24"/>
          <w:szCs w:val="24"/>
          <w:u w:val="single"/>
        </w:rPr>
        <w:t>partidos políticos</w:t>
      </w:r>
      <w:r>
        <w:rPr>
          <w:rFonts w:ascii="Arial" w:eastAsia="Arial" w:hAnsi="Arial" w:cs="Arial"/>
          <w:b/>
          <w:sz w:val="24"/>
          <w:szCs w:val="24"/>
        </w:rPr>
        <w:t xml:space="preserve">, </w:t>
      </w:r>
      <w:r>
        <w:rPr>
          <w:rFonts w:ascii="Arial" w:eastAsia="Arial" w:hAnsi="Arial" w:cs="Arial"/>
          <w:sz w:val="24"/>
          <w:szCs w:val="24"/>
        </w:rPr>
        <w:t>aspirantes, precandidaturas o candidaturas. Para ello, es necesario que el sujeto que emita el mensaje o realice el acto sea plenamente identificable.</w:t>
      </w:r>
    </w:p>
    <w:p w14:paraId="6B1DFD54" w14:textId="77777777" w:rsidR="00925E2D" w:rsidRDefault="00925E2D" w:rsidP="00925E2D">
      <w:pPr>
        <w:pStyle w:val="Sinespaciado"/>
        <w:rPr>
          <w:rFonts w:eastAsia="Arial"/>
        </w:rPr>
      </w:pPr>
    </w:p>
    <w:p w14:paraId="17A97CF7" w14:textId="77777777" w:rsidR="00C05ACF" w:rsidRDefault="00C05ACF" w:rsidP="00C05ACF">
      <w:pPr>
        <w:spacing w:line="360" w:lineRule="auto"/>
        <w:jc w:val="both"/>
        <w:rPr>
          <w:rFonts w:ascii="Arial" w:eastAsia="Arial" w:hAnsi="Arial" w:cs="Arial"/>
          <w:sz w:val="24"/>
          <w:szCs w:val="24"/>
        </w:rPr>
      </w:pPr>
      <w:r>
        <w:rPr>
          <w:rFonts w:ascii="Arial" w:eastAsia="Arial" w:hAnsi="Arial" w:cs="Arial"/>
          <w:b/>
          <w:i/>
          <w:sz w:val="24"/>
          <w:szCs w:val="24"/>
        </w:rPr>
        <w:t>ii)</w:t>
      </w:r>
      <w:r>
        <w:rPr>
          <w:rFonts w:ascii="Arial" w:eastAsia="Arial" w:hAnsi="Arial" w:cs="Arial"/>
          <w:b/>
          <w:sz w:val="24"/>
          <w:szCs w:val="24"/>
        </w:rPr>
        <w:t xml:space="preserve"> Temporal:</w:t>
      </w:r>
      <w:r>
        <w:rPr>
          <w:rFonts w:ascii="Arial" w:eastAsia="Arial" w:hAnsi="Arial" w:cs="Arial"/>
          <w:sz w:val="24"/>
          <w:szCs w:val="24"/>
        </w:rPr>
        <w:t xml:space="preserve"> Atiende al periodo en el cual ocurren los actos denunciados, es decir, </w:t>
      </w:r>
      <w:r>
        <w:rPr>
          <w:rFonts w:ascii="Arial" w:eastAsia="Arial" w:hAnsi="Arial" w:cs="Arial"/>
          <w:b/>
          <w:sz w:val="24"/>
          <w:szCs w:val="24"/>
        </w:rPr>
        <w:t xml:space="preserve">antes del inicio formal de la campaña </w:t>
      </w:r>
      <w:r>
        <w:rPr>
          <w:rFonts w:ascii="Arial" w:eastAsia="Arial" w:hAnsi="Arial" w:cs="Arial"/>
          <w:sz w:val="24"/>
          <w:szCs w:val="24"/>
        </w:rPr>
        <w:t>electoral.</w:t>
      </w:r>
    </w:p>
    <w:p w14:paraId="5C2BBC89" w14:textId="77777777" w:rsidR="00C05ACF" w:rsidRDefault="00C05ACF" w:rsidP="00C05ACF">
      <w:pPr>
        <w:pBdr>
          <w:top w:val="nil"/>
          <w:left w:val="nil"/>
          <w:bottom w:val="nil"/>
          <w:right w:val="nil"/>
          <w:between w:val="nil"/>
        </w:pBdr>
        <w:rPr>
          <w:color w:val="000000"/>
        </w:rPr>
      </w:pPr>
    </w:p>
    <w:p w14:paraId="14ECC570" w14:textId="77777777" w:rsidR="00C05ACF" w:rsidRDefault="00C05ACF" w:rsidP="00C05ACF">
      <w:pPr>
        <w:spacing w:line="360" w:lineRule="auto"/>
        <w:jc w:val="both"/>
        <w:rPr>
          <w:rFonts w:ascii="Arial" w:eastAsia="Arial" w:hAnsi="Arial" w:cs="Arial"/>
          <w:sz w:val="24"/>
          <w:szCs w:val="24"/>
        </w:rPr>
      </w:pPr>
      <w:r>
        <w:rPr>
          <w:rFonts w:ascii="Arial" w:eastAsia="Arial" w:hAnsi="Arial" w:cs="Arial"/>
          <w:b/>
          <w:i/>
          <w:sz w:val="24"/>
          <w:szCs w:val="24"/>
        </w:rPr>
        <w:t>iii)</w:t>
      </w:r>
      <w:r>
        <w:rPr>
          <w:rFonts w:ascii="Arial" w:eastAsia="Arial" w:hAnsi="Arial" w:cs="Arial"/>
          <w:b/>
          <w:sz w:val="24"/>
          <w:szCs w:val="24"/>
        </w:rPr>
        <w:t xml:space="preserve"> Subjetivo: </w:t>
      </w:r>
      <w:r>
        <w:rPr>
          <w:rFonts w:ascii="Arial" w:eastAsia="Arial" w:hAnsi="Arial" w:cs="Arial"/>
          <w:sz w:val="24"/>
          <w:szCs w:val="24"/>
        </w:rPr>
        <w:t xml:space="preserve">Consiste en que los mensajes o actos contengan </w:t>
      </w:r>
      <w:r>
        <w:rPr>
          <w:rFonts w:ascii="Arial" w:eastAsia="Arial" w:hAnsi="Arial" w:cs="Arial"/>
          <w:b/>
          <w:sz w:val="24"/>
          <w:szCs w:val="24"/>
        </w:rPr>
        <w:t xml:space="preserve">manifestaciones explícitas o inequívocas </w:t>
      </w:r>
      <w:r>
        <w:rPr>
          <w:rFonts w:ascii="Arial" w:eastAsia="Arial" w:hAnsi="Arial" w:cs="Arial"/>
          <w:sz w:val="24"/>
          <w:szCs w:val="24"/>
        </w:rPr>
        <w:t xml:space="preserve">de apoyo o rechazo hacia alguna opción política, es decir, que se </w:t>
      </w:r>
      <w:r>
        <w:rPr>
          <w:rFonts w:ascii="Arial" w:eastAsia="Arial" w:hAnsi="Arial" w:cs="Arial"/>
          <w:sz w:val="24"/>
          <w:szCs w:val="24"/>
        </w:rPr>
        <w:lastRenderedPageBreak/>
        <w:t xml:space="preserve">llame a votar a favor o en contra de algún aspirante, precandidatura, candidatura </w:t>
      </w:r>
      <w:r>
        <w:rPr>
          <w:rFonts w:ascii="Arial" w:eastAsia="Arial" w:hAnsi="Arial" w:cs="Arial"/>
          <w:b/>
          <w:sz w:val="24"/>
          <w:szCs w:val="24"/>
        </w:rPr>
        <w:t>y/o partido político</w:t>
      </w:r>
      <w:r>
        <w:rPr>
          <w:rFonts w:ascii="Arial" w:eastAsia="Arial" w:hAnsi="Arial" w:cs="Arial"/>
          <w:sz w:val="24"/>
          <w:szCs w:val="24"/>
        </w:rPr>
        <w:t xml:space="preserve">. </w:t>
      </w:r>
    </w:p>
    <w:p w14:paraId="5A5F2238" w14:textId="77777777" w:rsidR="00C05ACF" w:rsidRDefault="00C05ACF" w:rsidP="00C05ACF">
      <w:pPr>
        <w:pBdr>
          <w:top w:val="nil"/>
          <w:left w:val="nil"/>
          <w:bottom w:val="nil"/>
          <w:right w:val="nil"/>
          <w:between w:val="nil"/>
        </w:pBdr>
        <w:rPr>
          <w:color w:val="000000"/>
        </w:rPr>
      </w:pPr>
    </w:p>
    <w:p w14:paraId="0EB09198" w14:textId="77777777" w:rsidR="00C05ACF" w:rsidRDefault="00C05ACF" w:rsidP="00C05ACF">
      <w:pPr>
        <w:spacing w:line="360" w:lineRule="auto"/>
        <w:jc w:val="both"/>
        <w:rPr>
          <w:rFonts w:ascii="Arial" w:eastAsia="Arial" w:hAnsi="Arial" w:cs="Arial"/>
          <w:sz w:val="24"/>
          <w:szCs w:val="24"/>
        </w:rPr>
      </w:pPr>
      <w:r>
        <w:rPr>
          <w:rFonts w:ascii="Arial" w:eastAsia="Arial" w:hAnsi="Arial" w:cs="Arial"/>
          <w:sz w:val="24"/>
          <w:szCs w:val="24"/>
        </w:rPr>
        <w:t xml:space="preserve">Al respecto, la Sala Superior ha considerado que el análisis y revisión de tales elementos no debe ser una tarea sistemática ni aislada de palabras o signos, sino por el contrario, </w:t>
      </w:r>
      <w:r>
        <w:rPr>
          <w:rFonts w:ascii="Arial" w:eastAsia="Arial" w:hAnsi="Arial" w:cs="Arial"/>
          <w:b/>
          <w:sz w:val="24"/>
          <w:szCs w:val="24"/>
        </w:rPr>
        <w:t xml:space="preserve">se debe realizar una valoración exhaustiva y conjunta </w:t>
      </w:r>
      <w:r>
        <w:rPr>
          <w:rFonts w:ascii="Arial" w:eastAsia="Arial" w:hAnsi="Arial" w:cs="Arial"/>
          <w:sz w:val="24"/>
          <w:szCs w:val="24"/>
        </w:rPr>
        <w:t>de la propaganda y de las características expresas en su conjunto, a fin de determinar si ello constituye o contiene un equivalente funcional para buscar un apoyo electoral.</w:t>
      </w:r>
    </w:p>
    <w:p w14:paraId="26CE2021" w14:textId="77777777" w:rsidR="00C05ACF" w:rsidRDefault="00C05ACF" w:rsidP="00C05ACF">
      <w:pPr>
        <w:pBdr>
          <w:top w:val="nil"/>
          <w:left w:val="nil"/>
          <w:bottom w:val="nil"/>
          <w:right w:val="nil"/>
          <w:between w:val="nil"/>
        </w:pBdr>
        <w:rPr>
          <w:color w:val="000000"/>
        </w:rPr>
      </w:pPr>
    </w:p>
    <w:p w14:paraId="4CB35666" w14:textId="77777777" w:rsidR="00C05ACF" w:rsidRDefault="00C05ACF" w:rsidP="00C05ACF">
      <w:pPr>
        <w:spacing w:line="360" w:lineRule="auto"/>
        <w:jc w:val="both"/>
        <w:rPr>
          <w:rFonts w:ascii="Arial" w:eastAsia="Arial" w:hAnsi="Arial" w:cs="Arial"/>
          <w:sz w:val="24"/>
          <w:szCs w:val="24"/>
        </w:rPr>
      </w:pPr>
      <w:r>
        <w:rPr>
          <w:rFonts w:ascii="Arial" w:eastAsia="Arial" w:hAnsi="Arial" w:cs="Arial"/>
          <w:sz w:val="24"/>
          <w:szCs w:val="24"/>
        </w:rPr>
        <w:t xml:space="preserve">Así, para estar en posibilidad de determinar de manera objetiva si las expresiones denunciadas pretenden beneficiar o posicionar a una candidatura, debe valorarse si el mensaje es </w:t>
      </w:r>
      <w:r>
        <w:rPr>
          <w:rFonts w:ascii="Arial" w:eastAsia="Arial" w:hAnsi="Arial" w:cs="Arial"/>
          <w:b/>
          <w:sz w:val="24"/>
          <w:szCs w:val="24"/>
        </w:rPr>
        <w:t>funcionalmente equivalente a un llamamiento al voto</w:t>
      </w:r>
      <w:r>
        <w:rPr>
          <w:rFonts w:ascii="Arial" w:eastAsia="Arial" w:hAnsi="Arial" w:cs="Arial"/>
          <w:sz w:val="24"/>
          <w:szCs w:val="24"/>
        </w:rPr>
        <w:t xml:space="preserve">, es decir, si pretende proyectarse ante la ciudadanía como una opción política real en el contexto de una contienda electoral. </w:t>
      </w:r>
    </w:p>
    <w:p w14:paraId="17065AAD" w14:textId="77777777" w:rsidR="00C05ACF" w:rsidRDefault="00C05ACF" w:rsidP="00C05ACF">
      <w:pPr>
        <w:pBdr>
          <w:top w:val="nil"/>
          <w:left w:val="nil"/>
          <w:bottom w:val="nil"/>
          <w:right w:val="nil"/>
          <w:between w:val="nil"/>
        </w:pBdr>
        <w:rPr>
          <w:color w:val="000000"/>
        </w:rPr>
      </w:pPr>
    </w:p>
    <w:p w14:paraId="69D16D98" w14:textId="77777777" w:rsidR="00C05ACF" w:rsidRDefault="00C05ACF" w:rsidP="00C05ACF">
      <w:pPr>
        <w:spacing w:line="360" w:lineRule="auto"/>
        <w:jc w:val="both"/>
        <w:rPr>
          <w:rFonts w:ascii="Arial" w:eastAsia="Arial" w:hAnsi="Arial" w:cs="Arial"/>
          <w:sz w:val="24"/>
          <w:szCs w:val="24"/>
        </w:rPr>
      </w:pPr>
      <w:r>
        <w:rPr>
          <w:rFonts w:ascii="Arial" w:eastAsia="Arial" w:hAnsi="Arial" w:cs="Arial"/>
          <w:sz w:val="24"/>
          <w:szCs w:val="24"/>
        </w:rPr>
        <w:t>A través de dicho método se busca evitar que las y los sujetos involucrados realicen conductas fraudulentas por medio de propaganda en la que si bien no emplean palabras únicas o sacramentales, también es que sí utiliza frases o formulaciones que de manera implícita comprenden un llamamiento al voto.</w:t>
      </w:r>
    </w:p>
    <w:p w14:paraId="22665CC0" w14:textId="77777777" w:rsidR="00C05ACF" w:rsidRDefault="00C05ACF" w:rsidP="00C05ACF">
      <w:pPr>
        <w:pBdr>
          <w:top w:val="nil"/>
          <w:left w:val="nil"/>
          <w:bottom w:val="nil"/>
          <w:right w:val="nil"/>
          <w:between w:val="nil"/>
        </w:pBdr>
        <w:rPr>
          <w:color w:val="000000"/>
        </w:rPr>
      </w:pPr>
    </w:p>
    <w:p w14:paraId="4C01073E" w14:textId="77777777" w:rsidR="00C05ACF" w:rsidRDefault="00C05ACF" w:rsidP="00C05ACF">
      <w:pPr>
        <w:spacing w:line="360" w:lineRule="auto"/>
        <w:jc w:val="both"/>
        <w:rPr>
          <w:rFonts w:ascii="Arial" w:eastAsia="Arial" w:hAnsi="Arial" w:cs="Arial"/>
          <w:sz w:val="24"/>
          <w:szCs w:val="24"/>
        </w:rPr>
      </w:pPr>
      <w:r>
        <w:rPr>
          <w:rFonts w:ascii="Arial" w:eastAsia="Arial" w:hAnsi="Arial" w:cs="Arial"/>
          <w:sz w:val="24"/>
          <w:szCs w:val="24"/>
        </w:rPr>
        <w:t>Por tanto, la jurisprudencia 4/2018</w:t>
      </w:r>
      <w:r>
        <w:rPr>
          <w:rFonts w:ascii="Arial" w:eastAsia="Arial" w:hAnsi="Arial" w:cs="Arial"/>
          <w:sz w:val="24"/>
          <w:szCs w:val="24"/>
          <w:vertAlign w:val="superscript"/>
        </w:rPr>
        <w:footnoteReference w:id="10"/>
      </w:r>
      <w:r>
        <w:rPr>
          <w:rFonts w:ascii="Arial" w:eastAsia="Arial" w:hAnsi="Arial" w:cs="Arial"/>
          <w:sz w:val="24"/>
          <w:szCs w:val="24"/>
        </w:rPr>
        <w:t xml:space="preserve"> establece que para que </w:t>
      </w:r>
      <w:r>
        <w:rPr>
          <w:rFonts w:ascii="Arial" w:eastAsia="Arial" w:hAnsi="Arial" w:cs="Arial"/>
          <w:b/>
          <w:sz w:val="24"/>
          <w:szCs w:val="24"/>
        </w:rPr>
        <w:t>una expresión pueda considerarse equivalente a otra</w:t>
      </w:r>
      <w:r>
        <w:rPr>
          <w:rFonts w:ascii="Arial" w:eastAsia="Arial" w:hAnsi="Arial" w:cs="Arial"/>
          <w:sz w:val="24"/>
          <w:szCs w:val="24"/>
        </w:rPr>
        <w:t xml:space="preserve">, su significado debe ser </w:t>
      </w:r>
      <w:r>
        <w:rPr>
          <w:rFonts w:ascii="Arial" w:eastAsia="Arial" w:hAnsi="Arial" w:cs="Arial"/>
          <w:b/>
          <w:sz w:val="24"/>
          <w:szCs w:val="24"/>
        </w:rPr>
        <w:t>inequívoco</w:t>
      </w:r>
      <w:r>
        <w:rPr>
          <w:rFonts w:ascii="Arial" w:eastAsia="Arial" w:hAnsi="Arial" w:cs="Arial"/>
          <w:sz w:val="24"/>
          <w:szCs w:val="24"/>
        </w:rPr>
        <w:t xml:space="preserve">, es decir, que tal manifestación explícitamente tenga una finalidad electoral. Para esto deberá verificarse si el contenido denunciado: </w:t>
      </w:r>
      <w:r>
        <w:rPr>
          <w:rFonts w:ascii="Arial" w:eastAsia="Arial" w:hAnsi="Arial" w:cs="Arial"/>
          <w:b/>
          <w:i/>
        </w:rPr>
        <w:t>i</w:t>
      </w:r>
      <w:r>
        <w:rPr>
          <w:rFonts w:ascii="Arial" w:eastAsia="Arial" w:hAnsi="Arial" w:cs="Arial"/>
          <w:b/>
          <w:i/>
          <w:sz w:val="24"/>
          <w:szCs w:val="24"/>
        </w:rPr>
        <w:t>)</w:t>
      </w:r>
      <w:r>
        <w:rPr>
          <w:rFonts w:ascii="Arial" w:eastAsia="Arial" w:hAnsi="Arial" w:cs="Arial"/>
          <w:sz w:val="24"/>
          <w:szCs w:val="24"/>
        </w:rPr>
        <w:t xml:space="preserve"> incluye palabras o expresiones que de manera objetiva denote tal propósito o que contenga un equivalente de apoyo o rechazo y, </w:t>
      </w:r>
      <w:r>
        <w:rPr>
          <w:rFonts w:ascii="Arial" w:eastAsia="Arial" w:hAnsi="Arial" w:cs="Arial"/>
          <w:b/>
          <w:i/>
        </w:rPr>
        <w:t>ii</w:t>
      </w:r>
      <w:r>
        <w:rPr>
          <w:rFonts w:ascii="Arial" w:eastAsia="Arial" w:hAnsi="Arial" w:cs="Arial"/>
          <w:b/>
          <w:i/>
          <w:sz w:val="24"/>
          <w:szCs w:val="24"/>
        </w:rPr>
        <w:t>)</w:t>
      </w:r>
      <w:r>
        <w:rPr>
          <w:rFonts w:ascii="Arial" w:eastAsia="Arial" w:hAnsi="Arial" w:cs="Arial"/>
          <w:sz w:val="24"/>
          <w:szCs w:val="24"/>
        </w:rPr>
        <w:t xml:space="preserve"> trascendió al conocimiento de la ciudadanía y, valorados tales aspectos en su conjunto, puedan afectar el principio de equidad en la contienda.</w:t>
      </w:r>
    </w:p>
    <w:p w14:paraId="5E7FB907" w14:textId="77777777" w:rsidR="00C05ACF" w:rsidRDefault="00C05ACF" w:rsidP="00C05ACF">
      <w:pPr>
        <w:pBdr>
          <w:top w:val="nil"/>
          <w:left w:val="nil"/>
          <w:bottom w:val="nil"/>
          <w:right w:val="nil"/>
          <w:between w:val="nil"/>
        </w:pBdr>
        <w:rPr>
          <w:color w:val="000000"/>
        </w:rPr>
      </w:pPr>
    </w:p>
    <w:p w14:paraId="64EA23C6" w14:textId="77777777" w:rsidR="00C05ACF" w:rsidRDefault="00C05ACF" w:rsidP="00C05ACF">
      <w:pPr>
        <w:spacing w:line="360" w:lineRule="auto"/>
        <w:jc w:val="both"/>
        <w:rPr>
          <w:rFonts w:ascii="Arial" w:eastAsia="Arial" w:hAnsi="Arial" w:cs="Arial"/>
          <w:sz w:val="24"/>
          <w:szCs w:val="24"/>
        </w:rPr>
      </w:pPr>
      <w:r>
        <w:rPr>
          <w:rFonts w:ascii="Arial" w:eastAsia="Arial" w:hAnsi="Arial" w:cs="Arial"/>
          <w:sz w:val="24"/>
          <w:szCs w:val="24"/>
        </w:rPr>
        <w:t xml:space="preserve">A su vez, estableció que para acreditar el elemento subjetivo debe valorarse </w:t>
      </w:r>
      <w:r>
        <w:rPr>
          <w:rFonts w:ascii="Arial" w:eastAsia="Arial" w:hAnsi="Arial" w:cs="Arial"/>
          <w:b/>
          <w:sz w:val="24"/>
          <w:szCs w:val="24"/>
        </w:rPr>
        <w:t>si el mensaje denunciado trascendió a la ciudadanía</w:t>
      </w:r>
      <w:r>
        <w:rPr>
          <w:rFonts w:ascii="Arial" w:eastAsia="Arial" w:hAnsi="Arial" w:cs="Arial"/>
          <w:sz w:val="24"/>
          <w:szCs w:val="24"/>
        </w:rPr>
        <w:t xml:space="preserve">, a partir de: </w:t>
      </w:r>
      <w:r>
        <w:rPr>
          <w:rFonts w:ascii="Arial" w:eastAsia="Arial" w:hAnsi="Arial" w:cs="Arial"/>
          <w:b/>
          <w:i/>
        </w:rPr>
        <w:t>1)</w:t>
      </w:r>
      <w:r>
        <w:rPr>
          <w:rFonts w:ascii="Arial" w:eastAsia="Arial" w:hAnsi="Arial" w:cs="Arial"/>
        </w:rPr>
        <w:t xml:space="preserve"> </w:t>
      </w:r>
      <w:r>
        <w:rPr>
          <w:rFonts w:ascii="Arial" w:eastAsia="Arial" w:hAnsi="Arial" w:cs="Arial"/>
          <w:sz w:val="24"/>
          <w:szCs w:val="24"/>
        </w:rPr>
        <w:t xml:space="preserve">el tipo de audiencia al que se dirige el mensaje, esto es, a la ciudadanía en general o militancia, </w:t>
      </w:r>
      <w:r>
        <w:rPr>
          <w:rFonts w:ascii="Arial" w:eastAsia="Arial" w:hAnsi="Arial" w:cs="Arial"/>
          <w:b/>
          <w:i/>
        </w:rPr>
        <w:t>2)</w:t>
      </w:r>
      <w:r>
        <w:rPr>
          <w:rFonts w:ascii="Arial" w:eastAsia="Arial" w:hAnsi="Arial" w:cs="Arial"/>
          <w:sz w:val="24"/>
          <w:szCs w:val="24"/>
        </w:rPr>
        <w:t xml:space="preserve"> el tipo de lugar o recinto, es decir, si este es público o privado, abierto o cerrado y, </w:t>
      </w:r>
      <w:r>
        <w:rPr>
          <w:rFonts w:ascii="Arial" w:eastAsia="Arial" w:hAnsi="Arial" w:cs="Arial"/>
          <w:b/>
          <w:i/>
        </w:rPr>
        <w:t>3)</w:t>
      </w:r>
      <w:r>
        <w:rPr>
          <w:rFonts w:ascii="Arial" w:eastAsia="Arial" w:hAnsi="Arial" w:cs="Arial"/>
        </w:rPr>
        <w:t xml:space="preserve"> </w:t>
      </w:r>
      <w:r>
        <w:rPr>
          <w:rFonts w:ascii="Arial" w:eastAsia="Arial" w:hAnsi="Arial" w:cs="Arial"/>
          <w:sz w:val="24"/>
          <w:szCs w:val="24"/>
        </w:rPr>
        <w:t>las modalidades de difusión del mensaje, como podría ser un mitin, un promocional en radio o televisión, entre otras.</w:t>
      </w:r>
      <w:r>
        <w:rPr>
          <w:rFonts w:ascii="Arial" w:eastAsia="Arial" w:hAnsi="Arial" w:cs="Arial"/>
          <w:sz w:val="24"/>
          <w:szCs w:val="24"/>
          <w:vertAlign w:val="superscript"/>
        </w:rPr>
        <w:footnoteReference w:id="11"/>
      </w:r>
    </w:p>
    <w:p w14:paraId="056B41CB" w14:textId="77777777" w:rsidR="00C05ACF" w:rsidRDefault="00C05ACF" w:rsidP="00C05ACF">
      <w:pPr>
        <w:pBdr>
          <w:top w:val="nil"/>
          <w:left w:val="nil"/>
          <w:bottom w:val="nil"/>
          <w:right w:val="nil"/>
          <w:between w:val="nil"/>
        </w:pBdr>
        <w:rPr>
          <w:color w:val="000000"/>
        </w:rPr>
      </w:pPr>
    </w:p>
    <w:p w14:paraId="7EC7BA92" w14:textId="77777777" w:rsidR="00C05ACF" w:rsidRDefault="00C05ACF" w:rsidP="00C05ACF">
      <w:pPr>
        <w:spacing w:line="360" w:lineRule="auto"/>
        <w:jc w:val="both"/>
        <w:rPr>
          <w:rFonts w:ascii="Arial" w:eastAsia="Arial" w:hAnsi="Arial" w:cs="Arial"/>
          <w:sz w:val="24"/>
          <w:szCs w:val="24"/>
        </w:rPr>
      </w:pPr>
      <w:r>
        <w:rPr>
          <w:rFonts w:ascii="Arial" w:eastAsia="Arial" w:hAnsi="Arial" w:cs="Arial"/>
          <w:sz w:val="24"/>
          <w:szCs w:val="24"/>
        </w:rPr>
        <w:lastRenderedPageBreak/>
        <w:t>Sin embargo, es a través de recientes líneas judiciales que el Máximo Tribunal</w:t>
      </w:r>
      <w:r>
        <w:rPr>
          <w:rFonts w:ascii="Arial" w:eastAsia="Arial" w:hAnsi="Arial" w:cs="Arial"/>
          <w:sz w:val="24"/>
          <w:szCs w:val="24"/>
          <w:vertAlign w:val="superscript"/>
        </w:rPr>
        <w:footnoteReference w:id="12"/>
      </w:r>
      <w:r>
        <w:rPr>
          <w:rFonts w:ascii="Arial" w:eastAsia="Arial" w:hAnsi="Arial" w:cs="Arial"/>
          <w:sz w:val="24"/>
          <w:szCs w:val="24"/>
        </w:rPr>
        <w:t xml:space="preserve"> ha precisado la manera en que las autoridades jurisdiccionales deben argumentar la existencia de un equivalente funcional, esto es: </w:t>
      </w:r>
    </w:p>
    <w:p w14:paraId="4F4D6B39" w14:textId="77777777" w:rsidR="00C05ACF" w:rsidRDefault="00C05ACF" w:rsidP="00C05ACF">
      <w:pPr>
        <w:pBdr>
          <w:top w:val="nil"/>
          <w:left w:val="nil"/>
          <w:bottom w:val="nil"/>
          <w:right w:val="nil"/>
          <w:between w:val="nil"/>
        </w:pBdr>
        <w:rPr>
          <w:color w:val="000000"/>
        </w:rPr>
      </w:pPr>
    </w:p>
    <w:p w14:paraId="68175108" w14:textId="77777777" w:rsidR="00C05ACF" w:rsidRDefault="00C05ACF" w:rsidP="00C05ACF">
      <w:pPr>
        <w:numPr>
          <w:ilvl w:val="0"/>
          <w:numId w:val="8"/>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Deber de motivar:</w:t>
      </w:r>
      <w:r>
        <w:rPr>
          <w:rFonts w:ascii="Arial" w:eastAsia="Arial" w:hAnsi="Arial" w:cs="Arial"/>
          <w:color w:val="000000"/>
          <w:sz w:val="24"/>
          <w:szCs w:val="24"/>
        </w:rPr>
        <w:t xml:space="preserve"> Las y los juzgadores que busquen establecer que una frase denunciada es equivalente a un “</w:t>
      </w:r>
      <w:r>
        <w:rPr>
          <w:rFonts w:ascii="Arial" w:eastAsia="Arial" w:hAnsi="Arial" w:cs="Arial"/>
          <w:i/>
          <w:color w:val="000000"/>
          <w:sz w:val="24"/>
          <w:szCs w:val="24"/>
        </w:rPr>
        <w:t>vota por mí</w:t>
      </w:r>
      <w:r>
        <w:rPr>
          <w:rFonts w:ascii="Arial" w:eastAsia="Arial" w:hAnsi="Arial" w:cs="Arial"/>
          <w:color w:val="000000"/>
          <w:sz w:val="24"/>
          <w:szCs w:val="24"/>
        </w:rPr>
        <w:t xml:space="preserve">” tienen la obligación de </w:t>
      </w:r>
      <w:r>
        <w:rPr>
          <w:rFonts w:ascii="Arial" w:eastAsia="Arial" w:hAnsi="Arial" w:cs="Arial"/>
          <w:sz w:val="24"/>
          <w:szCs w:val="24"/>
        </w:rPr>
        <w:t>motivar debidamente</w:t>
      </w:r>
      <w:r>
        <w:rPr>
          <w:rFonts w:ascii="Arial" w:eastAsia="Arial" w:hAnsi="Arial" w:cs="Arial"/>
          <w:color w:val="000000"/>
          <w:sz w:val="24"/>
          <w:szCs w:val="24"/>
        </w:rPr>
        <w:t>.</w:t>
      </w:r>
    </w:p>
    <w:p w14:paraId="618C8C40" w14:textId="77777777" w:rsidR="00C05ACF" w:rsidRDefault="00C05ACF" w:rsidP="00C05ACF">
      <w:pPr>
        <w:pBdr>
          <w:top w:val="nil"/>
          <w:left w:val="nil"/>
          <w:bottom w:val="nil"/>
          <w:right w:val="nil"/>
          <w:between w:val="nil"/>
        </w:pBdr>
        <w:rPr>
          <w:color w:val="000000"/>
        </w:rPr>
      </w:pPr>
    </w:p>
    <w:p w14:paraId="67ED661D" w14:textId="77777777" w:rsidR="00C05ACF" w:rsidRDefault="00C05ACF" w:rsidP="00C05ACF">
      <w:pPr>
        <w:numPr>
          <w:ilvl w:val="0"/>
          <w:numId w:val="8"/>
        </w:numPr>
        <w:pBdr>
          <w:top w:val="nil"/>
          <w:left w:val="nil"/>
          <w:bottom w:val="nil"/>
          <w:right w:val="nil"/>
          <w:between w:val="nil"/>
        </w:pBdr>
        <w:tabs>
          <w:tab w:val="left" w:pos="426"/>
        </w:tabs>
        <w:spacing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rPr>
        <w:t>Elementos para motivar la equivalencia:</w:t>
      </w:r>
      <w:r>
        <w:rPr>
          <w:rFonts w:ascii="Arial" w:eastAsia="Arial" w:hAnsi="Arial" w:cs="Arial"/>
          <w:color w:val="000000"/>
          <w:sz w:val="24"/>
          <w:szCs w:val="24"/>
        </w:rPr>
        <w:t xml:space="preserve"> precisar </w:t>
      </w:r>
      <w:r>
        <w:rPr>
          <w:rFonts w:ascii="Arial" w:eastAsia="Arial" w:hAnsi="Arial" w:cs="Arial"/>
          <w:b/>
          <w:i/>
          <w:color w:val="000000"/>
        </w:rPr>
        <w:t>1)</w:t>
      </w:r>
      <w:r>
        <w:rPr>
          <w:rFonts w:ascii="Arial" w:eastAsia="Arial" w:hAnsi="Arial" w:cs="Arial"/>
          <w:color w:val="000000"/>
          <w:sz w:val="24"/>
          <w:szCs w:val="24"/>
        </w:rPr>
        <w:t xml:space="preserve"> el tipo de expresión en cuestión; </w:t>
      </w:r>
      <w:r>
        <w:rPr>
          <w:rFonts w:ascii="Arial" w:eastAsia="Arial" w:hAnsi="Arial" w:cs="Arial"/>
          <w:b/>
          <w:i/>
          <w:color w:val="000000"/>
        </w:rPr>
        <w:t>2)</w:t>
      </w:r>
      <w:r>
        <w:rPr>
          <w:rFonts w:ascii="Arial" w:eastAsia="Arial" w:hAnsi="Arial" w:cs="Arial"/>
          <w:color w:val="000000"/>
          <w:sz w:val="24"/>
          <w:szCs w:val="24"/>
        </w:rPr>
        <w:t xml:space="preserve"> cuál es el mensaje electoral de referencia que supuestamente se actualiza mediante equivalencia; </w:t>
      </w:r>
      <w:r>
        <w:rPr>
          <w:rFonts w:ascii="Arial" w:eastAsia="Arial" w:hAnsi="Arial" w:cs="Arial"/>
          <w:b/>
          <w:i/>
          <w:color w:val="000000"/>
        </w:rPr>
        <w:t>3)</w:t>
      </w:r>
      <w:r>
        <w:rPr>
          <w:rFonts w:ascii="Arial" w:eastAsia="Arial" w:hAnsi="Arial" w:cs="Arial"/>
          <w:color w:val="000000"/>
          <w:sz w:val="24"/>
          <w:szCs w:val="24"/>
        </w:rPr>
        <w:t xml:space="preserve"> justificar tal relación. Asimismo, sostuvo que algunos parámetros básicos para justificar la correspondencia del significado son los siguientes: </w:t>
      </w:r>
    </w:p>
    <w:p w14:paraId="197351D6" w14:textId="77777777" w:rsidR="00C05ACF" w:rsidRDefault="00C05ACF" w:rsidP="00C05ACF">
      <w:pPr>
        <w:pBdr>
          <w:top w:val="nil"/>
          <w:left w:val="nil"/>
          <w:bottom w:val="nil"/>
          <w:right w:val="nil"/>
          <w:between w:val="nil"/>
        </w:pBdr>
        <w:rPr>
          <w:color w:val="000000"/>
        </w:rPr>
      </w:pPr>
    </w:p>
    <w:p w14:paraId="78173669" w14:textId="77777777" w:rsidR="00C05ACF" w:rsidRDefault="00C05ACF" w:rsidP="00C05ACF">
      <w:pPr>
        <w:numPr>
          <w:ilvl w:val="0"/>
          <w:numId w:val="7"/>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La correspondencia debe ser inequívoca en términos de la jurisprudencia 4/2018.</w:t>
      </w:r>
    </w:p>
    <w:p w14:paraId="2D8F58C6" w14:textId="77777777" w:rsidR="00C05ACF" w:rsidRDefault="00C05ACF" w:rsidP="00C05ACF">
      <w:pPr>
        <w:numPr>
          <w:ilvl w:val="0"/>
          <w:numId w:val="7"/>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Debe ser natural y conservar el sentido de la expresión, es decir, debe traducirse de forma razonable y objetiva a una solicitud del tipo “vota por mí”.</w:t>
      </w:r>
    </w:p>
    <w:p w14:paraId="6F4D7CDE" w14:textId="77777777" w:rsidR="00C05ACF" w:rsidRDefault="00C05ACF" w:rsidP="00C05ACF">
      <w:pPr>
        <w:numPr>
          <w:ilvl w:val="0"/>
          <w:numId w:val="7"/>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No puede acudirse a inferencias subjetivas para establecer la equivalencia.</w:t>
      </w:r>
    </w:p>
    <w:p w14:paraId="0ABC41CB" w14:textId="77777777" w:rsidR="00C05ACF" w:rsidRDefault="00C05ACF" w:rsidP="00C05ACF">
      <w:pPr>
        <w:numPr>
          <w:ilvl w:val="0"/>
          <w:numId w:val="7"/>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Es posible intentar establecer la intención del mensaje a partir de una racionalidad mínima, pero es necesario explicitar los parámetros que se utilizarán y los argumentos que justifican la conclusión.</w:t>
      </w:r>
    </w:p>
    <w:p w14:paraId="7334C702" w14:textId="77777777" w:rsidR="00C05ACF" w:rsidRDefault="00C05ACF" w:rsidP="00C05ACF">
      <w:pPr>
        <w:numPr>
          <w:ilvl w:val="0"/>
          <w:numId w:val="7"/>
        </w:numPr>
        <w:pBdr>
          <w:top w:val="nil"/>
          <w:left w:val="nil"/>
          <w:bottom w:val="nil"/>
          <w:right w:val="nil"/>
          <w:between w:val="nil"/>
        </w:pBdr>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Es necesario acudir al contexto, en medida que se expliquen los elementos y cómo refuerzan o refutan el análisis de equivalencia.</w:t>
      </w:r>
    </w:p>
    <w:p w14:paraId="4AC395C1" w14:textId="77777777" w:rsidR="00C05ACF" w:rsidRDefault="00C05ACF" w:rsidP="00C05ACF">
      <w:pPr>
        <w:pBdr>
          <w:top w:val="nil"/>
          <w:left w:val="nil"/>
          <w:bottom w:val="nil"/>
          <w:right w:val="nil"/>
          <w:between w:val="nil"/>
        </w:pBdr>
        <w:rPr>
          <w:color w:val="000000"/>
        </w:rPr>
      </w:pPr>
    </w:p>
    <w:p w14:paraId="4C54FB08" w14:textId="77777777" w:rsidR="00C05ACF" w:rsidRDefault="00C05ACF" w:rsidP="00C05ACF">
      <w:pPr>
        <w:numPr>
          <w:ilvl w:val="0"/>
          <w:numId w:val="8"/>
        </w:numPr>
        <w:pBdr>
          <w:top w:val="nil"/>
          <w:left w:val="nil"/>
          <w:bottom w:val="nil"/>
          <w:right w:val="nil"/>
          <w:between w:val="nil"/>
        </w:pBdr>
        <w:tabs>
          <w:tab w:val="left" w:pos="426"/>
        </w:tabs>
        <w:spacing w:line="360" w:lineRule="auto"/>
        <w:ind w:left="0" w:firstLine="0"/>
        <w:jc w:val="both"/>
        <w:rPr>
          <w:rFonts w:ascii="Arial" w:eastAsia="Arial" w:hAnsi="Arial" w:cs="Arial"/>
          <w:b/>
          <w:color w:val="000000"/>
          <w:sz w:val="24"/>
          <w:szCs w:val="24"/>
        </w:rPr>
      </w:pPr>
      <w:r>
        <w:rPr>
          <w:rFonts w:ascii="Arial" w:eastAsia="Arial" w:hAnsi="Arial" w:cs="Arial"/>
          <w:b/>
          <w:color w:val="000000"/>
          <w:sz w:val="24"/>
          <w:szCs w:val="24"/>
        </w:rPr>
        <w:t xml:space="preserve">Actualización de un posicionamiento electoral: </w:t>
      </w:r>
      <w:r>
        <w:rPr>
          <w:rFonts w:ascii="Arial" w:eastAsia="Arial" w:hAnsi="Arial" w:cs="Arial"/>
          <w:color w:val="000000"/>
          <w:sz w:val="24"/>
          <w:szCs w:val="24"/>
        </w:rPr>
        <w:t xml:space="preserve">finalmente, dispuso que por </w:t>
      </w:r>
      <w:r>
        <w:rPr>
          <w:rFonts w:ascii="Arial" w:eastAsia="Arial" w:hAnsi="Arial" w:cs="Arial"/>
          <w:i/>
          <w:color w:val="000000"/>
          <w:sz w:val="24"/>
          <w:szCs w:val="24"/>
        </w:rPr>
        <w:t xml:space="preserve">posicionamiento electoral </w:t>
      </w:r>
      <w:r>
        <w:rPr>
          <w:rFonts w:ascii="Arial" w:eastAsia="Arial" w:hAnsi="Arial" w:cs="Arial"/>
          <w:color w:val="000000"/>
          <w:sz w:val="24"/>
          <w:szCs w:val="24"/>
        </w:rPr>
        <w:t xml:space="preserve">debe entenderse la finalidad o consecuencia de un llamado expreso al voto, o bien, de un mensaje que tiene un significado equivalente de forma inequívoca. </w:t>
      </w:r>
    </w:p>
    <w:p w14:paraId="732F4DA6" w14:textId="77777777" w:rsidR="00C05ACF" w:rsidRDefault="00C05ACF" w:rsidP="00C05ACF">
      <w:pPr>
        <w:pBdr>
          <w:top w:val="nil"/>
          <w:left w:val="nil"/>
          <w:bottom w:val="nil"/>
          <w:right w:val="nil"/>
          <w:between w:val="nil"/>
        </w:pBdr>
        <w:rPr>
          <w:color w:val="000000"/>
        </w:rPr>
      </w:pPr>
    </w:p>
    <w:p w14:paraId="78C2E126" w14:textId="77777777" w:rsidR="00C05ACF" w:rsidRDefault="00C05ACF" w:rsidP="00C05ACF">
      <w:pPr>
        <w:spacing w:line="360" w:lineRule="auto"/>
        <w:jc w:val="both"/>
        <w:rPr>
          <w:rFonts w:ascii="Arial" w:eastAsia="Arial" w:hAnsi="Arial" w:cs="Arial"/>
          <w:sz w:val="24"/>
          <w:szCs w:val="24"/>
        </w:rPr>
      </w:pPr>
      <w:r>
        <w:rPr>
          <w:rFonts w:ascii="Arial" w:eastAsia="Arial" w:hAnsi="Arial" w:cs="Arial"/>
          <w:sz w:val="24"/>
          <w:szCs w:val="24"/>
        </w:rPr>
        <w:t>Lo anterior se estimó así, con el objetivo de dotar a las autoridades jurisdiccionales de elementos objetivos y razonables que les permitan desarrollar la justificación de cuáles son las razones para determinar que ciertas expresiones conllevan una finalidad electoral en periodo prohibido y, por tanto, constituyen un posicionamiento electoral anticipado, ya sea a través de un llamamiento expreso o por conducto de algún equivalente funcional.</w:t>
      </w:r>
    </w:p>
    <w:p w14:paraId="674454C8" w14:textId="77777777" w:rsidR="00C05ACF" w:rsidRDefault="00C05ACF" w:rsidP="00C05ACF">
      <w:pPr>
        <w:pBdr>
          <w:top w:val="nil"/>
          <w:left w:val="nil"/>
          <w:bottom w:val="nil"/>
          <w:right w:val="nil"/>
          <w:between w:val="nil"/>
        </w:pBdr>
        <w:rPr>
          <w:color w:val="000000"/>
        </w:rPr>
      </w:pPr>
    </w:p>
    <w:p w14:paraId="1AE06483" w14:textId="2ECC6A4C" w:rsidR="00C05ACF" w:rsidRPr="00C05ACF" w:rsidRDefault="00C05ACF">
      <w:pPr>
        <w:spacing w:line="360" w:lineRule="auto"/>
        <w:jc w:val="both"/>
        <w:rPr>
          <w:rFonts w:ascii="Arial" w:eastAsia="Arial" w:hAnsi="Arial" w:cs="Arial"/>
          <w:sz w:val="24"/>
          <w:szCs w:val="24"/>
        </w:rPr>
      </w:pPr>
      <w:r>
        <w:rPr>
          <w:rFonts w:ascii="Arial" w:eastAsia="Arial" w:hAnsi="Arial" w:cs="Arial"/>
          <w:sz w:val="24"/>
          <w:szCs w:val="24"/>
        </w:rPr>
        <w:t xml:space="preserve">En conclusión, los actos anticipados de campaña únicamente podrán actualizarse en la medida que se acrediten todos los elementos antes descritos, esto con la finalidad de salvaguardar el principio de equidad en la contienda y, a su vez, privilegiar la tutela de la libre expresión y la maximización del debate público. </w:t>
      </w:r>
    </w:p>
    <w:p w14:paraId="1B836312" w14:textId="77777777" w:rsidR="004F0743" w:rsidRDefault="004F0743">
      <w:pPr>
        <w:pBdr>
          <w:top w:val="nil"/>
          <w:left w:val="nil"/>
          <w:bottom w:val="nil"/>
          <w:right w:val="nil"/>
          <w:between w:val="nil"/>
        </w:pBdr>
        <w:rPr>
          <w:color w:val="000000"/>
        </w:rPr>
      </w:pPr>
    </w:p>
    <w:p w14:paraId="1A7C5A52" w14:textId="77777777" w:rsidR="004F0743" w:rsidRDefault="0034256B">
      <w:pPr>
        <w:pBdr>
          <w:top w:val="nil"/>
          <w:left w:val="nil"/>
          <w:bottom w:val="nil"/>
          <w:right w:val="nil"/>
          <w:between w:val="nil"/>
        </w:pBdr>
        <w:tabs>
          <w:tab w:val="left" w:pos="284"/>
        </w:tabs>
        <w:spacing w:line="360" w:lineRule="auto"/>
        <w:ind w:right="36"/>
        <w:jc w:val="both"/>
        <w:rPr>
          <w:rFonts w:ascii="Arial" w:eastAsia="Arial" w:hAnsi="Arial" w:cs="Arial"/>
          <w:b/>
          <w:color w:val="000000"/>
          <w:sz w:val="24"/>
          <w:szCs w:val="24"/>
        </w:rPr>
      </w:pPr>
      <w:r>
        <w:rPr>
          <w:rFonts w:ascii="Arial" w:eastAsia="Arial" w:hAnsi="Arial" w:cs="Arial"/>
          <w:b/>
          <w:color w:val="000000"/>
          <w:sz w:val="24"/>
          <w:szCs w:val="24"/>
        </w:rPr>
        <w:t>2. Caso Concreto</w:t>
      </w:r>
    </w:p>
    <w:p w14:paraId="2FA1B8C8" w14:textId="77777777" w:rsidR="004F0743" w:rsidRDefault="0034256B">
      <w:pPr>
        <w:tabs>
          <w:tab w:val="left" w:pos="284"/>
        </w:tabs>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En el caso, el PAN denunció que la ciudadana Nora Ruvalcaba Gámez, en su calidad de precandidata de MORENA a la gubernatura del estado, así como tal instituto político, cometieron la infracción de actos anticipados de campaña, derivado de una publicación realizada a través de la fan page de Facebook de la candidata cuestionada, la cual, tuvo como propósito dar a conocer la aprobación de su registro como tal.</w:t>
      </w:r>
    </w:p>
    <w:p w14:paraId="6A3AA4F3" w14:textId="77777777" w:rsidR="004F0743" w:rsidRDefault="0034256B">
      <w:pPr>
        <w:tabs>
          <w:tab w:val="left" w:pos="284"/>
        </w:tabs>
        <w:spacing w:before="240" w:after="240" w:line="360" w:lineRule="auto"/>
        <w:jc w:val="both"/>
        <w:rPr>
          <w:color w:val="000000"/>
        </w:rPr>
      </w:pPr>
      <w:r>
        <w:rPr>
          <w:rFonts w:ascii="Arial" w:eastAsia="Arial" w:hAnsi="Arial" w:cs="Arial"/>
          <w:sz w:val="24"/>
          <w:szCs w:val="24"/>
        </w:rPr>
        <w:t>Lo anterior, porque a su criterio, ello constituye una ventaja indebida y un posicionamiento anticipado de su candidatura frente al electorado, ya que, tal publicación se trató de un equivalente funcional de llamamiento al voto y, por tanto, debe sancionarse a los sujetos denunciados.</w:t>
      </w:r>
    </w:p>
    <w:p w14:paraId="66D6E560" w14:textId="77777777" w:rsidR="004F0743" w:rsidRDefault="0034256B">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3. Valoración </w:t>
      </w:r>
    </w:p>
    <w:p w14:paraId="5D2A91AE" w14:textId="77777777" w:rsidR="004F0743" w:rsidRDefault="004F0743">
      <w:pPr>
        <w:pBdr>
          <w:top w:val="nil"/>
          <w:left w:val="nil"/>
          <w:bottom w:val="nil"/>
          <w:right w:val="nil"/>
          <w:between w:val="nil"/>
        </w:pBdr>
        <w:rPr>
          <w:color w:val="000000"/>
        </w:rPr>
      </w:pPr>
    </w:p>
    <w:p w14:paraId="45239913" w14:textId="77777777" w:rsidR="004F0743" w:rsidRDefault="0034256B">
      <w:pPr>
        <w:spacing w:line="360" w:lineRule="auto"/>
        <w:jc w:val="both"/>
        <w:rPr>
          <w:rFonts w:ascii="Arial" w:eastAsia="Arial" w:hAnsi="Arial" w:cs="Arial"/>
          <w:sz w:val="24"/>
          <w:szCs w:val="24"/>
        </w:rPr>
      </w:pPr>
      <w:r>
        <w:rPr>
          <w:rFonts w:ascii="Arial" w:eastAsia="Arial" w:hAnsi="Arial" w:cs="Arial"/>
          <w:sz w:val="24"/>
          <w:szCs w:val="24"/>
        </w:rPr>
        <w:t xml:space="preserve">Este Tribunal Electoral considera que en el presente caso </w:t>
      </w:r>
      <w:r>
        <w:rPr>
          <w:rFonts w:ascii="Arial" w:eastAsia="Arial" w:hAnsi="Arial" w:cs="Arial"/>
          <w:b/>
          <w:sz w:val="24"/>
          <w:szCs w:val="24"/>
        </w:rPr>
        <w:t>no es posible acreditar la infracción de actos anticipados</w:t>
      </w:r>
      <w:r>
        <w:rPr>
          <w:rFonts w:ascii="Arial" w:eastAsia="Arial" w:hAnsi="Arial" w:cs="Arial"/>
          <w:sz w:val="24"/>
          <w:szCs w:val="24"/>
        </w:rPr>
        <w:t xml:space="preserve"> </w:t>
      </w:r>
      <w:r>
        <w:rPr>
          <w:rFonts w:ascii="Arial" w:eastAsia="Arial" w:hAnsi="Arial" w:cs="Arial"/>
          <w:b/>
          <w:sz w:val="24"/>
          <w:szCs w:val="24"/>
        </w:rPr>
        <w:t>de campaña</w:t>
      </w:r>
      <w:r>
        <w:rPr>
          <w:rFonts w:ascii="Arial" w:eastAsia="Arial" w:hAnsi="Arial" w:cs="Arial"/>
          <w:sz w:val="24"/>
          <w:szCs w:val="24"/>
        </w:rPr>
        <w:t>, porque a pesar de que se actualizan los elementos personal</w:t>
      </w:r>
      <w:r>
        <w:rPr>
          <w:rFonts w:ascii="Arial" w:eastAsia="Arial" w:hAnsi="Arial" w:cs="Arial"/>
          <w:sz w:val="24"/>
          <w:szCs w:val="24"/>
          <w:vertAlign w:val="superscript"/>
        </w:rPr>
        <w:footnoteReference w:id="13"/>
      </w:r>
      <w:r>
        <w:rPr>
          <w:rFonts w:ascii="Arial" w:eastAsia="Arial" w:hAnsi="Arial" w:cs="Arial"/>
          <w:sz w:val="24"/>
          <w:szCs w:val="24"/>
        </w:rPr>
        <w:t xml:space="preserve"> y temporal</w:t>
      </w:r>
      <w:r>
        <w:rPr>
          <w:rFonts w:ascii="Arial" w:eastAsia="Arial" w:hAnsi="Arial" w:cs="Arial"/>
          <w:sz w:val="24"/>
          <w:szCs w:val="24"/>
          <w:vertAlign w:val="superscript"/>
        </w:rPr>
        <w:footnoteReference w:id="14"/>
      </w:r>
      <w:r>
        <w:rPr>
          <w:rFonts w:ascii="Arial" w:eastAsia="Arial" w:hAnsi="Arial" w:cs="Arial"/>
          <w:sz w:val="24"/>
          <w:szCs w:val="24"/>
        </w:rPr>
        <w:t xml:space="preserve">, en atención a que en la publicación que se cuestiona, la parte denunciada fungía formalmente como candidata y, a su vez, la imagen controvertida se difundió en la etapa de intercampañas, lo cierto es que de un análisis individual y contextual del contenido denunciado, </w:t>
      </w:r>
      <w:r>
        <w:rPr>
          <w:rFonts w:ascii="Arial" w:eastAsia="Arial" w:hAnsi="Arial" w:cs="Arial"/>
          <w:b/>
          <w:sz w:val="24"/>
          <w:szCs w:val="24"/>
        </w:rPr>
        <w:t>no se advierte que se acredite el elemento subjetivo</w:t>
      </w:r>
      <w:r>
        <w:rPr>
          <w:rFonts w:ascii="Arial" w:eastAsia="Arial" w:hAnsi="Arial" w:cs="Arial"/>
          <w:sz w:val="24"/>
          <w:szCs w:val="24"/>
        </w:rPr>
        <w:t xml:space="preserve"> ni sus variantes para actualizarlo.  </w:t>
      </w:r>
    </w:p>
    <w:p w14:paraId="01B45814" w14:textId="77777777" w:rsidR="004F0743" w:rsidRDefault="004F0743">
      <w:pPr>
        <w:pBdr>
          <w:top w:val="nil"/>
          <w:left w:val="nil"/>
          <w:bottom w:val="nil"/>
          <w:right w:val="nil"/>
          <w:between w:val="nil"/>
        </w:pBdr>
        <w:rPr>
          <w:color w:val="000000"/>
        </w:rPr>
      </w:pPr>
    </w:p>
    <w:p w14:paraId="7EA3B980" w14:textId="77777777" w:rsidR="004F0743" w:rsidRDefault="0034256B">
      <w:pPr>
        <w:spacing w:line="360" w:lineRule="auto"/>
        <w:jc w:val="both"/>
        <w:rPr>
          <w:rFonts w:ascii="Arial" w:eastAsia="Arial" w:hAnsi="Arial" w:cs="Arial"/>
          <w:sz w:val="24"/>
          <w:szCs w:val="24"/>
        </w:rPr>
      </w:pPr>
      <w:r>
        <w:rPr>
          <w:rFonts w:ascii="Arial" w:eastAsia="Arial" w:hAnsi="Arial" w:cs="Arial"/>
          <w:sz w:val="24"/>
          <w:szCs w:val="24"/>
        </w:rPr>
        <w:t xml:space="preserve">Lo anterior, se debe a que se trató de una publicación en la </w:t>
      </w:r>
      <w:r>
        <w:rPr>
          <w:rFonts w:ascii="Arial" w:eastAsia="Arial" w:hAnsi="Arial" w:cs="Arial"/>
          <w:i/>
          <w:sz w:val="24"/>
          <w:szCs w:val="24"/>
        </w:rPr>
        <w:t>fan page</w:t>
      </w:r>
      <w:r>
        <w:rPr>
          <w:rFonts w:ascii="Arial" w:eastAsia="Arial" w:hAnsi="Arial" w:cs="Arial"/>
          <w:sz w:val="24"/>
          <w:szCs w:val="24"/>
        </w:rPr>
        <w:t xml:space="preserve"> de Facebook de la candidata denunciada, a la que adjunta la imagen de un documento emitido por el Consejo General, el cual, tiene como propósito pronunciarse a favor de su registro como candidata al cargo de gubernatura en el estado de Aguascalientes para contender en el proceso electoral 2021-2022; en atención a la solicitud que presentó el partido político MORENA ante dicha autoridad administrativa.</w:t>
      </w:r>
    </w:p>
    <w:p w14:paraId="6A105338" w14:textId="77777777" w:rsidR="004F0743" w:rsidRDefault="004F0743">
      <w:pPr>
        <w:pBdr>
          <w:top w:val="nil"/>
          <w:left w:val="nil"/>
          <w:bottom w:val="nil"/>
          <w:right w:val="nil"/>
          <w:between w:val="nil"/>
        </w:pBdr>
        <w:rPr>
          <w:color w:val="000000"/>
        </w:rPr>
      </w:pPr>
    </w:p>
    <w:p w14:paraId="0F557585" w14:textId="77777777" w:rsidR="004F0743" w:rsidRDefault="0034256B">
      <w:pPr>
        <w:spacing w:line="360" w:lineRule="auto"/>
        <w:jc w:val="both"/>
        <w:rPr>
          <w:rFonts w:ascii="Arial" w:eastAsia="Arial" w:hAnsi="Arial" w:cs="Arial"/>
          <w:sz w:val="24"/>
          <w:szCs w:val="24"/>
        </w:rPr>
      </w:pPr>
      <w:r>
        <w:rPr>
          <w:rFonts w:ascii="Arial" w:eastAsia="Arial" w:hAnsi="Arial" w:cs="Arial"/>
          <w:sz w:val="24"/>
          <w:szCs w:val="24"/>
        </w:rPr>
        <w:t xml:space="preserve">A su vez, la parte denunciada acompañó tal publicación con el encabezado siguiente: </w:t>
      </w:r>
      <w:r>
        <w:rPr>
          <w:rFonts w:ascii="Arial" w:eastAsia="Arial" w:hAnsi="Arial" w:cs="Arial"/>
          <w:i/>
          <w:sz w:val="24"/>
          <w:szCs w:val="24"/>
        </w:rPr>
        <w:t>“viene en camino la transformación de Aguascalientes”.</w:t>
      </w:r>
      <w:r>
        <w:rPr>
          <w:rFonts w:ascii="Arial" w:eastAsia="Arial" w:hAnsi="Arial" w:cs="Arial"/>
          <w:sz w:val="24"/>
          <w:szCs w:val="24"/>
        </w:rPr>
        <w:t xml:space="preserve"> Finalmente, como resultado de ello, se identifica una interacción relevante por parte de las y los usuarios de la red social en cuestión, en la que, básicamente, se pronuncian positivamente sobre el acontecimiento de su registro formal ante la autoridad administrativa y de su posible triunfo como gobernadora. </w:t>
      </w:r>
    </w:p>
    <w:p w14:paraId="5C8A318D" w14:textId="77777777" w:rsidR="004F0743" w:rsidRDefault="004F0743">
      <w:pPr>
        <w:pBdr>
          <w:top w:val="nil"/>
          <w:left w:val="nil"/>
          <w:bottom w:val="nil"/>
          <w:right w:val="nil"/>
          <w:between w:val="nil"/>
        </w:pBdr>
        <w:rPr>
          <w:color w:val="000000"/>
        </w:rPr>
      </w:pPr>
    </w:p>
    <w:p w14:paraId="3C9BDDF1" w14:textId="77777777" w:rsidR="004F0743" w:rsidRDefault="0034256B">
      <w:pPr>
        <w:spacing w:line="360" w:lineRule="auto"/>
        <w:jc w:val="both"/>
        <w:rPr>
          <w:rFonts w:ascii="Arial" w:eastAsia="Arial" w:hAnsi="Arial" w:cs="Arial"/>
          <w:sz w:val="24"/>
          <w:szCs w:val="24"/>
        </w:rPr>
      </w:pPr>
      <w:r>
        <w:rPr>
          <w:rFonts w:ascii="Arial" w:eastAsia="Arial" w:hAnsi="Arial" w:cs="Arial"/>
          <w:sz w:val="24"/>
          <w:szCs w:val="24"/>
        </w:rPr>
        <w:t xml:space="preserve">Al respecto, tanto de la valoración integral, contextual y gramatical de tales elementos, este órgano jurisdiccional considera que: </w:t>
      </w:r>
      <w:r>
        <w:rPr>
          <w:rFonts w:ascii="Arial" w:eastAsia="Arial" w:hAnsi="Arial" w:cs="Arial"/>
          <w:b/>
          <w:i/>
          <w:sz w:val="24"/>
          <w:szCs w:val="24"/>
        </w:rPr>
        <w:t xml:space="preserve">i) </w:t>
      </w:r>
      <w:r>
        <w:rPr>
          <w:rFonts w:ascii="Arial" w:eastAsia="Arial" w:hAnsi="Arial" w:cs="Arial"/>
          <w:b/>
          <w:sz w:val="24"/>
          <w:szCs w:val="24"/>
        </w:rPr>
        <w:t xml:space="preserve">no es posible demostrar que se llamó a votar a </w:t>
      </w:r>
      <w:r>
        <w:rPr>
          <w:rFonts w:ascii="Arial" w:eastAsia="Arial" w:hAnsi="Arial" w:cs="Arial"/>
          <w:b/>
          <w:sz w:val="24"/>
          <w:szCs w:val="24"/>
        </w:rPr>
        <w:lastRenderedPageBreak/>
        <w:t>favor de la parte denunciada</w:t>
      </w:r>
      <w:r>
        <w:rPr>
          <w:rFonts w:ascii="Arial" w:eastAsia="Arial" w:hAnsi="Arial" w:cs="Arial"/>
          <w:sz w:val="24"/>
          <w:szCs w:val="24"/>
        </w:rPr>
        <w:t>,</w:t>
      </w:r>
      <w:r>
        <w:rPr>
          <w:rFonts w:ascii="Arial" w:eastAsia="Arial" w:hAnsi="Arial" w:cs="Arial"/>
          <w:b/>
          <w:i/>
          <w:sz w:val="24"/>
          <w:szCs w:val="24"/>
        </w:rPr>
        <w:t xml:space="preserve"> ii)</w:t>
      </w:r>
      <w:r>
        <w:rPr>
          <w:rFonts w:ascii="Arial" w:eastAsia="Arial" w:hAnsi="Arial" w:cs="Arial"/>
          <w:sz w:val="24"/>
          <w:szCs w:val="24"/>
        </w:rPr>
        <w:t xml:space="preserve"> no se publicitó una plataforma electoral en específico ni, </w:t>
      </w:r>
      <w:r>
        <w:rPr>
          <w:rFonts w:ascii="Arial" w:eastAsia="Arial" w:hAnsi="Arial" w:cs="Arial"/>
          <w:b/>
          <w:i/>
          <w:sz w:val="24"/>
          <w:szCs w:val="24"/>
        </w:rPr>
        <w:t>iii)</w:t>
      </w:r>
      <w:r>
        <w:rPr>
          <w:rFonts w:ascii="Arial" w:eastAsia="Arial" w:hAnsi="Arial" w:cs="Arial"/>
          <w:sz w:val="24"/>
          <w:szCs w:val="24"/>
        </w:rPr>
        <w:t xml:space="preserve"> se tuvo la intención de posicionar a alguna persona con el fin de obtener una candidatura. </w:t>
      </w:r>
    </w:p>
    <w:p w14:paraId="429E39B9" w14:textId="77777777" w:rsidR="004F0743" w:rsidRDefault="004F0743">
      <w:pPr>
        <w:pBdr>
          <w:top w:val="nil"/>
          <w:left w:val="nil"/>
          <w:bottom w:val="nil"/>
          <w:right w:val="nil"/>
          <w:between w:val="nil"/>
        </w:pBdr>
        <w:rPr>
          <w:color w:val="000000"/>
          <w:highlight w:val="yellow"/>
        </w:rPr>
      </w:pPr>
    </w:p>
    <w:p w14:paraId="4B193982" w14:textId="77777777" w:rsidR="004F0743" w:rsidRDefault="0034256B">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Esto, derivado de que no existen menciones o símbolos que de manera clara permitan concluir que tuvieron una finalidad eminentemente electoral, ni se logra demostrar que tuvo como objetivo presentar o posicionar una candidatura o una opción electoral de manera anticipada. Ello, porque si bien, en el documento del cual se adjunta la imagen se hace mención de su nombre y del cargo por el cual contiende -de manera previa al inicio de las campañas-, esto constituye un hecho público y notorio dada la naturaleza del mismo. Además, de que en tal publicación no se hace un llamado a votar en favor de dicha candidatura.  </w:t>
      </w:r>
    </w:p>
    <w:p w14:paraId="21C01F1F" w14:textId="77777777" w:rsidR="004F0743" w:rsidRDefault="004F0743">
      <w:pPr>
        <w:pBdr>
          <w:top w:val="nil"/>
          <w:left w:val="nil"/>
          <w:bottom w:val="nil"/>
          <w:right w:val="nil"/>
          <w:between w:val="nil"/>
        </w:pBdr>
        <w:rPr>
          <w:color w:val="000000"/>
        </w:rPr>
      </w:pPr>
    </w:p>
    <w:p w14:paraId="6276BB81" w14:textId="77777777" w:rsidR="004F0743" w:rsidRDefault="0034256B">
      <w:pPr>
        <w:spacing w:line="360" w:lineRule="auto"/>
        <w:jc w:val="both"/>
        <w:rPr>
          <w:rFonts w:ascii="Arial" w:eastAsia="Arial" w:hAnsi="Arial" w:cs="Arial"/>
          <w:sz w:val="24"/>
          <w:szCs w:val="24"/>
        </w:rPr>
      </w:pPr>
      <w:r>
        <w:rPr>
          <w:rFonts w:ascii="Arial" w:eastAsia="Arial" w:hAnsi="Arial" w:cs="Arial"/>
          <w:sz w:val="24"/>
          <w:szCs w:val="24"/>
        </w:rPr>
        <w:t>Tampoco se identifica que se haya publicitado algún contenido relativo a alguna plataforma electoral en la que se realicen promesas de campaña, ya que, distinto a ello, de un análisis objetivo y crítico, se advierte que se trató de un ejercicio enmarcado en la libertad de expresión de la que goza la denunciada en su carácter de candidata, al compartir un documento de carácter público que aprueba su registro formal como tal.</w:t>
      </w:r>
    </w:p>
    <w:p w14:paraId="00043C81" w14:textId="77777777" w:rsidR="004F0743" w:rsidRDefault="004F0743">
      <w:pPr>
        <w:pBdr>
          <w:top w:val="nil"/>
          <w:left w:val="nil"/>
          <w:bottom w:val="nil"/>
          <w:right w:val="nil"/>
          <w:between w:val="nil"/>
        </w:pBdr>
        <w:rPr>
          <w:color w:val="000000"/>
        </w:rPr>
      </w:pPr>
    </w:p>
    <w:p w14:paraId="3D91BEE9" w14:textId="77777777" w:rsidR="004F0743" w:rsidRDefault="0034256B">
      <w:pPr>
        <w:spacing w:line="360" w:lineRule="auto"/>
        <w:jc w:val="both"/>
        <w:rPr>
          <w:rFonts w:ascii="Arial" w:eastAsia="Arial" w:hAnsi="Arial" w:cs="Arial"/>
          <w:sz w:val="24"/>
          <w:szCs w:val="24"/>
        </w:rPr>
      </w:pPr>
      <w:r>
        <w:rPr>
          <w:rFonts w:ascii="Arial" w:eastAsia="Arial" w:hAnsi="Arial" w:cs="Arial"/>
          <w:sz w:val="24"/>
          <w:szCs w:val="24"/>
        </w:rPr>
        <w:t xml:space="preserve">Incluso, en el mismo acto incluye una frase </w:t>
      </w:r>
      <w:r>
        <w:rPr>
          <w:rFonts w:ascii="Arial" w:eastAsia="Arial" w:hAnsi="Arial" w:cs="Arial"/>
          <w:i/>
          <w:sz w:val="24"/>
          <w:szCs w:val="24"/>
        </w:rPr>
        <w:t>–“viene en camino la transformación de Aguascalientes”</w:t>
      </w:r>
      <w:r>
        <w:rPr>
          <w:rFonts w:ascii="Arial" w:eastAsia="Arial" w:hAnsi="Arial" w:cs="Arial"/>
          <w:sz w:val="24"/>
          <w:szCs w:val="24"/>
        </w:rPr>
        <w:t xml:space="preserve">- que tiene un carácter meramente genérico, ya que no se advierten elementos que la posicionen electoralmente, pues se hace referencia de forma abstracta a un cambio en el estado, sin que se realice una solicitud de apoyo para llevar a cabo dicho cambio. De ahí que, como se adelantó, no se advierte que la publicación ni la frase en cuestión, conlleven un elemento de carácter electoral. </w:t>
      </w:r>
    </w:p>
    <w:p w14:paraId="1B55C445" w14:textId="77777777" w:rsidR="004F0743" w:rsidRDefault="004F0743">
      <w:pPr>
        <w:pBdr>
          <w:top w:val="nil"/>
          <w:left w:val="nil"/>
          <w:bottom w:val="nil"/>
          <w:right w:val="nil"/>
          <w:between w:val="nil"/>
        </w:pBdr>
        <w:rPr>
          <w:color w:val="000000"/>
        </w:rPr>
      </w:pPr>
    </w:p>
    <w:p w14:paraId="44574151" w14:textId="77777777" w:rsidR="004F0743" w:rsidRDefault="0034256B">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Por otra parte, esta autoridad jurisdiccional estima que </w:t>
      </w:r>
      <w:r>
        <w:rPr>
          <w:rFonts w:ascii="Arial" w:eastAsia="Arial" w:hAnsi="Arial" w:cs="Arial"/>
          <w:b/>
          <w:sz w:val="24"/>
          <w:szCs w:val="24"/>
        </w:rPr>
        <w:t>tampoco le asiste la razón</w:t>
      </w:r>
      <w:r>
        <w:rPr>
          <w:rFonts w:ascii="Arial" w:eastAsia="Arial" w:hAnsi="Arial" w:cs="Arial"/>
          <w:sz w:val="24"/>
          <w:szCs w:val="24"/>
        </w:rPr>
        <w:t xml:space="preserve"> a la parte denunciante en cuanto a que tanto la publicación como los comentarios que en ella se realizaron por parte de diversas personas usuarias de la red social en comento </w:t>
      </w:r>
      <w:r>
        <w:rPr>
          <w:rFonts w:ascii="Arial" w:eastAsia="Arial" w:hAnsi="Arial" w:cs="Arial"/>
          <w:b/>
          <w:sz w:val="24"/>
          <w:szCs w:val="24"/>
        </w:rPr>
        <w:t>acreditan un equivalente funcional,</w:t>
      </w:r>
      <w:r>
        <w:rPr>
          <w:rFonts w:ascii="Arial" w:eastAsia="Arial" w:hAnsi="Arial" w:cs="Arial"/>
          <w:sz w:val="24"/>
          <w:szCs w:val="24"/>
        </w:rPr>
        <w:t xml:space="preserve"> a partir de que se buscó obtener un beneficio hacia la candidata denunciada posicionándola anticipadamente ante la ciudadanía.</w:t>
      </w:r>
      <w:r>
        <w:rPr>
          <w:rFonts w:ascii="Arial" w:eastAsia="Arial" w:hAnsi="Arial" w:cs="Arial"/>
          <w:sz w:val="24"/>
          <w:szCs w:val="24"/>
          <w:vertAlign w:val="superscript"/>
        </w:rPr>
        <w:footnoteReference w:id="15"/>
      </w:r>
    </w:p>
    <w:p w14:paraId="62718762" w14:textId="77777777" w:rsidR="004F0743" w:rsidRDefault="004F0743">
      <w:pPr>
        <w:pBdr>
          <w:top w:val="nil"/>
          <w:left w:val="nil"/>
          <w:bottom w:val="nil"/>
          <w:right w:val="nil"/>
          <w:between w:val="nil"/>
        </w:pBdr>
        <w:rPr>
          <w:color w:val="000000"/>
        </w:rPr>
      </w:pPr>
    </w:p>
    <w:p w14:paraId="386394F7" w14:textId="77777777" w:rsidR="004F0743" w:rsidRDefault="0034256B">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Lo anterior es así, ya que, el estudio contextual de la publicación que se cuestiona </w:t>
      </w:r>
      <w:r>
        <w:rPr>
          <w:rFonts w:ascii="Arial" w:eastAsia="Arial" w:hAnsi="Arial" w:cs="Arial"/>
          <w:b/>
          <w:sz w:val="24"/>
          <w:szCs w:val="24"/>
        </w:rPr>
        <w:t>no permite concluir que se traduce expresa e inequívocamente en una solicitud de apoyo</w:t>
      </w:r>
      <w:r>
        <w:rPr>
          <w:rFonts w:ascii="Arial" w:eastAsia="Arial" w:hAnsi="Arial" w:cs="Arial"/>
          <w:sz w:val="24"/>
          <w:szCs w:val="24"/>
        </w:rPr>
        <w:t xml:space="preserve"> ni tampoco que pretendía una finalidad electoral, pues como se explicó, esta tuvo un carácter genérico e informativo respecto de la aprobación de su registro como candidata, situación que es de interés público y, a su vez, abona al debate político entre el electorado.</w:t>
      </w:r>
      <w:r>
        <w:rPr>
          <w:rFonts w:ascii="Arial" w:eastAsia="Arial" w:hAnsi="Arial" w:cs="Arial"/>
          <w:sz w:val="24"/>
          <w:szCs w:val="24"/>
          <w:vertAlign w:val="superscript"/>
        </w:rPr>
        <w:footnoteReference w:id="16"/>
      </w:r>
    </w:p>
    <w:p w14:paraId="5F56A3D1" w14:textId="77777777" w:rsidR="004F0743" w:rsidRDefault="004F0743">
      <w:pPr>
        <w:pBdr>
          <w:top w:val="nil"/>
          <w:left w:val="nil"/>
          <w:bottom w:val="nil"/>
          <w:right w:val="nil"/>
          <w:between w:val="nil"/>
        </w:pBdr>
        <w:spacing w:line="360" w:lineRule="auto"/>
        <w:jc w:val="both"/>
        <w:rPr>
          <w:rFonts w:ascii="Arial" w:eastAsia="Arial" w:hAnsi="Arial" w:cs="Arial"/>
          <w:sz w:val="24"/>
          <w:szCs w:val="24"/>
        </w:rPr>
      </w:pPr>
    </w:p>
    <w:p w14:paraId="19D76BD5" w14:textId="77777777" w:rsidR="004F0743" w:rsidRDefault="0034256B">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Este argumento surge, porque de su contenido se advierten las características contextuales siguientes: </w:t>
      </w:r>
      <w:r>
        <w:rPr>
          <w:rFonts w:ascii="Arial" w:eastAsia="Arial" w:hAnsi="Arial" w:cs="Arial"/>
          <w:b/>
          <w:i/>
          <w:sz w:val="24"/>
          <w:szCs w:val="24"/>
        </w:rPr>
        <w:t>i)</w:t>
      </w:r>
      <w:r>
        <w:rPr>
          <w:rFonts w:ascii="Arial" w:eastAsia="Arial" w:hAnsi="Arial" w:cs="Arial"/>
          <w:sz w:val="24"/>
          <w:szCs w:val="24"/>
        </w:rPr>
        <w:t xml:space="preserve"> se trató de una resolución íntegra que dio a conocer la aprobación de su registro como candidata, sin que se añadieran mayores elementos que hubiesen alterado tanto el documento como la imagen de la publicación, </w:t>
      </w:r>
      <w:r>
        <w:rPr>
          <w:rFonts w:ascii="Arial" w:eastAsia="Arial" w:hAnsi="Arial" w:cs="Arial"/>
          <w:b/>
          <w:i/>
          <w:sz w:val="24"/>
          <w:szCs w:val="24"/>
        </w:rPr>
        <w:t>ii)</w:t>
      </w:r>
      <w:r>
        <w:rPr>
          <w:rFonts w:ascii="Arial" w:eastAsia="Arial" w:hAnsi="Arial" w:cs="Arial"/>
          <w:sz w:val="24"/>
          <w:szCs w:val="24"/>
        </w:rPr>
        <w:t xml:space="preserve"> la resolución en cuestión se trata de un documento de carácter público que está al alcance de toda la ciudadanía que tenga interés en consultarlo</w:t>
      </w:r>
      <w:r>
        <w:rPr>
          <w:rFonts w:ascii="Arial" w:eastAsia="Arial" w:hAnsi="Arial" w:cs="Arial"/>
          <w:sz w:val="24"/>
          <w:szCs w:val="24"/>
          <w:vertAlign w:val="superscript"/>
        </w:rPr>
        <w:footnoteReference w:id="17"/>
      </w:r>
      <w:r>
        <w:rPr>
          <w:rFonts w:ascii="Arial" w:eastAsia="Arial" w:hAnsi="Arial" w:cs="Arial"/>
          <w:sz w:val="24"/>
          <w:szCs w:val="24"/>
        </w:rPr>
        <w:t xml:space="preserve">, </w:t>
      </w:r>
      <w:r>
        <w:rPr>
          <w:rFonts w:ascii="Arial" w:eastAsia="Arial" w:hAnsi="Arial" w:cs="Arial"/>
          <w:b/>
          <w:i/>
          <w:sz w:val="24"/>
          <w:szCs w:val="24"/>
        </w:rPr>
        <w:t>iii)</w:t>
      </w:r>
      <w:r>
        <w:rPr>
          <w:rFonts w:ascii="Arial" w:eastAsia="Arial" w:hAnsi="Arial" w:cs="Arial"/>
          <w:sz w:val="24"/>
          <w:szCs w:val="24"/>
        </w:rPr>
        <w:t xml:space="preserve"> se hace referencia a una transformación en Aguascalientes, sin que se observe que genera algún compromiso hacia el electorado y, </w:t>
      </w:r>
      <w:r>
        <w:rPr>
          <w:rFonts w:ascii="Arial" w:eastAsia="Arial" w:hAnsi="Arial" w:cs="Arial"/>
          <w:b/>
          <w:i/>
          <w:sz w:val="24"/>
          <w:szCs w:val="24"/>
        </w:rPr>
        <w:t xml:space="preserve">iv) </w:t>
      </w:r>
      <w:r>
        <w:rPr>
          <w:rFonts w:ascii="Arial" w:eastAsia="Arial" w:hAnsi="Arial" w:cs="Arial"/>
          <w:sz w:val="24"/>
          <w:szCs w:val="24"/>
        </w:rPr>
        <w:t>si bien se advierte una interacción de carácter proselitista por parte de las y los usuarios, también este es un acto espontáneo en redes sociales que se encuentra protegido por el derecho humano a la libertad de expresión. Además, ello posibilita un ejercicio más democrático, plural y expansivo de tal prerrogativa, así como un mayor involucramiento político de la ciudadanía.</w:t>
      </w:r>
      <w:r>
        <w:rPr>
          <w:rFonts w:ascii="Arial" w:eastAsia="Arial" w:hAnsi="Arial" w:cs="Arial"/>
          <w:sz w:val="24"/>
          <w:szCs w:val="24"/>
          <w:vertAlign w:val="superscript"/>
        </w:rPr>
        <w:footnoteReference w:id="18"/>
      </w:r>
    </w:p>
    <w:p w14:paraId="78509B39" w14:textId="77777777" w:rsidR="004F0743" w:rsidRDefault="004F0743">
      <w:pPr>
        <w:pBdr>
          <w:top w:val="nil"/>
          <w:left w:val="nil"/>
          <w:bottom w:val="nil"/>
          <w:right w:val="nil"/>
          <w:between w:val="nil"/>
        </w:pBdr>
        <w:rPr>
          <w:color w:val="000000"/>
        </w:rPr>
      </w:pPr>
    </w:p>
    <w:p w14:paraId="475FD989" w14:textId="77777777" w:rsidR="004F0743" w:rsidRDefault="0034256B">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 xml:space="preserve">Por lo expuesto, resulta posible concluir que los elementos de la publicación cuestionada </w:t>
      </w:r>
      <w:r>
        <w:rPr>
          <w:rFonts w:ascii="Arial" w:eastAsia="Arial" w:hAnsi="Arial" w:cs="Arial"/>
          <w:b/>
          <w:sz w:val="24"/>
          <w:szCs w:val="24"/>
        </w:rPr>
        <w:t xml:space="preserve">tienen una naturaleza genérica, </w:t>
      </w:r>
      <w:r>
        <w:rPr>
          <w:rFonts w:ascii="Arial" w:eastAsia="Arial" w:hAnsi="Arial" w:cs="Arial"/>
          <w:sz w:val="24"/>
          <w:szCs w:val="24"/>
        </w:rPr>
        <w:t xml:space="preserve">ya que en ella se aborda un tema de </w:t>
      </w:r>
      <w:r>
        <w:rPr>
          <w:rFonts w:ascii="Arial" w:eastAsia="Arial" w:hAnsi="Arial" w:cs="Arial"/>
          <w:b/>
          <w:sz w:val="24"/>
          <w:szCs w:val="24"/>
        </w:rPr>
        <w:t>interés público</w:t>
      </w:r>
      <w:r>
        <w:rPr>
          <w:rFonts w:ascii="Arial" w:eastAsia="Arial" w:hAnsi="Arial" w:cs="Arial"/>
          <w:sz w:val="24"/>
          <w:szCs w:val="24"/>
        </w:rPr>
        <w:t xml:space="preserve"> que se encuentra dentro de los parámetros permitidos durante la etapa de intercampañas, ejercicio que también se encuentra protegido por el derecho de libertad de expresión pues abona al debate político.</w:t>
      </w:r>
    </w:p>
    <w:p w14:paraId="4329321D" w14:textId="77777777" w:rsidR="004F0743" w:rsidRDefault="004F0743">
      <w:pPr>
        <w:pBdr>
          <w:top w:val="nil"/>
          <w:left w:val="nil"/>
          <w:bottom w:val="nil"/>
          <w:right w:val="nil"/>
          <w:between w:val="nil"/>
        </w:pBdr>
        <w:rPr>
          <w:color w:val="000000"/>
        </w:rPr>
      </w:pPr>
    </w:p>
    <w:p w14:paraId="1E74581B" w14:textId="77777777" w:rsidR="004F0743" w:rsidRDefault="0034256B">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sz w:val="24"/>
          <w:szCs w:val="24"/>
        </w:rPr>
        <w:t>De ahí que, como se adelantó, es inexistente la infracción de actos anticipados de campaña atribuidos a la ciudadana Nora Ruvalcaba Gómez, candidata de MORENA a la gubernatura del Estado de Aguascalientes.</w:t>
      </w:r>
    </w:p>
    <w:p w14:paraId="7064C7EA" w14:textId="77777777" w:rsidR="004F0743" w:rsidRDefault="004F0743">
      <w:pPr>
        <w:pBdr>
          <w:top w:val="nil"/>
          <w:left w:val="nil"/>
          <w:bottom w:val="nil"/>
          <w:right w:val="nil"/>
          <w:between w:val="nil"/>
        </w:pBdr>
        <w:rPr>
          <w:color w:val="000000"/>
        </w:rPr>
      </w:pPr>
    </w:p>
    <w:p w14:paraId="6556607B" w14:textId="77777777" w:rsidR="004F0743" w:rsidRDefault="0034256B">
      <w:pPr>
        <w:numPr>
          <w:ilvl w:val="0"/>
          <w:numId w:val="5"/>
        </w:numPr>
        <w:pBdr>
          <w:top w:val="nil"/>
          <w:left w:val="nil"/>
          <w:bottom w:val="nil"/>
          <w:right w:val="nil"/>
          <w:between w:val="nil"/>
        </w:pBdr>
        <w:tabs>
          <w:tab w:val="left" w:pos="426"/>
        </w:tabs>
        <w:spacing w:line="360" w:lineRule="auto"/>
        <w:ind w:left="0" w:firstLine="0"/>
        <w:jc w:val="both"/>
        <w:rPr>
          <w:rFonts w:ascii="Arial" w:eastAsia="Arial" w:hAnsi="Arial" w:cs="Arial"/>
          <w:b/>
          <w:color w:val="000000"/>
          <w:sz w:val="24"/>
          <w:szCs w:val="24"/>
          <w:u w:val="single"/>
        </w:rPr>
      </w:pPr>
      <w:r>
        <w:rPr>
          <w:rFonts w:ascii="Arial" w:eastAsia="Arial" w:hAnsi="Arial" w:cs="Arial"/>
          <w:b/>
          <w:color w:val="000000"/>
          <w:sz w:val="24"/>
          <w:szCs w:val="24"/>
          <w:u w:val="single"/>
        </w:rPr>
        <w:t>Vista a la Unidad Técnica de Fiscalización del INE</w:t>
      </w:r>
    </w:p>
    <w:p w14:paraId="3DC02DEB" w14:textId="77777777" w:rsidR="004F0743" w:rsidRDefault="004F0743">
      <w:pPr>
        <w:pBdr>
          <w:top w:val="nil"/>
          <w:left w:val="nil"/>
          <w:bottom w:val="nil"/>
          <w:right w:val="nil"/>
          <w:between w:val="nil"/>
        </w:pBdr>
        <w:rPr>
          <w:color w:val="000000"/>
        </w:rPr>
      </w:pPr>
    </w:p>
    <w:p w14:paraId="10AE650B" w14:textId="77777777" w:rsidR="004F0743" w:rsidRDefault="0034256B">
      <w:pPr>
        <w:spacing w:line="360" w:lineRule="auto"/>
        <w:jc w:val="both"/>
        <w:rPr>
          <w:rFonts w:ascii="Arial" w:eastAsia="Arial" w:hAnsi="Arial" w:cs="Arial"/>
          <w:sz w:val="24"/>
          <w:szCs w:val="24"/>
        </w:rPr>
      </w:pPr>
      <w:r>
        <w:rPr>
          <w:rFonts w:ascii="Arial" w:eastAsia="Arial" w:hAnsi="Arial" w:cs="Arial"/>
          <w:sz w:val="24"/>
          <w:szCs w:val="24"/>
        </w:rPr>
        <w:t xml:space="preserve">Del análisis del escrito de denuncia se advierte que el quejoso afirma que debe verificarse el reporte de los gastos que se generaron con motivo de los hechos que fueron materia en el presente procedimiento -difusión de una publicación a través de la </w:t>
      </w:r>
      <w:r>
        <w:rPr>
          <w:rFonts w:ascii="Arial" w:eastAsia="Arial" w:hAnsi="Arial" w:cs="Arial"/>
          <w:i/>
          <w:sz w:val="24"/>
          <w:szCs w:val="24"/>
        </w:rPr>
        <w:t xml:space="preserve">fan page </w:t>
      </w:r>
      <w:r>
        <w:rPr>
          <w:rFonts w:ascii="Arial" w:eastAsia="Arial" w:hAnsi="Arial" w:cs="Arial"/>
          <w:sz w:val="24"/>
          <w:szCs w:val="24"/>
        </w:rPr>
        <w:t xml:space="preserve">de Facebook de la denunciada- y, por tanto, solicita que este Tribunal Electoral de vista a la Unidad Técnica de Fiscalización del INE. </w:t>
      </w:r>
    </w:p>
    <w:p w14:paraId="0D671437" w14:textId="77777777" w:rsidR="004F0743" w:rsidRDefault="004F0743">
      <w:pPr>
        <w:pBdr>
          <w:top w:val="nil"/>
          <w:left w:val="nil"/>
          <w:bottom w:val="nil"/>
          <w:right w:val="nil"/>
          <w:between w:val="nil"/>
        </w:pBdr>
        <w:rPr>
          <w:color w:val="000000"/>
        </w:rPr>
      </w:pPr>
    </w:p>
    <w:p w14:paraId="467F44D1" w14:textId="77777777" w:rsidR="004F0743" w:rsidRDefault="0034256B">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Al respecto, esta autoridad estima que es improcedente tal petición, ya que la que la competencia de esta autoridad se circunscribe en actualizar o no la infracción en cuestión. </w:t>
      </w:r>
      <w:r>
        <w:rPr>
          <w:rFonts w:ascii="Arial" w:eastAsia="Arial" w:hAnsi="Arial" w:cs="Arial"/>
          <w:sz w:val="24"/>
          <w:szCs w:val="24"/>
        </w:rPr>
        <w:lastRenderedPageBreak/>
        <w:t>Por tanto, se dejan a salvo de la parte denunciante para que presente la denuncia ante la autoridad y por la vía que considere competente.</w:t>
      </w:r>
      <w:r>
        <w:rPr>
          <w:rFonts w:ascii="Arial" w:eastAsia="Arial" w:hAnsi="Arial" w:cs="Arial"/>
          <w:sz w:val="24"/>
          <w:szCs w:val="24"/>
          <w:vertAlign w:val="superscript"/>
        </w:rPr>
        <w:footnoteReference w:id="19"/>
      </w:r>
    </w:p>
    <w:p w14:paraId="1B7FE0AB" w14:textId="77777777" w:rsidR="004F0743" w:rsidRDefault="004F0743">
      <w:pPr>
        <w:pBdr>
          <w:top w:val="nil"/>
          <w:left w:val="nil"/>
          <w:bottom w:val="nil"/>
          <w:right w:val="nil"/>
          <w:between w:val="nil"/>
        </w:pBdr>
        <w:rPr>
          <w:color w:val="000000"/>
        </w:rPr>
      </w:pPr>
    </w:p>
    <w:p w14:paraId="47F7E874" w14:textId="72C3EB4B" w:rsidR="004F0743" w:rsidRDefault="0034256B" w:rsidP="007873E1">
      <w:pPr>
        <w:spacing w:line="360" w:lineRule="auto"/>
        <w:jc w:val="both"/>
        <w:rPr>
          <w:rFonts w:ascii="Arial" w:eastAsia="Arial" w:hAnsi="Arial" w:cs="Arial"/>
          <w:b/>
          <w:color w:val="000000"/>
          <w:sz w:val="24"/>
          <w:szCs w:val="24"/>
        </w:rPr>
      </w:pPr>
      <w:r>
        <w:rPr>
          <w:rFonts w:ascii="Arial" w:eastAsia="Arial" w:hAnsi="Arial" w:cs="Arial"/>
          <w:b/>
          <w:sz w:val="24"/>
          <w:szCs w:val="24"/>
          <w:u w:val="single"/>
        </w:rPr>
        <w:t>3.1. Culpa in vigilando.</w:t>
      </w:r>
      <w:r>
        <w:rPr>
          <w:rFonts w:ascii="Arial" w:eastAsia="Arial" w:hAnsi="Arial" w:cs="Arial"/>
          <w:b/>
          <w:sz w:val="24"/>
          <w:szCs w:val="24"/>
        </w:rPr>
        <w:t xml:space="preserve"> </w:t>
      </w:r>
      <w:r>
        <w:rPr>
          <w:rFonts w:ascii="Arial" w:eastAsia="Arial" w:hAnsi="Arial" w:cs="Arial"/>
          <w:sz w:val="24"/>
          <w:szCs w:val="24"/>
        </w:rPr>
        <w:t>Este órgano jurisdiccional estima que, dado que no se acreditó la infracción denunciada en contra de la entonces precandidata a la gubernatura del estado, Nora Ruvalcaba Gómez, debe desestimarse la responsabilidad imputada a MORENA.</w:t>
      </w:r>
    </w:p>
    <w:p w14:paraId="61268AEA" w14:textId="77777777" w:rsidR="007873E1" w:rsidRDefault="007873E1" w:rsidP="007873E1">
      <w:pPr>
        <w:spacing w:line="360" w:lineRule="auto"/>
        <w:jc w:val="both"/>
        <w:rPr>
          <w:rFonts w:ascii="Arial" w:eastAsia="Arial" w:hAnsi="Arial" w:cs="Arial"/>
          <w:b/>
          <w:color w:val="000000"/>
          <w:sz w:val="24"/>
          <w:szCs w:val="24"/>
        </w:rPr>
      </w:pPr>
    </w:p>
    <w:p w14:paraId="0C9D7CDD" w14:textId="77777777" w:rsidR="004F0743" w:rsidRDefault="0034256B">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VII. Resolutivos</w:t>
      </w:r>
    </w:p>
    <w:p w14:paraId="10CBF225" w14:textId="77777777" w:rsidR="004F0743" w:rsidRDefault="004F0743">
      <w:pPr>
        <w:jc w:val="both"/>
        <w:rPr>
          <w:rFonts w:ascii="Arial" w:eastAsia="Arial" w:hAnsi="Arial" w:cs="Arial"/>
          <w:sz w:val="24"/>
          <w:szCs w:val="24"/>
        </w:rPr>
      </w:pPr>
    </w:p>
    <w:p w14:paraId="7B153055" w14:textId="77777777" w:rsidR="004F0743" w:rsidRDefault="0034256B">
      <w:pPr>
        <w:spacing w:line="360" w:lineRule="auto"/>
        <w:jc w:val="both"/>
        <w:rPr>
          <w:rFonts w:ascii="Arial" w:eastAsia="Arial" w:hAnsi="Arial" w:cs="Arial"/>
          <w:sz w:val="24"/>
          <w:szCs w:val="24"/>
        </w:rPr>
      </w:pPr>
      <w:r>
        <w:rPr>
          <w:rFonts w:ascii="Arial" w:eastAsia="Arial" w:hAnsi="Arial" w:cs="Arial"/>
          <w:b/>
          <w:sz w:val="24"/>
          <w:szCs w:val="24"/>
        </w:rPr>
        <w:t>Primero.</w:t>
      </w:r>
      <w:r>
        <w:rPr>
          <w:rFonts w:ascii="Arial" w:eastAsia="Arial" w:hAnsi="Arial" w:cs="Arial"/>
          <w:sz w:val="24"/>
          <w:szCs w:val="24"/>
        </w:rPr>
        <w:t xml:space="preserve"> Se declara la </w:t>
      </w:r>
      <w:r>
        <w:rPr>
          <w:rFonts w:ascii="Arial" w:eastAsia="Arial" w:hAnsi="Arial" w:cs="Arial"/>
          <w:b/>
          <w:sz w:val="24"/>
          <w:szCs w:val="24"/>
        </w:rPr>
        <w:t xml:space="preserve">inexistencia </w:t>
      </w:r>
      <w:r>
        <w:rPr>
          <w:rFonts w:ascii="Arial" w:eastAsia="Arial" w:hAnsi="Arial" w:cs="Arial"/>
          <w:sz w:val="24"/>
          <w:szCs w:val="24"/>
        </w:rPr>
        <w:t>de la infracción atribuida a la ciudadana Nora Ruvalcaba Gámez.</w:t>
      </w:r>
    </w:p>
    <w:p w14:paraId="76EC243D" w14:textId="77777777" w:rsidR="004F0743" w:rsidRDefault="004F0743">
      <w:pPr>
        <w:pBdr>
          <w:top w:val="nil"/>
          <w:left w:val="nil"/>
          <w:bottom w:val="nil"/>
          <w:right w:val="nil"/>
          <w:between w:val="nil"/>
        </w:pBdr>
        <w:rPr>
          <w:color w:val="000000"/>
          <w:sz w:val="24"/>
          <w:szCs w:val="24"/>
        </w:rPr>
      </w:pPr>
    </w:p>
    <w:p w14:paraId="5C371FA2" w14:textId="77777777" w:rsidR="004F0743" w:rsidRDefault="0034256B">
      <w:pPr>
        <w:spacing w:line="360" w:lineRule="auto"/>
        <w:jc w:val="both"/>
        <w:rPr>
          <w:rFonts w:ascii="Arial" w:eastAsia="Arial" w:hAnsi="Arial" w:cs="Arial"/>
          <w:sz w:val="24"/>
          <w:szCs w:val="24"/>
        </w:rPr>
      </w:pPr>
      <w:r>
        <w:rPr>
          <w:rFonts w:ascii="Arial" w:eastAsia="Arial" w:hAnsi="Arial" w:cs="Arial"/>
          <w:b/>
          <w:sz w:val="24"/>
          <w:szCs w:val="24"/>
        </w:rPr>
        <w:t>Segundo.</w:t>
      </w:r>
      <w:r>
        <w:rPr>
          <w:rFonts w:ascii="Arial" w:eastAsia="Arial" w:hAnsi="Arial" w:cs="Arial"/>
          <w:sz w:val="24"/>
          <w:szCs w:val="24"/>
        </w:rPr>
        <w:t xml:space="preserve">  Se declara la</w:t>
      </w:r>
      <w:r>
        <w:rPr>
          <w:rFonts w:ascii="Arial" w:eastAsia="Arial" w:hAnsi="Arial" w:cs="Arial"/>
          <w:b/>
          <w:sz w:val="24"/>
          <w:szCs w:val="24"/>
        </w:rPr>
        <w:t xml:space="preserve"> inexistencia </w:t>
      </w:r>
      <w:r>
        <w:rPr>
          <w:rFonts w:ascii="Arial" w:eastAsia="Arial" w:hAnsi="Arial" w:cs="Arial"/>
          <w:sz w:val="24"/>
          <w:szCs w:val="24"/>
        </w:rPr>
        <w:t xml:space="preserve">de la infracción consistente en </w:t>
      </w:r>
      <w:r>
        <w:rPr>
          <w:rFonts w:ascii="Arial" w:eastAsia="Arial" w:hAnsi="Arial" w:cs="Arial"/>
          <w:b/>
          <w:i/>
          <w:sz w:val="24"/>
          <w:szCs w:val="24"/>
        </w:rPr>
        <w:t>culpa in vigilando</w:t>
      </w:r>
      <w:r>
        <w:rPr>
          <w:rFonts w:ascii="Arial" w:eastAsia="Arial" w:hAnsi="Arial" w:cs="Arial"/>
          <w:sz w:val="24"/>
          <w:szCs w:val="24"/>
        </w:rPr>
        <w:t xml:space="preserve"> atribuida a MORENA.</w:t>
      </w:r>
    </w:p>
    <w:p w14:paraId="49C58436" w14:textId="77777777" w:rsidR="004F0743" w:rsidRDefault="004F0743">
      <w:pPr>
        <w:pBdr>
          <w:top w:val="nil"/>
          <w:left w:val="nil"/>
          <w:bottom w:val="nil"/>
          <w:right w:val="nil"/>
          <w:between w:val="nil"/>
        </w:pBdr>
        <w:rPr>
          <w:color w:val="000000"/>
        </w:rPr>
      </w:pPr>
    </w:p>
    <w:p w14:paraId="396DD6D9" w14:textId="77777777" w:rsidR="004F0743" w:rsidRDefault="0034256B">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Notifíquese. </w:t>
      </w:r>
    </w:p>
    <w:p w14:paraId="45D80465" w14:textId="77777777" w:rsidR="004F0743" w:rsidRDefault="004F0743">
      <w:pPr>
        <w:pBdr>
          <w:top w:val="nil"/>
          <w:left w:val="nil"/>
          <w:bottom w:val="nil"/>
          <w:right w:val="nil"/>
          <w:between w:val="nil"/>
        </w:pBdr>
        <w:rPr>
          <w:color w:val="000000"/>
          <w:sz w:val="24"/>
          <w:szCs w:val="24"/>
        </w:rPr>
      </w:pPr>
    </w:p>
    <w:p w14:paraId="0B2D6E10" w14:textId="77777777" w:rsidR="004F0743" w:rsidRDefault="0034256B">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Magistrado que lo integran, ante el Secretario General de Acuerdos, quien autoriza y da fe.</w:t>
      </w:r>
    </w:p>
    <w:p w14:paraId="68E40758" w14:textId="77777777" w:rsidR="004F0743" w:rsidRDefault="004F0743">
      <w:pPr>
        <w:spacing w:line="360" w:lineRule="auto"/>
        <w:jc w:val="both"/>
        <w:rPr>
          <w:rFonts w:ascii="Arial" w:eastAsia="Arial" w:hAnsi="Arial" w:cs="Arial"/>
          <w:sz w:val="24"/>
          <w:szCs w:val="24"/>
        </w:rPr>
      </w:pPr>
    </w:p>
    <w:p w14:paraId="0EFAA944" w14:textId="77777777" w:rsidR="004F0743" w:rsidRDefault="004F0743">
      <w:pPr>
        <w:spacing w:line="360" w:lineRule="auto"/>
        <w:jc w:val="both"/>
        <w:rPr>
          <w:rFonts w:ascii="Arial" w:eastAsia="Arial" w:hAnsi="Arial" w:cs="Arial"/>
          <w:sz w:val="24"/>
          <w:szCs w:val="24"/>
        </w:rPr>
      </w:pPr>
    </w:p>
    <w:tbl>
      <w:tblPr>
        <w:tblStyle w:val="af5"/>
        <w:tblW w:w="8160" w:type="dxa"/>
        <w:jc w:val="center"/>
        <w:tblInd w:w="0" w:type="dxa"/>
        <w:tblLayout w:type="fixed"/>
        <w:tblLook w:val="0400" w:firstRow="0" w:lastRow="0" w:firstColumn="0" w:lastColumn="0" w:noHBand="0" w:noVBand="1"/>
      </w:tblPr>
      <w:tblGrid>
        <w:gridCol w:w="4056"/>
        <w:gridCol w:w="4104"/>
      </w:tblGrid>
      <w:tr w:rsidR="004F0743" w14:paraId="3FDFAAA1" w14:textId="77777777">
        <w:trPr>
          <w:trHeight w:val="1129"/>
          <w:jc w:val="center"/>
        </w:trPr>
        <w:tc>
          <w:tcPr>
            <w:tcW w:w="8160" w:type="dxa"/>
            <w:gridSpan w:val="2"/>
            <w:shd w:val="clear" w:color="auto" w:fill="FFFFFF"/>
          </w:tcPr>
          <w:p w14:paraId="413C5791" w14:textId="77777777" w:rsidR="004F0743" w:rsidRDefault="0034256B">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MAGISTRADA PRESIDENTA</w:t>
            </w:r>
          </w:p>
          <w:p w14:paraId="42F8228D" w14:textId="77777777" w:rsidR="004F0743" w:rsidRDefault="004F0743">
            <w:pPr>
              <w:pBdr>
                <w:top w:val="nil"/>
                <w:left w:val="nil"/>
                <w:bottom w:val="nil"/>
                <w:right w:val="nil"/>
                <w:between w:val="nil"/>
              </w:pBdr>
              <w:spacing w:line="360" w:lineRule="auto"/>
              <w:ind w:right="49"/>
              <w:rPr>
                <w:rFonts w:ascii="Arial" w:eastAsia="Arial" w:hAnsi="Arial" w:cs="Arial"/>
                <w:b/>
                <w:color w:val="000000"/>
                <w:sz w:val="24"/>
                <w:szCs w:val="24"/>
              </w:rPr>
            </w:pPr>
          </w:p>
          <w:p w14:paraId="44526300" w14:textId="77777777" w:rsidR="004F0743" w:rsidRDefault="0034256B">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 xml:space="preserve">CLAUDIA ELOISA DÍAZ DE LEÓN GONZÁLEZ </w:t>
            </w:r>
          </w:p>
          <w:p w14:paraId="27ACC06E" w14:textId="77777777" w:rsidR="004F0743" w:rsidRDefault="004F0743">
            <w:pPr>
              <w:pBdr>
                <w:top w:val="nil"/>
                <w:left w:val="nil"/>
                <w:bottom w:val="nil"/>
                <w:right w:val="nil"/>
                <w:between w:val="nil"/>
              </w:pBdr>
              <w:spacing w:line="360" w:lineRule="auto"/>
              <w:ind w:right="49"/>
              <w:rPr>
                <w:rFonts w:ascii="Arial" w:eastAsia="Arial" w:hAnsi="Arial" w:cs="Arial"/>
                <w:b/>
                <w:color w:val="000000"/>
                <w:sz w:val="24"/>
                <w:szCs w:val="24"/>
              </w:rPr>
            </w:pPr>
          </w:p>
          <w:p w14:paraId="295F161A" w14:textId="77777777" w:rsidR="004F0743" w:rsidRDefault="004F0743">
            <w:pPr>
              <w:pBdr>
                <w:top w:val="nil"/>
                <w:left w:val="nil"/>
                <w:bottom w:val="nil"/>
                <w:right w:val="nil"/>
                <w:between w:val="nil"/>
              </w:pBdr>
              <w:rPr>
                <w:color w:val="000000"/>
              </w:rPr>
            </w:pPr>
          </w:p>
        </w:tc>
      </w:tr>
      <w:tr w:rsidR="004F0743" w14:paraId="6C4568CC" w14:textId="77777777">
        <w:trPr>
          <w:trHeight w:val="1484"/>
          <w:jc w:val="center"/>
        </w:trPr>
        <w:tc>
          <w:tcPr>
            <w:tcW w:w="4056" w:type="dxa"/>
            <w:shd w:val="clear" w:color="auto" w:fill="FFFFFF"/>
          </w:tcPr>
          <w:p w14:paraId="02A1AB66" w14:textId="77777777" w:rsidR="004F0743" w:rsidRDefault="0034256B">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MAGISTRADA</w:t>
            </w:r>
          </w:p>
          <w:p w14:paraId="0F39116B" w14:textId="77777777" w:rsidR="004F0743" w:rsidRDefault="004F0743">
            <w:pPr>
              <w:pBdr>
                <w:top w:val="nil"/>
                <w:left w:val="nil"/>
                <w:bottom w:val="nil"/>
                <w:right w:val="nil"/>
                <w:between w:val="nil"/>
              </w:pBdr>
              <w:rPr>
                <w:color w:val="000000"/>
              </w:rPr>
            </w:pPr>
          </w:p>
          <w:p w14:paraId="1B5DF38B" w14:textId="77777777" w:rsidR="004F0743" w:rsidRDefault="004F0743">
            <w:pPr>
              <w:pBdr>
                <w:top w:val="nil"/>
                <w:left w:val="nil"/>
                <w:bottom w:val="nil"/>
                <w:right w:val="nil"/>
                <w:between w:val="nil"/>
              </w:pBdr>
              <w:rPr>
                <w:color w:val="000000"/>
              </w:rPr>
            </w:pPr>
          </w:p>
          <w:p w14:paraId="7E54D26A" w14:textId="77777777" w:rsidR="004F0743" w:rsidRDefault="0034256B">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1719322F" w14:textId="77777777" w:rsidR="004F0743" w:rsidRDefault="0034256B">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104" w:type="dxa"/>
            <w:shd w:val="clear" w:color="auto" w:fill="FFFFFF"/>
          </w:tcPr>
          <w:p w14:paraId="3CA6EA59" w14:textId="77777777" w:rsidR="004F0743" w:rsidRDefault="0034256B">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MAGISTRADO</w:t>
            </w:r>
          </w:p>
          <w:p w14:paraId="6A7937CA" w14:textId="77777777" w:rsidR="004F0743" w:rsidRDefault="004F0743">
            <w:pPr>
              <w:pBdr>
                <w:top w:val="nil"/>
                <w:left w:val="nil"/>
                <w:bottom w:val="nil"/>
                <w:right w:val="nil"/>
                <w:between w:val="nil"/>
              </w:pBdr>
              <w:rPr>
                <w:color w:val="000000"/>
              </w:rPr>
            </w:pPr>
          </w:p>
          <w:p w14:paraId="475E29F5" w14:textId="77777777" w:rsidR="004F0743" w:rsidRDefault="004F0743">
            <w:pPr>
              <w:pBdr>
                <w:top w:val="nil"/>
                <w:left w:val="nil"/>
                <w:bottom w:val="nil"/>
                <w:right w:val="nil"/>
                <w:between w:val="nil"/>
              </w:pBdr>
              <w:rPr>
                <w:color w:val="000000"/>
              </w:rPr>
            </w:pPr>
          </w:p>
          <w:p w14:paraId="027C7339" w14:textId="77777777" w:rsidR="004F0743" w:rsidRDefault="0034256B">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HÉCTOR SALVADOR HERNÁNDEZ GALLEGOS</w:t>
            </w:r>
          </w:p>
          <w:p w14:paraId="7B5D15AA" w14:textId="77777777" w:rsidR="004F0743" w:rsidRDefault="004F0743">
            <w:pPr>
              <w:pBdr>
                <w:top w:val="nil"/>
                <w:left w:val="nil"/>
                <w:bottom w:val="nil"/>
                <w:right w:val="nil"/>
                <w:between w:val="nil"/>
              </w:pBdr>
              <w:spacing w:line="360" w:lineRule="auto"/>
              <w:ind w:right="49"/>
              <w:rPr>
                <w:rFonts w:ascii="Arial" w:eastAsia="Arial" w:hAnsi="Arial" w:cs="Arial"/>
                <w:b/>
                <w:color w:val="000000"/>
                <w:sz w:val="24"/>
                <w:szCs w:val="24"/>
              </w:rPr>
            </w:pPr>
          </w:p>
          <w:p w14:paraId="3D15114C" w14:textId="77777777" w:rsidR="004F0743" w:rsidRDefault="004F0743">
            <w:pPr>
              <w:pBdr>
                <w:top w:val="nil"/>
                <w:left w:val="nil"/>
                <w:bottom w:val="nil"/>
                <w:right w:val="nil"/>
                <w:between w:val="nil"/>
              </w:pBdr>
              <w:rPr>
                <w:color w:val="000000"/>
              </w:rPr>
            </w:pPr>
          </w:p>
        </w:tc>
      </w:tr>
      <w:tr w:rsidR="004F0743" w14:paraId="30E1F978" w14:textId="77777777">
        <w:trPr>
          <w:trHeight w:val="881"/>
          <w:jc w:val="center"/>
        </w:trPr>
        <w:tc>
          <w:tcPr>
            <w:tcW w:w="8160" w:type="dxa"/>
            <w:gridSpan w:val="2"/>
            <w:shd w:val="clear" w:color="auto" w:fill="FFFFFF"/>
          </w:tcPr>
          <w:p w14:paraId="3DD2524B" w14:textId="77777777" w:rsidR="004F0743" w:rsidRDefault="0034256B">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 xml:space="preserve">SECRETARIO GENERAL DE ACUERDOS </w:t>
            </w:r>
          </w:p>
          <w:p w14:paraId="48ABEE92" w14:textId="77777777" w:rsidR="004F0743" w:rsidRDefault="004F0743">
            <w:pPr>
              <w:pBdr>
                <w:top w:val="nil"/>
                <w:left w:val="nil"/>
                <w:bottom w:val="nil"/>
                <w:right w:val="nil"/>
                <w:between w:val="nil"/>
              </w:pBdr>
              <w:spacing w:line="360" w:lineRule="auto"/>
              <w:ind w:right="49"/>
              <w:jc w:val="center"/>
              <w:rPr>
                <w:rFonts w:ascii="Arial" w:eastAsia="Arial" w:hAnsi="Arial" w:cs="Arial"/>
                <w:b/>
                <w:color w:val="000000"/>
                <w:sz w:val="24"/>
                <w:szCs w:val="24"/>
              </w:rPr>
            </w:pPr>
          </w:p>
          <w:p w14:paraId="06EC4364" w14:textId="77777777" w:rsidR="004F0743" w:rsidRDefault="0034256B">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JESÚS OCIEL BAENA SAUCEDO</w:t>
            </w:r>
          </w:p>
        </w:tc>
      </w:tr>
    </w:tbl>
    <w:p w14:paraId="682C3587" w14:textId="77777777" w:rsidR="004F0743" w:rsidRDefault="004F0743">
      <w:pPr>
        <w:spacing w:line="360" w:lineRule="auto"/>
        <w:rPr>
          <w:rFonts w:ascii="Arial" w:eastAsia="Arial" w:hAnsi="Arial" w:cs="Arial"/>
          <w:sz w:val="24"/>
          <w:szCs w:val="24"/>
        </w:rPr>
      </w:pPr>
    </w:p>
    <w:sectPr w:rsidR="004F0743">
      <w:headerReference w:type="even" r:id="rId10"/>
      <w:headerReference w:type="default" r:id="rId11"/>
      <w:footerReference w:type="even" r:id="rId12"/>
      <w:footerReference w:type="default" r:id="rId13"/>
      <w:headerReference w:type="first" r:id="rId14"/>
      <w:footerReference w:type="first" r:id="rId15"/>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7F942" w14:textId="77777777" w:rsidR="00F66EFC" w:rsidRDefault="00F66EFC">
      <w:r>
        <w:separator/>
      </w:r>
    </w:p>
  </w:endnote>
  <w:endnote w:type="continuationSeparator" w:id="0">
    <w:p w14:paraId="7ED12D69" w14:textId="77777777" w:rsidR="00F66EFC" w:rsidRDefault="00F66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9FB67" w14:textId="77777777" w:rsidR="004F0743" w:rsidRDefault="004F0743">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CE91F" w14:textId="77777777" w:rsidR="004F0743" w:rsidRDefault="004F0743">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53809" w14:textId="77777777" w:rsidR="004F0743" w:rsidRDefault="004F074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043FB" w14:textId="77777777" w:rsidR="00F66EFC" w:rsidRDefault="00F66EFC">
      <w:r>
        <w:separator/>
      </w:r>
    </w:p>
  </w:footnote>
  <w:footnote w:type="continuationSeparator" w:id="0">
    <w:p w14:paraId="723BCAE4" w14:textId="77777777" w:rsidR="00F66EFC" w:rsidRDefault="00F66EFC">
      <w:r>
        <w:continuationSeparator/>
      </w:r>
    </w:p>
  </w:footnote>
  <w:footnote w:id="1">
    <w:p w14:paraId="0796A203" w14:textId="77777777" w:rsidR="004F0743" w:rsidRDefault="0034256B">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38D1F4F4" w14:textId="77777777" w:rsidR="004F0743" w:rsidRDefault="0034256B">
      <w:pPr>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3">
    <w:p w14:paraId="69AF0064" w14:textId="77777777" w:rsidR="004F0743" w:rsidRDefault="0034256B">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Intercampaña: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79AEEEAA" w14:textId="77777777" w:rsidR="004F0743" w:rsidRDefault="0034256B">
      <w:pPr>
        <w:rPr>
          <w:rFonts w:ascii="Arial" w:eastAsia="Arial" w:hAnsi="Arial" w:cs="Arial"/>
        </w:rPr>
      </w:pPr>
      <w:r>
        <w:rPr>
          <w:vertAlign w:val="superscript"/>
        </w:rPr>
        <w:footnoteRef/>
      </w:r>
      <w:r>
        <w:rPr>
          <w:rFonts w:ascii="Arial" w:eastAsia="Arial" w:hAnsi="Arial" w:cs="Arial"/>
        </w:rPr>
        <w:t xml:space="preserve"> Tal como se prevé en el artículo 274, fracción IV, del Código Electoral.</w:t>
      </w:r>
    </w:p>
  </w:footnote>
  <w:footnote w:id="5">
    <w:p w14:paraId="4706F701" w14:textId="77777777" w:rsidR="004F0743" w:rsidRDefault="0034256B">
      <w:pPr>
        <w:rPr>
          <w:rFonts w:ascii="Arial" w:eastAsia="Arial" w:hAnsi="Arial" w:cs="Arial"/>
        </w:rPr>
      </w:pPr>
      <w:r>
        <w:rPr>
          <w:vertAlign w:val="superscript"/>
        </w:rPr>
        <w:footnoteRef/>
      </w:r>
      <w:r>
        <w:t xml:space="preserve"> </w:t>
      </w:r>
      <w:r>
        <w:rPr>
          <w:rFonts w:ascii="Arial" w:eastAsia="Arial" w:hAnsi="Arial" w:cs="Arial"/>
        </w:rPr>
        <w:t xml:space="preserve">Véase la resolución SUP-AG-142/2021. </w:t>
      </w:r>
    </w:p>
  </w:footnote>
  <w:footnote w:id="6">
    <w:p w14:paraId="713EB5F4" w14:textId="77777777" w:rsidR="004F0743" w:rsidRDefault="0034256B">
      <w:pPr>
        <w:rPr>
          <w:rFonts w:ascii="Arial" w:eastAsia="Arial" w:hAnsi="Arial" w:cs="Arial"/>
        </w:rPr>
      </w:pPr>
      <w:r>
        <w:rPr>
          <w:vertAlign w:val="superscript"/>
        </w:rPr>
        <w:footnoteRef/>
      </w:r>
      <w:r>
        <w:rPr>
          <w:rFonts w:ascii="Arial" w:eastAsia="Arial" w:hAnsi="Arial" w:cs="Arial"/>
        </w:rPr>
        <w:t xml:space="preserve"> Artículo 270.- La denuncia deberá ser presentada ante la Secretaría Ejecutiva, para que ésta la examine junto con las pruebas aportadas. La denuncia será desechada de plano por la Secretaría Ejecutiva, sin prevención alguna, cuando: […]</w:t>
      </w:r>
    </w:p>
    <w:p w14:paraId="0DD7549E" w14:textId="77777777" w:rsidR="004F0743" w:rsidRDefault="0034256B">
      <w:pPr>
        <w:rPr>
          <w:rFonts w:ascii="Arial" w:eastAsia="Arial" w:hAnsi="Arial" w:cs="Arial"/>
        </w:rPr>
      </w:pPr>
      <w:r>
        <w:rPr>
          <w:rFonts w:ascii="Arial" w:eastAsia="Arial" w:hAnsi="Arial" w:cs="Arial"/>
        </w:rPr>
        <w:t>II. Los hechos denunciados no constituyan una violación en materia de propaganda político-electivo;</w:t>
      </w:r>
    </w:p>
    <w:p w14:paraId="18D5F85C" w14:textId="77777777" w:rsidR="004F0743" w:rsidRDefault="0034256B">
      <w:pPr>
        <w:rPr>
          <w:rFonts w:ascii="Arial" w:eastAsia="Arial" w:hAnsi="Arial" w:cs="Arial"/>
        </w:rPr>
      </w:pPr>
      <w:r>
        <w:rPr>
          <w:rFonts w:ascii="Arial" w:eastAsia="Arial" w:hAnsi="Arial" w:cs="Arial"/>
        </w:rPr>
        <w:t>III. El denunciante no aporte ni ofrezca prueba alguna de sus dichos; […]</w:t>
      </w:r>
    </w:p>
    <w:p w14:paraId="63A5956C" w14:textId="77777777" w:rsidR="004F0743" w:rsidRDefault="0034256B">
      <w:pPr>
        <w:rPr>
          <w:rFonts w:ascii="Arial" w:eastAsia="Arial" w:hAnsi="Arial" w:cs="Arial"/>
        </w:rPr>
      </w:pPr>
      <w:r>
        <w:rPr>
          <w:rFonts w:ascii="Arial" w:eastAsia="Arial" w:hAnsi="Arial" w:cs="Arial"/>
        </w:rPr>
        <w:t>V. La denuncia sea evidentemente frívola. […]</w:t>
      </w:r>
    </w:p>
    <w:p w14:paraId="62622C52" w14:textId="77777777" w:rsidR="004F0743" w:rsidRDefault="004F0743">
      <w:pPr>
        <w:rPr>
          <w:rFonts w:ascii="Arial" w:eastAsia="Arial" w:hAnsi="Arial" w:cs="Arial"/>
        </w:rPr>
      </w:pPr>
    </w:p>
  </w:footnote>
  <w:footnote w:id="7">
    <w:p w14:paraId="6B4B28B1" w14:textId="77777777" w:rsidR="004F0743" w:rsidRDefault="0034256B">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 </w:t>
      </w:r>
    </w:p>
    <w:p w14:paraId="3D650583" w14:textId="77777777" w:rsidR="004F0743" w:rsidRDefault="0034256B">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p w14:paraId="67914C21" w14:textId="77777777" w:rsidR="004F0743" w:rsidRDefault="004F0743">
      <w:pPr>
        <w:pBdr>
          <w:top w:val="nil"/>
          <w:left w:val="nil"/>
          <w:bottom w:val="nil"/>
          <w:right w:val="nil"/>
          <w:between w:val="nil"/>
        </w:pBdr>
        <w:rPr>
          <w:rFonts w:ascii="Arial" w:eastAsia="Arial" w:hAnsi="Arial" w:cs="Arial"/>
          <w:color w:val="000000"/>
        </w:rPr>
      </w:pPr>
    </w:p>
  </w:footnote>
  <w:footnote w:id="8">
    <w:p w14:paraId="08C04996" w14:textId="77777777" w:rsidR="00C05ACF" w:rsidRDefault="00C05ACF" w:rsidP="00C05ACF">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3. 1. Para los efectos de esta Ley se entiende por: a) Actos Anticipados de Campaña: Los actos de expresión que se realicen bajo cualquier modalidad y en cualquier momento fuera de la etapa de campañas, que contengan llamados expresos al voto en contra o a favor de una candidatura o un partido, o expresiones solicitando cualquier tipo de apoyo para contender en el proceso electoral por alguna candidatura o para un partido; […]</w:t>
      </w:r>
    </w:p>
  </w:footnote>
  <w:footnote w:id="9">
    <w:p w14:paraId="53D3B990" w14:textId="77777777" w:rsidR="00C05ACF" w:rsidRDefault="00C05ACF" w:rsidP="00C05ACF">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rPr>
        <w:t xml:space="preserve">Artículo </w:t>
      </w:r>
      <w:r>
        <w:rPr>
          <w:rFonts w:ascii="Arial" w:eastAsia="Arial" w:hAnsi="Arial" w:cs="Arial"/>
          <w:color w:val="000000"/>
        </w:rPr>
        <w:t xml:space="preserve">244.- Constituyen infracciones de los aspirantes, precandidatos, candidatos o candidatos independientes a cargos de elección popular, al presente Código: […] </w:t>
      </w:r>
    </w:p>
    <w:p w14:paraId="7C829A62" w14:textId="77777777" w:rsidR="00C05ACF" w:rsidRDefault="00C05ACF" w:rsidP="00C05ACF">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VI. La realización de actos anticipados de precampaña o campaña, según sea el caso; […]</w:t>
      </w:r>
    </w:p>
  </w:footnote>
  <w:footnote w:id="10">
    <w:p w14:paraId="39698FF9" w14:textId="77777777" w:rsidR="00C05ACF" w:rsidRDefault="00C05ACF" w:rsidP="00C05ACF">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Jurisprudencia de rubro: </w:t>
      </w:r>
      <w:r>
        <w:rPr>
          <w:rFonts w:ascii="Arial" w:eastAsia="Arial" w:hAnsi="Arial" w:cs="Arial"/>
          <w:i/>
          <w:color w:val="000000"/>
        </w:rPr>
        <w:t>“ACTOS ANTICIPADOS DE PRECAMPAÑA O CAMPAÑA. PARA ACREDITAR EL ELEMENTO SUBJETIVO SE REQUIERE QUE EL MENSAJE SEA EXPLÍCITO O INEQUÍVOCO RESPECTO A SU FINALIDAD ELECTORAL (LEGISLACIÓN DEL ESTADO DE MÉXICO Y SIMILARES)”</w:t>
      </w:r>
      <w:r>
        <w:rPr>
          <w:rFonts w:ascii="Arial" w:eastAsia="Arial" w:hAnsi="Arial" w:cs="Arial"/>
          <w:color w:val="000000"/>
        </w:rPr>
        <w:t xml:space="preserve">, </w:t>
      </w:r>
      <w:r>
        <w:rPr>
          <w:rFonts w:ascii="Arial" w:eastAsia="Arial" w:hAnsi="Arial" w:cs="Arial"/>
          <w:color w:val="000000"/>
          <w:highlight w:val="white"/>
        </w:rPr>
        <w:t>visible en la Gaceta de Jurisprudencia y Tesis en materia electoral del Tribunal Electoral del Poder Judicial de la Federación, año 10, número 21, 2018, páginas 11 y 12.</w:t>
      </w:r>
    </w:p>
  </w:footnote>
  <w:footnote w:id="11">
    <w:p w14:paraId="21C50C5D" w14:textId="77777777" w:rsidR="00C05ACF" w:rsidRDefault="00C05ACF" w:rsidP="00C05ACF">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Tesis XXX/2018, de rubro: </w:t>
      </w:r>
      <w:r>
        <w:rPr>
          <w:rFonts w:ascii="Arial" w:eastAsia="Arial" w:hAnsi="Arial" w:cs="Arial"/>
          <w:i/>
          <w:color w:val="000000"/>
        </w:rPr>
        <w:t>“ACTOS ANTICIPADOS DE PRECAMPAÑA O CAMPAÑA. PARA ACREDITAR EL ELEMENTO SUBJETIVO SE DEBEN ANALIZAR LAS VARIABLES RELACIONADAS CON LA TRASCENDENCIA A LA CIUDADANÍA.”,</w:t>
      </w:r>
      <w:r>
        <w:rPr>
          <w:rFonts w:ascii="Arial" w:eastAsia="Arial" w:hAnsi="Arial" w:cs="Arial"/>
          <w:color w:val="000000"/>
        </w:rPr>
        <w:t xml:space="preserve"> </w:t>
      </w:r>
      <w:r>
        <w:rPr>
          <w:rFonts w:ascii="Arial" w:eastAsia="Arial" w:hAnsi="Arial" w:cs="Arial"/>
          <w:color w:val="000000"/>
          <w:highlight w:val="white"/>
        </w:rPr>
        <w:t>visible en la Gaceta de Jurisprudencia y Tesis en materia electoral del Tribunal Electoral del Poder Judicial de la Federación, año 11, número 22, 2018, página 26.</w:t>
      </w:r>
    </w:p>
  </w:footnote>
  <w:footnote w:id="12">
    <w:p w14:paraId="1F781B83" w14:textId="77777777" w:rsidR="00C05ACF" w:rsidRDefault="00C05ACF" w:rsidP="00C05ACF">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Véase </w:t>
      </w:r>
      <w:r>
        <w:rPr>
          <w:rFonts w:ascii="Arial" w:eastAsia="Arial" w:hAnsi="Arial" w:cs="Arial"/>
        </w:rPr>
        <w:t xml:space="preserve">los </w:t>
      </w:r>
      <w:r>
        <w:rPr>
          <w:rFonts w:ascii="Arial" w:eastAsia="Arial" w:hAnsi="Arial" w:cs="Arial"/>
          <w:color w:val="000000"/>
        </w:rPr>
        <w:t>asuntos SUP-REC-803/202</w:t>
      </w:r>
      <w:r>
        <w:rPr>
          <w:rFonts w:ascii="Arial" w:eastAsia="Arial" w:hAnsi="Arial" w:cs="Arial"/>
        </w:rPr>
        <w:t xml:space="preserve">1 y SUP-REC-806/2021. </w:t>
      </w:r>
    </w:p>
  </w:footnote>
  <w:footnote w:id="13">
    <w:p w14:paraId="4C226A26" w14:textId="77777777" w:rsidR="004F0743" w:rsidRDefault="0034256B">
      <w:pPr>
        <w:jc w:val="both"/>
      </w:pPr>
      <w:r>
        <w:rPr>
          <w:vertAlign w:val="superscript"/>
        </w:rPr>
        <w:footnoteRef/>
      </w:r>
      <w:r>
        <w:t xml:space="preserve"> </w:t>
      </w:r>
      <w:r>
        <w:rPr>
          <w:rFonts w:ascii="Arial" w:eastAsia="Arial" w:hAnsi="Arial" w:cs="Arial"/>
        </w:rPr>
        <w:t xml:space="preserve">El </w:t>
      </w:r>
      <w:r>
        <w:rPr>
          <w:rFonts w:ascii="Arial" w:eastAsia="Arial" w:hAnsi="Arial" w:cs="Arial"/>
          <w:i/>
        </w:rPr>
        <w:t>elemento personal</w:t>
      </w:r>
      <w:r>
        <w:rPr>
          <w:rFonts w:ascii="Arial" w:eastAsia="Arial" w:hAnsi="Arial" w:cs="Arial"/>
        </w:rPr>
        <w:t xml:space="preserve"> se acredita cuando la expresión es realizada por partidos políticos, aspirantes, precandidaturas o candidaturas. Asimismo, es necesario que el sujeto que emita el mensaje o realice el acto sea plenamente identificable.</w:t>
      </w:r>
      <w:r>
        <w:t xml:space="preserve"> </w:t>
      </w:r>
    </w:p>
  </w:footnote>
  <w:footnote w:id="14">
    <w:p w14:paraId="5F4F1DAD" w14:textId="77777777" w:rsidR="004F0743" w:rsidRDefault="0034256B">
      <w:pPr>
        <w:pBdr>
          <w:top w:val="nil"/>
          <w:left w:val="nil"/>
          <w:bottom w:val="nil"/>
          <w:right w:val="nil"/>
          <w:between w:val="nil"/>
        </w:pBdr>
        <w:jc w:val="both"/>
        <w:rPr>
          <w:rFonts w:ascii="Arial" w:eastAsia="Arial" w:hAnsi="Arial" w:cs="Arial"/>
          <w:color w:val="000000"/>
        </w:rPr>
      </w:pPr>
      <w:r>
        <w:rPr>
          <w:vertAlign w:val="superscript"/>
        </w:rPr>
        <w:footnoteRef/>
      </w:r>
      <w:r>
        <w:rPr>
          <w:color w:val="000000"/>
        </w:rPr>
        <w:t xml:space="preserve"> </w:t>
      </w:r>
      <w:r>
        <w:rPr>
          <w:rFonts w:ascii="Arial" w:eastAsia="Arial" w:hAnsi="Arial" w:cs="Arial"/>
        </w:rPr>
        <w:t xml:space="preserve">El </w:t>
      </w:r>
      <w:r>
        <w:rPr>
          <w:rFonts w:ascii="Arial" w:eastAsia="Arial" w:hAnsi="Arial" w:cs="Arial"/>
          <w:i/>
        </w:rPr>
        <w:t>elemento temporal</w:t>
      </w:r>
      <w:r>
        <w:rPr>
          <w:rFonts w:ascii="Arial" w:eastAsia="Arial" w:hAnsi="Arial" w:cs="Arial"/>
        </w:rPr>
        <w:t xml:space="preserve"> se confirma en atención al periodo en el cual ocurren los actos denunciados, en el caso, antes del inicio formal del periodo de campaña electoral. </w:t>
      </w:r>
    </w:p>
  </w:footnote>
  <w:footnote w:id="15">
    <w:p w14:paraId="793268EF" w14:textId="77777777" w:rsidR="004F0743" w:rsidRDefault="0034256B">
      <w:pPr>
        <w:jc w:val="both"/>
        <w:rPr>
          <w:rFonts w:ascii="Arial" w:eastAsia="Arial" w:hAnsi="Arial" w:cs="Arial"/>
        </w:rPr>
      </w:pPr>
      <w:r>
        <w:rPr>
          <w:vertAlign w:val="superscript"/>
        </w:rPr>
        <w:footnoteRef/>
      </w:r>
      <w:r>
        <w:t xml:space="preserve"> </w:t>
      </w:r>
      <w:r>
        <w:rPr>
          <w:rFonts w:ascii="Arial" w:eastAsia="Arial" w:hAnsi="Arial" w:cs="Arial"/>
        </w:rPr>
        <w:t xml:space="preserve">Véase los asuntos SUP-REC-803/2021 y SUP-REC-806/2021. </w:t>
      </w:r>
    </w:p>
  </w:footnote>
  <w:footnote w:id="16">
    <w:p w14:paraId="1DF09907" w14:textId="77777777" w:rsidR="004F0743" w:rsidRDefault="0034256B">
      <w:pPr>
        <w:jc w:val="both"/>
      </w:pPr>
      <w:r>
        <w:rPr>
          <w:vertAlign w:val="superscript"/>
        </w:rPr>
        <w:footnoteRef/>
      </w:r>
      <w:r>
        <w:t xml:space="preserve"> </w:t>
      </w:r>
      <w:r>
        <w:rPr>
          <w:rFonts w:ascii="Arial" w:eastAsia="Arial" w:hAnsi="Arial" w:cs="Arial"/>
        </w:rPr>
        <w:t xml:space="preserve">Jurisprudencia 4/2018, de rubro: </w:t>
      </w:r>
      <w:r>
        <w:rPr>
          <w:rFonts w:ascii="Arial" w:eastAsia="Arial" w:hAnsi="Arial" w:cs="Arial"/>
          <w:i/>
        </w:rPr>
        <w:t>“ACTOS ANTICIPADOS DE PRECAMPAÑA O CAMPAÑA. PARA ACREDITAR EL ELEMENTO SUBJETIVO SE REQUIERE QUE EL MENSAJE SEA EXPLÍCITO O INEQUÍVOCO RESPECTO A SU FINALIDAD ELECTORAL (LEGISLACIÓN DEL ESTADO DE MÉXICO Y SIMILARES)”</w:t>
      </w:r>
      <w:r>
        <w:rPr>
          <w:rFonts w:ascii="Arial" w:eastAsia="Arial" w:hAnsi="Arial" w:cs="Arial"/>
        </w:rPr>
        <w:t xml:space="preserve">, </w:t>
      </w:r>
      <w:r>
        <w:rPr>
          <w:rFonts w:ascii="Arial" w:eastAsia="Arial" w:hAnsi="Arial" w:cs="Arial"/>
          <w:highlight w:val="white"/>
        </w:rPr>
        <w:t>visible en la Gaceta de Jurisprudencia y Tesis en materia electoral del Tribunal Electoral del Poder Judicial de la Federación, año 10, número 21, 2018, páginas 11 y 12.</w:t>
      </w:r>
    </w:p>
  </w:footnote>
  <w:footnote w:id="17">
    <w:p w14:paraId="322B734A" w14:textId="77777777" w:rsidR="004F0743" w:rsidRDefault="0034256B">
      <w:pPr>
        <w:jc w:val="both"/>
      </w:pPr>
      <w:r>
        <w:rPr>
          <w:vertAlign w:val="superscript"/>
        </w:rPr>
        <w:footnoteRef/>
      </w:r>
      <w:r>
        <w:t xml:space="preserve"> </w:t>
      </w:r>
      <w:r>
        <w:rPr>
          <w:rFonts w:ascii="Arial" w:eastAsia="Arial" w:hAnsi="Arial" w:cs="Arial"/>
        </w:rPr>
        <w:t xml:space="preserve">Consúltese asunto </w:t>
      </w:r>
      <w:r>
        <w:rPr>
          <w:rFonts w:ascii="Arial" w:eastAsia="Arial" w:hAnsi="Arial" w:cs="Arial"/>
          <w:highlight w:val="white"/>
        </w:rPr>
        <w:t>SUP-REP-8/2021 y acumulado.</w:t>
      </w:r>
    </w:p>
  </w:footnote>
  <w:footnote w:id="18">
    <w:p w14:paraId="46791AA1" w14:textId="5C6E898F" w:rsidR="004F0743" w:rsidRPr="007873E1" w:rsidRDefault="0034256B" w:rsidP="007873E1">
      <w:pPr>
        <w:pBdr>
          <w:top w:val="nil"/>
          <w:left w:val="nil"/>
          <w:bottom w:val="nil"/>
          <w:right w:val="nil"/>
          <w:between w:val="nil"/>
        </w:pBdr>
        <w:jc w:val="both"/>
        <w:rPr>
          <w:rFonts w:ascii="Arial" w:eastAsia="Arial" w:hAnsi="Arial" w:cs="Arial"/>
          <w:color w:val="000000"/>
        </w:rPr>
      </w:pPr>
      <w:r>
        <w:rPr>
          <w:vertAlign w:val="superscript"/>
        </w:rPr>
        <w:footnoteRef/>
      </w:r>
      <w:r>
        <w:rPr>
          <w:color w:val="000000"/>
        </w:rPr>
        <w:t xml:space="preserve"> </w:t>
      </w:r>
      <w:r w:rsidRPr="007873E1">
        <w:rPr>
          <w:rFonts w:ascii="Arial" w:eastAsia="Arial" w:hAnsi="Arial" w:cs="Arial"/>
          <w:color w:val="000000"/>
        </w:rPr>
        <w:t xml:space="preserve">Jurisprudencia 19/2016, de rubro: </w:t>
      </w:r>
      <w:r w:rsidR="007873E1" w:rsidRPr="007873E1">
        <w:rPr>
          <w:rFonts w:ascii="Arial" w:eastAsia="Arial" w:hAnsi="Arial" w:cs="Arial"/>
          <w:color w:val="000000"/>
        </w:rPr>
        <w:t>“</w:t>
      </w:r>
      <w:r w:rsidRPr="007873E1">
        <w:rPr>
          <w:rFonts w:ascii="Arial" w:eastAsia="Arial" w:hAnsi="Arial" w:cs="Arial"/>
          <w:color w:val="000000"/>
        </w:rPr>
        <w:t>LIBERTAD DE EXPRESIÓN EN REDES SOCIALES. ENFOQUE QUE DEBE ADOPTARSE AL ANALIZAR MEDIDAS QUE PUEDEN IMPACTARLAS</w:t>
      </w:r>
      <w:r w:rsidR="007873E1" w:rsidRPr="007873E1">
        <w:rPr>
          <w:rFonts w:ascii="Arial" w:eastAsia="Arial" w:hAnsi="Arial" w:cs="Arial"/>
          <w:color w:val="000000"/>
        </w:rPr>
        <w:t xml:space="preserve">”, visible en la </w:t>
      </w:r>
      <w:r w:rsidR="007873E1" w:rsidRPr="007873E1">
        <w:rPr>
          <w:rFonts w:ascii="Arial" w:hAnsi="Arial" w:cs="Arial"/>
          <w:color w:val="000000"/>
          <w:shd w:val="clear" w:color="auto" w:fill="FFFFFF"/>
        </w:rPr>
        <w:t>Gaceta de Jurisprudencia y Tesis en materia electoral del Tribunal Electoral del Poder Judicial de la Federación, año 9, número 18, 2016, páginas 33 y 34.</w:t>
      </w:r>
    </w:p>
  </w:footnote>
  <w:footnote w:id="19">
    <w:p w14:paraId="2EFF5E9E" w14:textId="77777777" w:rsidR="004F0743" w:rsidRDefault="0034256B">
      <w:pPr>
        <w:pBdr>
          <w:top w:val="nil"/>
          <w:left w:val="nil"/>
          <w:bottom w:val="nil"/>
          <w:right w:val="nil"/>
          <w:between w:val="nil"/>
        </w:pBdr>
        <w:jc w:val="both"/>
        <w:rPr>
          <w:color w:val="000000"/>
        </w:rPr>
      </w:pPr>
      <w:r>
        <w:rPr>
          <w:vertAlign w:val="superscript"/>
        </w:rPr>
        <w:footnoteRef/>
      </w:r>
      <w:r>
        <w:rPr>
          <w:color w:val="000000"/>
        </w:rPr>
        <w:t xml:space="preserve"> </w:t>
      </w:r>
      <w:r>
        <w:rPr>
          <w:rFonts w:ascii="Arial" w:eastAsia="Arial" w:hAnsi="Arial" w:cs="Arial"/>
          <w:color w:val="000000"/>
        </w:rPr>
        <w:t>Similares consideraciones sostuvo la Sala Superior al resolver el asunto SUP-REP-700/2018, en lo relativo a que no existe obligación formal hacia los órganos jurisdiccionales de dar vista a la UTF del 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6A26C" w14:textId="1BE7A4DD" w:rsidR="004F0743" w:rsidRDefault="00F66EFC">
    <w:pPr>
      <w:pBdr>
        <w:top w:val="nil"/>
        <w:left w:val="nil"/>
        <w:bottom w:val="nil"/>
        <w:right w:val="nil"/>
        <w:between w:val="nil"/>
      </w:pBdr>
      <w:tabs>
        <w:tab w:val="center" w:pos="4419"/>
        <w:tab w:val="right" w:pos="8838"/>
      </w:tabs>
      <w:rPr>
        <w:color w:val="000000"/>
      </w:rPr>
    </w:pPr>
    <w:r>
      <w:rPr>
        <w:noProof/>
      </w:rPr>
      <w:pict w14:anchorId="5CFAC8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91.85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34256B">
      <w:rPr>
        <w:noProof/>
        <w:color w:val="000000"/>
      </w:rPr>
      <mc:AlternateContent>
        <mc:Choice Requires="wps">
          <w:drawing>
            <wp:anchor distT="0" distB="0" distL="0" distR="0" simplePos="0" relativeHeight="251658240" behindDoc="1" locked="0" layoutInCell="1" hidden="0" allowOverlap="1" wp14:anchorId="79B64102" wp14:editId="5FE8DE77">
              <wp:simplePos x="0" y="0"/>
              <wp:positionH relativeFrom="margin">
                <wp:align>center</wp:align>
              </wp:positionH>
              <wp:positionV relativeFrom="margin">
                <wp:align>center</wp:align>
              </wp:positionV>
              <wp:extent cx="15921757" cy="15921757"/>
              <wp:effectExtent l="0" t="0" r="0" b="0"/>
              <wp:wrapNone/>
              <wp:docPr id="56" name="Rectángulo 56"/>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71B0ECD5" w14:textId="77777777" w:rsidR="004F0743" w:rsidRDefault="0034256B">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79B64102" id="Rectángulo 56" o:spid="_x0000_s1026" style="position:absolute;margin-left:0;margin-top:0;width:1253.7pt;height:1253.7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" filled="f" stroked="f">
              <v:textbox inset="2.53958mm,2.53958mm,2.53958mm,2.53958mm">
                <w:txbxContent>
                  <w:p w14:paraId="71B0ECD5" w14:textId="77777777" w:rsidR="004F0743" w:rsidRDefault="0034256B">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6F57" w14:textId="51A39811" w:rsidR="004F0743" w:rsidRDefault="00F66EFC">
    <w:pPr>
      <w:pBdr>
        <w:top w:val="nil"/>
        <w:left w:val="nil"/>
        <w:bottom w:val="nil"/>
        <w:right w:val="nil"/>
        <w:between w:val="nil"/>
      </w:pBdr>
      <w:tabs>
        <w:tab w:val="center" w:pos="4419"/>
        <w:tab w:val="right" w:pos="8838"/>
      </w:tabs>
    </w:pPr>
    <w:r>
      <w:rPr>
        <w:noProof/>
      </w:rPr>
      <w:pict w14:anchorId="6D1B76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91.85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sdt>
    <w:sdtPr>
      <w:id w:val="1016112532"/>
      <w:docPartObj>
        <w:docPartGallery w:val="Page Numbers (Margins)"/>
        <w:docPartUnique/>
      </w:docPartObj>
    </w:sdtPr>
    <w:sdtEndPr/>
    <w:sdtContent>
      <w:p w14:paraId="31A051C2" w14:textId="77777777" w:rsidR="004F0743" w:rsidRDefault="007873E1">
        <w:pPr>
          <w:pBdr>
            <w:top w:val="nil"/>
            <w:left w:val="nil"/>
            <w:bottom w:val="nil"/>
            <w:right w:val="nil"/>
            <w:between w:val="nil"/>
          </w:pBdr>
          <w:tabs>
            <w:tab w:val="center" w:pos="4419"/>
            <w:tab w:val="right" w:pos="8838"/>
          </w:tabs>
        </w:pPr>
        <w:r>
          <w:rPr>
            <w:noProof/>
          </w:rPr>
          <mc:AlternateContent>
            <mc:Choice Requires="wps">
              <w:drawing>
                <wp:anchor distT="0" distB="0" distL="114300" distR="114300" simplePos="0" relativeHeight="251660288" behindDoc="0" locked="0" layoutInCell="0" allowOverlap="1" wp14:anchorId="2C3C2DB6" wp14:editId="7F8BE3D8">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BB276DC" w14:textId="77777777" w:rsidR="007873E1" w:rsidRDefault="007873E1">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C2DB6" id="Rectángulo 1" o:spid="_x0000_s1027"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1BB276DC" w14:textId="77777777" w:rsidR="007873E1" w:rsidRDefault="007873E1">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598A3060" w14:textId="77777777" w:rsidR="004F0743" w:rsidRDefault="004F0743">
    <w:pPr>
      <w:pBdr>
        <w:top w:val="nil"/>
        <w:left w:val="nil"/>
        <w:bottom w:val="nil"/>
        <w:right w:val="nil"/>
        <w:between w:val="nil"/>
      </w:pBdr>
      <w:tabs>
        <w:tab w:val="center" w:pos="4419"/>
        <w:tab w:val="right" w:pos="8838"/>
      </w:tabs>
    </w:pPr>
  </w:p>
  <w:p w14:paraId="256EAF90" w14:textId="77777777" w:rsidR="004F0743" w:rsidRDefault="0034256B">
    <w:pPr>
      <w:pBdr>
        <w:top w:val="nil"/>
        <w:left w:val="nil"/>
        <w:bottom w:val="nil"/>
        <w:right w:val="nil"/>
        <w:between w:val="nil"/>
      </w:pBdr>
      <w:tabs>
        <w:tab w:val="center" w:pos="4419"/>
        <w:tab w:val="right" w:pos="8838"/>
      </w:tabs>
      <w:rPr>
        <w:color w:val="000000"/>
      </w:rPr>
    </w:pPr>
    <w:r>
      <w:rPr>
        <w:noProof/>
        <w:color w:val="000000"/>
      </w:rPr>
      <w:drawing>
        <wp:inline distT="0" distB="0" distL="0" distR="0" wp14:anchorId="03AB5513" wp14:editId="5EEB6536">
          <wp:extent cx="995527" cy="1154534"/>
          <wp:effectExtent l="0" t="0" r="0" b="0"/>
          <wp:docPr id="5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0FBDC" w14:textId="2E952AB8" w:rsidR="004F0743" w:rsidRDefault="00F66EFC">
    <w:pPr>
      <w:pBdr>
        <w:top w:val="nil"/>
        <w:left w:val="nil"/>
        <w:bottom w:val="nil"/>
        <w:right w:val="nil"/>
        <w:between w:val="nil"/>
      </w:pBdr>
      <w:tabs>
        <w:tab w:val="center" w:pos="4419"/>
        <w:tab w:val="right" w:pos="8838"/>
      </w:tabs>
      <w:rPr>
        <w:color w:val="000000"/>
      </w:rPr>
    </w:pPr>
    <w:r>
      <w:rPr>
        <w:noProof/>
      </w:rPr>
      <w:pict w14:anchorId="193558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91.85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42DAE"/>
    <w:multiLevelType w:val="multilevel"/>
    <w:tmpl w:val="43EC19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C660537"/>
    <w:multiLevelType w:val="multilevel"/>
    <w:tmpl w:val="787CD360"/>
    <w:lvl w:ilvl="0">
      <w:start w:val="1"/>
      <w:numFmt w:val="decimal"/>
      <w:lvlText w:val="%1."/>
      <w:lvlJc w:val="left"/>
      <w:pPr>
        <w:ind w:left="390" w:hanging="390"/>
      </w:pPr>
      <w:rPr>
        <w:rFonts w:eastAsia="Times New Roman" w:hint="default"/>
        <w:u w:val="none"/>
      </w:rPr>
    </w:lvl>
    <w:lvl w:ilvl="1">
      <w:start w:val="1"/>
      <w:numFmt w:val="decimal"/>
      <w:lvlText w:val="%1.%2."/>
      <w:lvlJc w:val="left"/>
      <w:pPr>
        <w:ind w:left="720" w:hanging="720"/>
      </w:pPr>
      <w:rPr>
        <w:rFonts w:eastAsia="Times New Roman" w:hint="default"/>
        <w:u w:val="none"/>
      </w:rPr>
    </w:lvl>
    <w:lvl w:ilvl="2">
      <w:start w:val="1"/>
      <w:numFmt w:val="decimal"/>
      <w:lvlText w:val="%1.%2.%3."/>
      <w:lvlJc w:val="left"/>
      <w:pPr>
        <w:ind w:left="720" w:hanging="720"/>
      </w:pPr>
      <w:rPr>
        <w:rFonts w:eastAsia="Times New Roman" w:hint="default"/>
        <w:u w:val="none"/>
      </w:rPr>
    </w:lvl>
    <w:lvl w:ilvl="3">
      <w:start w:val="1"/>
      <w:numFmt w:val="decimal"/>
      <w:lvlText w:val="%1.%2.%3.%4."/>
      <w:lvlJc w:val="left"/>
      <w:pPr>
        <w:ind w:left="1080" w:hanging="1080"/>
      </w:pPr>
      <w:rPr>
        <w:rFonts w:eastAsia="Times New Roman" w:hint="default"/>
        <w:u w:val="none"/>
      </w:rPr>
    </w:lvl>
    <w:lvl w:ilvl="4">
      <w:start w:val="1"/>
      <w:numFmt w:val="decimal"/>
      <w:lvlText w:val="%1.%2.%3.%4.%5."/>
      <w:lvlJc w:val="left"/>
      <w:pPr>
        <w:ind w:left="1080" w:hanging="1080"/>
      </w:pPr>
      <w:rPr>
        <w:rFonts w:eastAsia="Times New Roman" w:hint="default"/>
        <w:u w:val="none"/>
      </w:rPr>
    </w:lvl>
    <w:lvl w:ilvl="5">
      <w:start w:val="1"/>
      <w:numFmt w:val="decimal"/>
      <w:lvlText w:val="%1.%2.%3.%4.%5.%6."/>
      <w:lvlJc w:val="left"/>
      <w:pPr>
        <w:ind w:left="1440" w:hanging="1440"/>
      </w:pPr>
      <w:rPr>
        <w:rFonts w:eastAsia="Times New Roman" w:hint="default"/>
        <w:u w:val="none"/>
      </w:rPr>
    </w:lvl>
    <w:lvl w:ilvl="6">
      <w:start w:val="1"/>
      <w:numFmt w:val="decimal"/>
      <w:lvlText w:val="%1.%2.%3.%4.%5.%6.%7."/>
      <w:lvlJc w:val="left"/>
      <w:pPr>
        <w:ind w:left="1440" w:hanging="1440"/>
      </w:pPr>
      <w:rPr>
        <w:rFonts w:eastAsia="Times New Roman" w:hint="default"/>
        <w:u w:val="none"/>
      </w:rPr>
    </w:lvl>
    <w:lvl w:ilvl="7">
      <w:start w:val="1"/>
      <w:numFmt w:val="decimal"/>
      <w:lvlText w:val="%1.%2.%3.%4.%5.%6.%7.%8."/>
      <w:lvlJc w:val="left"/>
      <w:pPr>
        <w:ind w:left="1800" w:hanging="1800"/>
      </w:pPr>
      <w:rPr>
        <w:rFonts w:eastAsia="Times New Roman" w:hint="default"/>
        <w:u w:val="none"/>
      </w:rPr>
    </w:lvl>
    <w:lvl w:ilvl="8">
      <w:start w:val="1"/>
      <w:numFmt w:val="decimal"/>
      <w:lvlText w:val="%1.%2.%3.%4.%5.%6.%7.%8.%9."/>
      <w:lvlJc w:val="left"/>
      <w:pPr>
        <w:ind w:left="2160" w:hanging="2160"/>
      </w:pPr>
      <w:rPr>
        <w:rFonts w:eastAsia="Times New Roman" w:hint="default"/>
        <w:u w:val="none"/>
      </w:rPr>
    </w:lvl>
  </w:abstractNum>
  <w:abstractNum w:abstractNumId="2" w15:restartNumberingAfterBreak="0">
    <w:nsid w:val="3BA156CB"/>
    <w:multiLevelType w:val="multilevel"/>
    <w:tmpl w:val="01403D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1BB17F9"/>
    <w:multiLevelType w:val="multilevel"/>
    <w:tmpl w:val="C3B44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2FF12ED"/>
    <w:multiLevelType w:val="multilevel"/>
    <w:tmpl w:val="8C46FD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CA047B4"/>
    <w:multiLevelType w:val="multilevel"/>
    <w:tmpl w:val="02F4C12E"/>
    <w:lvl w:ilvl="0">
      <w:start w:val="1"/>
      <w:numFmt w:val="decimal"/>
      <w:lvlText w:val="%1."/>
      <w:lvlJc w:val="left"/>
      <w:pPr>
        <w:ind w:left="480" w:hanging="48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6" w15:restartNumberingAfterBreak="0">
    <w:nsid w:val="7E380860"/>
    <w:multiLevelType w:val="multilevel"/>
    <w:tmpl w:val="0A443DF2"/>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EC06243"/>
    <w:multiLevelType w:val="multilevel"/>
    <w:tmpl w:val="EB04A7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F8F5D37"/>
    <w:multiLevelType w:val="multilevel"/>
    <w:tmpl w:val="AFF0F986"/>
    <w:lvl w:ilvl="0">
      <w:start w:val="1"/>
      <w:numFmt w:val="lowerRoman"/>
      <w:lvlText w:val="%1)"/>
      <w:lvlJc w:val="left"/>
      <w:pPr>
        <w:ind w:left="1080" w:hanging="72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68384395">
    <w:abstractNumId w:val="5"/>
  </w:num>
  <w:num w:numId="2" w16cid:durableId="1605727007">
    <w:abstractNumId w:val="4"/>
  </w:num>
  <w:num w:numId="3" w16cid:durableId="1722091913">
    <w:abstractNumId w:val="6"/>
  </w:num>
  <w:num w:numId="4" w16cid:durableId="912468974">
    <w:abstractNumId w:val="2"/>
  </w:num>
  <w:num w:numId="5" w16cid:durableId="1452168380">
    <w:abstractNumId w:val="7"/>
  </w:num>
  <w:num w:numId="6" w16cid:durableId="1484273810">
    <w:abstractNumId w:val="3"/>
  </w:num>
  <w:num w:numId="7" w16cid:durableId="2090927516">
    <w:abstractNumId w:val="0"/>
  </w:num>
  <w:num w:numId="8" w16cid:durableId="1708600203">
    <w:abstractNumId w:val="8"/>
  </w:num>
  <w:num w:numId="9" w16cid:durableId="606237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743"/>
    <w:rsid w:val="00163497"/>
    <w:rsid w:val="002A7CB8"/>
    <w:rsid w:val="002B6BD6"/>
    <w:rsid w:val="00341B8F"/>
    <w:rsid w:val="0034256B"/>
    <w:rsid w:val="004F0743"/>
    <w:rsid w:val="007873E1"/>
    <w:rsid w:val="007D250C"/>
    <w:rsid w:val="00925E2D"/>
    <w:rsid w:val="009F6996"/>
    <w:rsid w:val="00C05ACF"/>
    <w:rsid w:val="00D014AC"/>
    <w:rsid w:val="00F66E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DEA12"/>
  <w15:docId w15:val="{21B73E17-4E13-438E-8233-BB64653FD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3"/>
    <w:rPr>
      <w:color w:val="7B7B7B"/>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3"/>
    <w:tblPr>
      <w:tblStyleRowBandSize w:val="1"/>
      <w:tblStyleColBandSize w:val="1"/>
      <w:tblCellMar>
        <w:left w:w="115" w:type="dxa"/>
        <w:right w:w="115" w:type="dxa"/>
      </w:tblCellMar>
    </w:tblPr>
  </w:style>
  <w:style w:type="paragraph" w:styleId="Sinespaciado">
    <w:name w:val="No Spacing"/>
    <w:uiPriority w:val="1"/>
    <w:qFormat/>
    <w:rsid w:val="00CA1ACF"/>
  </w:style>
  <w:style w:type="table" w:styleId="Tabladelista4">
    <w:name w:val="List Table 4"/>
    <w:basedOn w:val="Tablanormal"/>
    <w:uiPriority w:val="49"/>
    <w:rsid w:val="00CA1A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
    <w:name w:val="Grid Table 4"/>
    <w:basedOn w:val="Tablanormal"/>
    <w:uiPriority w:val="49"/>
    <w:rsid w:val="00CA1A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89131C"/>
    <w:pPr>
      <w:ind w:left="720"/>
      <w:contextualSpacing/>
    </w:pPr>
  </w:style>
  <w:style w:type="table" w:customStyle="1" w:styleId="a3">
    <w:basedOn w:val="TableNormal3"/>
    <w:rPr>
      <w:color w:val="7B7B7B"/>
    </w:rPr>
    <w:tblPr>
      <w:tblStyleRowBandSize w:val="1"/>
      <w:tblStyleColBandSize w:val="1"/>
      <w:tblCellMar>
        <w:left w:w="115" w:type="dxa"/>
        <w:right w:w="115" w:type="dxa"/>
      </w:tblCellMar>
    </w:tblPr>
    <w:tcPr>
      <w:shd w:val="clear" w:color="auto" w:fill="DEEBF6"/>
    </w:tcPr>
  </w:style>
  <w:style w:type="table" w:customStyle="1" w:styleId="a4">
    <w:basedOn w:val="TableNormal3"/>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5">
    <w:basedOn w:val="TableNormal3"/>
    <w:rPr>
      <w:color w:val="7B7B7B"/>
    </w:rPr>
    <w:tblPr>
      <w:tblStyleRowBandSize w:val="1"/>
      <w:tblStyleColBandSize w:val="1"/>
      <w:tblCellMar>
        <w:left w:w="115" w:type="dxa"/>
        <w:right w:w="115" w:type="dxa"/>
      </w:tblCellMar>
    </w:tblPr>
    <w:tcPr>
      <w:shd w:val="clear" w:color="auto" w:fill="DEEBF6"/>
    </w:tcPr>
  </w:style>
  <w:style w:type="table" w:styleId="Tablaconcuadrcula">
    <w:name w:val="Table Grid"/>
    <w:basedOn w:val="Tablanormal"/>
    <w:uiPriority w:val="39"/>
    <w:rsid w:val="00E509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509F9"/>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E509F9"/>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E509F9"/>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E509F9"/>
    <w:rPr>
      <w:vertAlign w:val="superscript"/>
    </w:rPr>
  </w:style>
  <w:style w:type="table" w:customStyle="1" w:styleId="Tabladecuadrcula4-nfasis31">
    <w:name w:val="Tabla de cuadrícula 4 - Énfasis 31"/>
    <w:basedOn w:val="Tablanormal"/>
    <w:next w:val="Tablaconcuadrcula4-nfasis3"/>
    <w:uiPriority w:val="49"/>
    <w:rsid w:val="00E509F9"/>
    <w:rPr>
      <w:rFonts w:asciiTheme="minorHAnsi" w:eastAsiaTheme="minorHAnsi" w:hAnsiTheme="minorHAnsi" w:cstheme="minorBid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509F9"/>
    <w:pPr>
      <w:jc w:val="both"/>
    </w:pPr>
    <w:rPr>
      <w:vertAlign w:val="superscript"/>
    </w:rPr>
  </w:style>
  <w:style w:type="character" w:styleId="Hipervnculo">
    <w:name w:val="Hyperlink"/>
    <w:basedOn w:val="Fuentedeprrafopredeter"/>
    <w:uiPriority w:val="99"/>
    <w:unhideWhenUsed/>
    <w:rsid w:val="00E509F9"/>
    <w:rPr>
      <w:color w:val="0000FF" w:themeColor="hyperlink"/>
      <w:u w:val="single"/>
    </w:rPr>
  </w:style>
  <w:style w:type="table" w:styleId="Tablaconcuadrcula4-nfasis3">
    <w:name w:val="Grid Table 4 Accent 3"/>
    <w:basedOn w:val="Tablanormal"/>
    <w:uiPriority w:val="49"/>
    <w:rsid w:val="00E509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a6">
    <w:basedOn w:val="TableNormal2"/>
    <w:rPr>
      <w:color w:val="7B7B7B"/>
    </w:rPr>
    <w:tblPr>
      <w:tblStyleRowBandSize w:val="1"/>
      <w:tblStyleColBandSize w:val="1"/>
      <w:tblCellMar>
        <w:left w:w="115" w:type="dxa"/>
        <w:right w:w="115" w:type="dxa"/>
      </w:tblCellMar>
    </w:tblPr>
    <w:tcPr>
      <w:shd w:val="clear" w:color="auto" w:fill="DEEBF6"/>
    </w:tcPr>
  </w:style>
  <w:style w:type="table" w:customStyle="1" w:styleId="a7">
    <w:basedOn w:val="TableNormal2"/>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8">
    <w:basedOn w:val="TableNormal2"/>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9">
    <w:basedOn w:val="TableNormal2"/>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rPr>
      <w:color w:val="7B7B7B"/>
    </w:rPr>
    <w:tblPr>
      <w:tblStyleRowBandSize w:val="1"/>
      <w:tblStyleColBandSize w:val="1"/>
      <w:tblCellMar>
        <w:left w:w="115" w:type="dxa"/>
        <w:right w:w="115" w:type="dxa"/>
      </w:tblCellMar>
    </w:tblPr>
    <w:tcPr>
      <w:shd w:val="clear" w:color="auto" w:fill="DEEBF6"/>
    </w:tcPr>
  </w:style>
  <w:style w:type="paragraph" w:styleId="NormalWeb">
    <w:name w:val="Normal (Web)"/>
    <w:basedOn w:val="Normal"/>
    <w:uiPriority w:val="99"/>
    <w:unhideWhenUsed/>
    <w:rsid w:val="00E85853"/>
    <w:pPr>
      <w:spacing w:before="100" w:beforeAutospacing="1" w:after="100" w:afterAutospacing="1"/>
    </w:pPr>
    <w:rPr>
      <w:sz w:val="24"/>
      <w:szCs w:val="24"/>
    </w:rPr>
  </w:style>
  <w:style w:type="table" w:customStyle="1" w:styleId="ac">
    <w:basedOn w:val="TableNormal1"/>
    <w:rPr>
      <w:color w:val="7B7B7B"/>
    </w:rPr>
    <w:tblPr>
      <w:tblStyleRowBandSize w:val="1"/>
      <w:tblStyleColBandSize w:val="1"/>
      <w:tblCellMar>
        <w:left w:w="115" w:type="dxa"/>
        <w:right w:w="115" w:type="dxa"/>
      </w:tblCellMar>
    </w:tblPr>
    <w:tcPr>
      <w:shd w:val="clear" w:color="auto" w:fill="DEEBF6"/>
    </w:tcPr>
  </w:style>
  <w:style w:type="table" w:customStyle="1" w:styleId="ad">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e">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0">
    <w:basedOn w:val="TableNormal1"/>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paragraph" w:styleId="Piedepgina">
    <w:name w:val="footer"/>
    <w:basedOn w:val="Normal"/>
    <w:link w:val="PiedepginaCar"/>
    <w:uiPriority w:val="99"/>
    <w:unhideWhenUsed/>
    <w:rsid w:val="00982A09"/>
    <w:pPr>
      <w:tabs>
        <w:tab w:val="center" w:pos="4419"/>
        <w:tab w:val="right" w:pos="8838"/>
      </w:tabs>
    </w:pPr>
  </w:style>
  <w:style w:type="character" w:customStyle="1" w:styleId="PiedepginaCar">
    <w:name w:val="Pie de página Car"/>
    <w:basedOn w:val="Fuentedeprrafopredeter"/>
    <w:link w:val="Piedepgina"/>
    <w:uiPriority w:val="99"/>
    <w:rsid w:val="00982A09"/>
  </w:style>
  <w:style w:type="paragraph" w:styleId="Encabezado">
    <w:name w:val="header"/>
    <w:basedOn w:val="Normal"/>
    <w:link w:val="EncabezadoCar"/>
    <w:uiPriority w:val="99"/>
    <w:unhideWhenUsed/>
    <w:rsid w:val="00982A09"/>
    <w:pPr>
      <w:tabs>
        <w:tab w:val="center" w:pos="4419"/>
        <w:tab w:val="right" w:pos="8838"/>
      </w:tabs>
    </w:pPr>
  </w:style>
  <w:style w:type="character" w:customStyle="1" w:styleId="EncabezadoCar">
    <w:name w:val="Encabezado Car"/>
    <w:basedOn w:val="Fuentedeprrafopredeter"/>
    <w:link w:val="Encabezado"/>
    <w:uiPriority w:val="99"/>
    <w:rsid w:val="00982A09"/>
  </w:style>
  <w:style w:type="character" w:styleId="Mencinsinresolver">
    <w:name w:val="Unresolved Mention"/>
    <w:basedOn w:val="Fuentedeprrafopredeter"/>
    <w:uiPriority w:val="99"/>
    <w:semiHidden/>
    <w:unhideWhenUsed/>
    <w:rsid w:val="000D4DFF"/>
    <w:rPr>
      <w:color w:val="605E5C"/>
      <w:shd w:val="clear" w:color="auto" w:fill="E1DFDD"/>
    </w:rPr>
  </w:style>
  <w:style w:type="table" w:customStyle="1" w:styleId="af1">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 w:type="table" w:customStyle="1" w:styleId="af2">
    <w:basedOn w:val="TableNormal0"/>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3">
    <w:basedOn w:val="TableNormal0"/>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4">
    <w:basedOn w:val="TableNormal0"/>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f5">
    <w:basedOn w:val="TableNormal0"/>
    <w:rPr>
      <w:rFonts w:ascii="Cambria" w:eastAsia="Cambria" w:hAnsi="Cambria" w:cs="Cambria"/>
      <w:color w:val="7B7B7B"/>
      <w:sz w:val="22"/>
      <w:szCs w:val="22"/>
    </w:rPr>
    <w:tblPr>
      <w:tblStyleRowBandSize w:val="1"/>
      <w:tblStyleColBandSize w:val="1"/>
      <w:tblCellMar>
        <w:left w:w="115" w:type="dxa"/>
        <w:right w:w="115" w:type="dxa"/>
      </w:tblCellMar>
    </w:tblPr>
    <w:tcPr>
      <w:shd w:val="clear" w:color="auto" w:fill="DEEBF6"/>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acebook.com/photo?fbid=458305732691256&amp;set=a.267703681751463"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I3ZoLGRQZfDQ1H7Tzj6mE7HMDw==">AMUW2mXFGPnKJ9HWGzoBWjjtBBFdwMEB0eo9KmKwRz4Ia1jrXL3uM4sWSVSkvK9giTtioe4hoZKOuTCNvsKh8N0pDabd/DJiyO+B1kci9x2/bCNa0nZ5WiZPx6Qkb5vyNmpDpGRk1aXf5vw6By5WN3ZLO1WUEbA3bBj/9Diq/tPVhhYG7kRIJ41JoAGyf9wRhCb2imt37K9s/s6PJg0osdGGN9jfUWj5ZA==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4748</Words>
  <Characters>26119</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Juridico</dc:creator>
  <cp:lastModifiedBy>Secretario Gral</cp:lastModifiedBy>
  <cp:revision>2</cp:revision>
  <cp:lastPrinted>2022-04-12T18:24:00Z</cp:lastPrinted>
  <dcterms:created xsi:type="dcterms:W3CDTF">2022-04-13T01:06:00Z</dcterms:created>
  <dcterms:modified xsi:type="dcterms:W3CDTF">2022-04-13T01:06:00Z</dcterms:modified>
</cp:coreProperties>
</file>