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114BF" w14:textId="77777777" w:rsidR="006C1DC5" w:rsidRDefault="00781BFC" w:rsidP="00EC771E">
      <w:pPr>
        <w:ind w:left="4111" w:right="36"/>
        <w:jc w:val="both"/>
        <w:rPr>
          <w:rFonts w:ascii="Arial" w:eastAsia="Arial" w:hAnsi="Arial" w:cs="Arial"/>
          <w:b/>
          <w:sz w:val="24"/>
          <w:szCs w:val="24"/>
        </w:rPr>
      </w:pPr>
      <w:bookmarkStart w:id="0" w:name="_heading=h.gjdgxs" w:colFirst="0" w:colLast="0"/>
      <w:bookmarkStart w:id="1" w:name="_Hlk98494530"/>
      <w:bookmarkEnd w:id="0"/>
      <w:r>
        <w:rPr>
          <w:rFonts w:ascii="Arial" w:eastAsia="Arial" w:hAnsi="Arial" w:cs="Arial"/>
          <w:b/>
          <w:sz w:val="24"/>
          <w:szCs w:val="24"/>
        </w:rPr>
        <w:t>PROCEDIMIENTO ESPECIAL SANCIONADOR.</w:t>
      </w:r>
    </w:p>
    <w:p w14:paraId="3BF5D461" w14:textId="77777777" w:rsidR="006C1DC5" w:rsidRDefault="006C1DC5" w:rsidP="00EC771E">
      <w:pPr>
        <w:pBdr>
          <w:top w:val="nil"/>
          <w:left w:val="nil"/>
          <w:bottom w:val="nil"/>
          <w:right w:val="nil"/>
          <w:between w:val="nil"/>
        </w:pBdr>
        <w:ind w:left="4111"/>
        <w:rPr>
          <w:rFonts w:ascii="Arial" w:eastAsia="Arial" w:hAnsi="Arial" w:cs="Arial"/>
          <w:color w:val="000000"/>
          <w:sz w:val="14"/>
          <w:szCs w:val="14"/>
        </w:rPr>
      </w:pPr>
    </w:p>
    <w:p w14:paraId="60E163C7" w14:textId="77777777" w:rsidR="006C1DC5" w:rsidRDefault="00781BFC" w:rsidP="00EC771E">
      <w:pPr>
        <w:ind w:left="4111"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TEEA-PES-008/2022.</w:t>
      </w:r>
      <w:r>
        <w:rPr>
          <w:rFonts w:ascii="Arial" w:eastAsia="Arial" w:hAnsi="Arial" w:cs="Arial"/>
          <w:b/>
          <w:sz w:val="24"/>
          <w:szCs w:val="24"/>
        </w:rPr>
        <w:t xml:space="preserve"> </w:t>
      </w:r>
    </w:p>
    <w:p w14:paraId="41BDC1A1" w14:textId="77777777" w:rsidR="006C1DC5" w:rsidRDefault="006C1DC5" w:rsidP="00EC771E">
      <w:pPr>
        <w:ind w:left="4111" w:right="36"/>
        <w:jc w:val="both"/>
        <w:rPr>
          <w:rFonts w:ascii="Arial" w:eastAsia="Arial" w:hAnsi="Arial" w:cs="Arial"/>
          <w:b/>
          <w:sz w:val="14"/>
          <w:szCs w:val="14"/>
        </w:rPr>
      </w:pPr>
    </w:p>
    <w:p w14:paraId="27BA0C64" w14:textId="77777777" w:rsidR="006C1DC5" w:rsidRDefault="00781BFC" w:rsidP="00EC771E">
      <w:pPr>
        <w:ind w:left="4111"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w:t>
      </w:r>
      <w:bookmarkStart w:id="2" w:name="_Hlk98494495"/>
      <w:r>
        <w:rPr>
          <w:rFonts w:ascii="Arial" w:eastAsia="Arial" w:hAnsi="Arial" w:cs="Arial"/>
          <w:sz w:val="24"/>
          <w:szCs w:val="24"/>
        </w:rPr>
        <w:t>MARÍA TERESA JIMÉNEZ ESQUIVEL.</w:t>
      </w:r>
    </w:p>
    <w:bookmarkEnd w:id="2"/>
    <w:p w14:paraId="277A1612" w14:textId="77777777" w:rsidR="006C1DC5" w:rsidRDefault="006C1DC5" w:rsidP="00EC771E">
      <w:pPr>
        <w:pBdr>
          <w:top w:val="nil"/>
          <w:left w:val="nil"/>
          <w:bottom w:val="nil"/>
          <w:right w:val="nil"/>
          <w:between w:val="nil"/>
        </w:pBdr>
        <w:ind w:left="4111"/>
        <w:rPr>
          <w:rFonts w:ascii="Arial" w:eastAsia="Arial" w:hAnsi="Arial" w:cs="Arial"/>
          <w:color w:val="000000"/>
          <w:sz w:val="14"/>
          <w:szCs w:val="14"/>
        </w:rPr>
      </w:pPr>
    </w:p>
    <w:p w14:paraId="11AD7DCB" w14:textId="77777777" w:rsidR="006C1DC5" w:rsidRDefault="00781BFC" w:rsidP="00EC771E">
      <w:pPr>
        <w:ind w:left="4111"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MARTHA CECILIA MÁRQUEZ ALVARADO, SENADORA DE LA REPÚBLICA. </w:t>
      </w:r>
    </w:p>
    <w:bookmarkEnd w:id="1"/>
    <w:p w14:paraId="47BF92A3" w14:textId="77777777" w:rsidR="006C1DC5" w:rsidRDefault="006C1DC5" w:rsidP="00EC771E">
      <w:pPr>
        <w:pBdr>
          <w:top w:val="nil"/>
          <w:left w:val="nil"/>
          <w:bottom w:val="nil"/>
          <w:right w:val="nil"/>
          <w:between w:val="nil"/>
        </w:pBdr>
        <w:ind w:left="4111"/>
        <w:rPr>
          <w:rFonts w:ascii="Arial" w:eastAsia="Arial" w:hAnsi="Arial" w:cs="Arial"/>
          <w:color w:val="000000"/>
          <w:sz w:val="14"/>
          <w:szCs w:val="14"/>
        </w:rPr>
      </w:pPr>
    </w:p>
    <w:p w14:paraId="1B695268" w14:textId="77777777" w:rsidR="006C1DC5" w:rsidRDefault="00781BFC" w:rsidP="00EC771E">
      <w:pPr>
        <w:ind w:left="4111"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328B156E" w14:textId="77777777" w:rsidR="006C1DC5" w:rsidRDefault="006C1DC5" w:rsidP="00EC771E">
      <w:pPr>
        <w:pBdr>
          <w:top w:val="nil"/>
          <w:left w:val="nil"/>
          <w:bottom w:val="nil"/>
          <w:right w:val="nil"/>
          <w:between w:val="nil"/>
        </w:pBdr>
        <w:ind w:left="4111"/>
        <w:rPr>
          <w:rFonts w:ascii="Arial" w:eastAsia="Arial" w:hAnsi="Arial" w:cs="Arial"/>
          <w:color w:val="000000"/>
          <w:sz w:val="14"/>
          <w:szCs w:val="14"/>
        </w:rPr>
      </w:pPr>
    </w:p>
    <w:p w14:paraId="1CC1F8E7" w14:textId="77777777" w:rsidR="006C1DC5" w:rsidRDefault="00781BFC" w:rsidP="00EC771E">
      <w:pPr>
        <w:ind w:left="4111"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58766486" w14:textId="77777777" w:rsidR="006C1DC5" w:rsidRDefault="006C1DC5" w:rsidP="00EC771E">
      <w:pPr>
        <w:ind w:left="4111" w:right="36"/>
        <w:jc w:val="both"/>
        <w:rPr>
          <w:rFonts w:ascii="Arial" w:eastAsia="Arial" w:hAnsi="Arial" w:cs="Arial"/>
          <w:sz w:val="14"/>
          <w:szCs w:val="14"/>
        </w:rPr>
      </w:pPr>
    </w:p>
    <w:p w14:paraId="50FB41C5" w14:textId="77777777" w:rsidR="006C1DC5" w:rsidRDefault="00781BFC" w:rsidP="00EC771E">
      <w:pPr>
        <w:ind w:left="4111"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216FB48" w14:textId="77777777" w:rsidR="006C1DC5" w:rsidRDefault="006C1DC5" w:rsidP="00EC771E">
      <w:pPr>
        <w:pBdr>
          <w:top w:val="nil"/>
          <w:left w:val="nil"/>
          <w:bottom w:val="nil"/>
          <w:right w:val="nil"/>
          <w:between w:val="nil"/>
        </w:pBdr>
        <w:ind w:left="4111"/>
        <w:rPr>
          <w:color w:val="000000"/>
        </w:rPr>
      </w:pPr>
    </w:p>
    <w:p w14:paraId="56B2D564" w14:textId="01D759D4" w:rsidR="006C1DC5" w:rsidRDefault="00781BFC" w:rsidP="00EC771E">
      <w:pPr>
        <w:pBdr>
          <w:top w:val="nil"/>
          <w:left w:val="nil"/>
          <w:bottom w:val="nil"/>
          <w:right w:val="nil"/>
          <w:between w:val="nil"/>
        </w:pBdr>
        <w:spacing w:line="360" w:lineRule="auto"/>
        <w:ind w:left="3119" w:right="36"/>
        <w:jc w:val="right"/>
        <w:rPr>
          <w:rFonts w:ascii="Arial" w:eastAsia="Arial" w:hAnsi="Arial" w:cs="Arial"/>
          <w:sz w:val="24"/>
          <w:szCs w:val="24"/>
        </w:rPr>
      </w:pPr>
      <w:r>
        <w:rPr>
          <w:rFonts w:ascii="Arial" w:eastAsia="Arial" w:hAnsi="Arial" w:cs="Arial"/>
          <w:sz w:val="24"/>
          <w:szCs w:val="24"/>
        </w:rPr>
        <w:t xml:space="preserve">Aguascalientes, Aguascalientes, </w:t>
      </w:r>
      <w:r w:rsidR="0087045B">
        <w:rPr>
          <w:rFonts w:ascii="Arial" w:eastAsia="Arial" w:hAnsi="Arial" w:cs="Arial"/>
          <w:color w:val="000000"/>
          <w:sz w:val="24"/>
          <w:szCs w:val="24"/>
        </w:rPr>
        <w:t>a 18</w:t>
      </w:r>
      <w:r>
        <w:rPr>
          <w:rFonts w:ascii="Arial" w:eastAsia="Arial" w:hAnsi="Arial" w:cs="Arial"/>
          <w:color w:val="000000"/>
          <w:sz w:val="24"/>
          <w:szCs w:val="24"/>
        </w:rPr>
        <w:t xml:space="preserve"> de marzo de 2022</w:t>
      </w:r>
      <w:r>
        <w:rPr>
          <w:rFonts w:ascii="Arial" w:eastAsia="Arial" w:hAnsi="Arial" w:cs="Arial"/>
          <w:sz w:val="24"/>
          <w:szCs w:val="24"/>
        </w:rPr>
        <w:t>.</w:t>
      </w:r>
    </w:p>
    <w:p w14:paraId="25B14E2C" w14:textId="77777777" w:rsidR="006C1DC5" w:rsidRDefault="006C1DC5">
      <w:pPr>
        <w:pBdr>
          <w:top w:val="nil"/>
          <w:left w:val="nil"/>
          <w:bottom w:val="nil"/>
          <w:right w:val="nil"/>
          <w:between w:val="nil"/>
        </w:pBdr>
        <w:rPr>
          <w:color w:val="000000"/>
          <w:sz w:val="18"/>
          <w:szCs w:val="18"/>
        </w:rPr>
      </w:pPr>
    </w:p>
    <w:p w14:paraId="1E10B698" w14:textId="77777777" w:rsidR="006C1DC5" w:rsidRDefault="00781BFC">
      <w:pPr>
        <w:spacing w:line="360" w:lineRule="auto"/>
        <w:jc w:val="both"/>
        <w:rPr>
          <w:rFonts w:ascii="Arial" w:eastAsia="Arial" w:hAnsi="Arial" w:cs="Arial"/>
          <w:sz w:val="24"/>
          <w:szCs w:val="24"/>
        </w:rPr>
      </w:pPr>
      <w:bookmarkStart w:id="3" w:name="_heading=h.30j0zll" w:colFirst="0" w:colLast="0"/>
      <w:bookmarkEnd w:id="3"/>
      <w:r>
        <w:rPr>
          <w:rFonts w:ascii="Arial" w:eastAsia="Arial" w:hAnsi="Arial" w:cs="Arial"/>
          <w:b/>
          <w:sz w:val="24"/>
          <w:szCs w:val="24"/>
        </w:rPr>
        <w:t xml:space="preserve">Sentencia del Tribunal Electoral </w:t>
      </w:r>
      <w:r>
        <w:rPr>
          <w:rFonts w:ascii="Arial" w:eastAsia="Arial" w:hAnsi="Arial" w:cs="Arial"/>
          <w:sz w:val="24"/>
          <w:szCs w:val="24"/>
        </w:rPr>
        <w:t>que declara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las infracciones relativas a actos anticipados de campaña, calumnia y vulneración al principio de imparcialidad atribuidas a Martha Cecilia Márquez Alvarado, en su carácter de entonces Senadora de la República.</w:t>
      </w:r>
    </w:p>
    <w:p w14:paraId="02399913" w14:textId="77777777" w:rsidR="006C1DC5" w:rsidRPr="002E474E" w:rsidRDefault="006C1DC5">
      <w:pPr>
        <w:jc w:val="both"/>
        <w:rPr>
          <w:rFonts w:ascii="Arial" w:eastAsia="Arial" w:hAnsi="Arial" w:cs="Arial"/>
          <w:sz w:val="16"/>
          <w:szCs w:val="16"/>
        </w:rPr>
      </w:pPr>
      <w:bookmarkStart w:id="4" w:name="_heading=h.go0zg9ohngd3" w:colFirst="0" w:colLast="0"/>
      <w:bookmarkEnd w:id="4"/>
    </w:p>
    <w:p w14:paraId="76B215B0" w14:textId="064769B8" w:rsidR="006C1DC5" w:rsidRDefault="00781BFC">
      <w:pPr>
        <w:spacing w:line="360" w:lineRule="auto"/>
        <w:jc w:val="both"/>
        <w:rPr>
          <w:rFonts w:ascii="Arial" w:eastAsia="Arial" w:hAnsi="Arial" w:cs="Arial"/>
          <w:sz w:val="24"/>
          <w:szCs w:val="24"/>
        </w:rPr>
      </w:pPr>
      <w:bookmarkStart w:id="5" w:name="_heading=h.lks7ysrabu74" w:colFirst="0" w:colLast="0"/>
      <w:bookmarkEnd w:id="5"/>
      <w:r>
        <w:rPr>
          <w:rFonts w:ascii="Arial" w:eastAsia="Arial" w:hAnsi="Arial" w:cs="Arial"/>
          <w:sz w:val="24"/>
          <w:szCs w:val="24"/>
        </w:rPr>
        <w:t>Lo anterior, porque este órgano jurisdiccional estima que el hecho de que las expresiones cuestionadas fueran emitidas por una funcionaria</w:t>
      </w:r>
      <w:r w:rsidR="002E474E">
        <w:rPr>
          <w:rFonts w:ascii="Arial" w:eastAsia="Arial" w:hAnsi="Arial" w:cs="Arial"/>
          <w:sz w:val="24"/>
          <w:szCs w:val="24"/>
        </w:rPr>
        <w:t xml:space="preserve"> </w:t>
      </w:r>
      <w:r>
        <w:rPr>
          <w:rFonts w:ascii="Arial" w:eastAsia="Arial" w:hAnsi="Arial" w:cs="Arial"/>
          <w:sz w:val="24"/>
          <w:szCs w:val="24"/>
        </w:rPr>
        <w:t>perteneciente a un órgano legislativo en el curso de una Sesión Ordinaria</w:t>
      </w:r>
      <w:r w:rsidR="002E474E">
        <w:rPr>
          <w:rFonts w:ascii="Arial" w:eastAsia="Arial" w:hAnsi="Arial" w:cs="Arial"/>
          <w:sz w:val="24"/>
          <w:szCs w:val="24"/>
        </w:rPr>
        <w:t xml:space="preserve"> -en ejercicio de sus funciones-</w:t>
      </w:r>
      <w:r>
        <w:rPr>
          <w:rFonts w:ascii="Arial" w:eastAsia="Arial" w:hAnsi="Arial" w:cs="Arial"/>
          <w:sz w:val="24"/>
          <w:szCs w:val="24"/>
        </w:rPr>
        <w:t xml:space="preserve">, en específico, en el recinto del Senado de la República, implica que se encuentren amparadas por el principio de inviolabilidad parlamentaria, del que gozan las y los legisladores en el ejercicio de sus funciones, situación que </w:t>
      </w:r>
      <w:r>
        <w:rPr>
          <w:rFonts w:ascii="Arial" w:eastAsia="Arial" w:hAnsi="Arial" w:cs="Arial"/>
          <w:b/>
          <w:sz w:val="24"/>
          <w:szCs w:val="24"/>
        </w:rPr>
        <w:t>actualiza una excepción al ámbito de competencia que corresponde al derecho electoral</w:t>
      </w:r>
      <w:r>
        <w:rPr>
          <w:rFonts w:ascii="Arial" w:eastAsia="Arial" w:hAnsi="Arial" w:cs="Arial"/>
          <w:sz w:val="24"/>
          <w:szCs w:val="24"/>
        </w:rPr>
        <w:t>.</w:t>
      </w:r>
    </w:p>
    <w:p w14:paraId="28F6EC17" w14:textId="77777777" w:rsidR="006C1DC5" w:rsidRPr="002E474E" w:rsidRDefault="006C1DC5" w:rsidP="002E474E">
      <w:pPr>
        <w:pStyle w:val="Sinespaciado"/>
        <w:rPr>
          <w:sz w:val="2"/>
          <w:szCs w:val="2"/>
        </w:rPr>
      </w:pPr>
      <w:bookmarkStart w:id="6" w:name="_heading=h.1y2fehvkjzhp" w:colFirst="0" w:colLast="0"/>
      <w:bookmarkEnd w:id="6"/>
    </w:p>
    <w:p w14:paraId="5CF92777" w14:textId="77777777" w:rsidR="00F42EE6" w:rsidRDefault="00781BFC" w:rsidP="00F42EE6">
      <w:pPr>
        <w:spacing w:line="360" w:lineRule="auto"/>
        <w:rPr>
          <w:rFonts w:ascii="Arial" w:eastAsia="Arial" w:hAnsi="Arial" w:cs="Arial"/>
          <w:b/>
          <w:color w:val="000000"/>
          <w:sz w:val="16"/>
          <w:szCs w:val="16"/>
        </w:rPr>
      </w:pPr>
      <w:bookmarkStart w:id="7" w:name="_heading=h.timsro24bvei" w:colFirst="0" w:colLast="0"/>
      <w:bookmarkEnd w:id="7"/>
      <w:r>
        <w:rPr>
          <w:rFonts w:ascii="Arial" w:eastAsia="Arial" w:hAnsi="Arial" w:cs="Arial"/>
          <w:b/>
          <w:color w:val="000000"/>
          <w:sz w:val="16"/>
          <w:szCs w:val="16"/>
        </w:rPr>
        <w:t xml:space="preserve">                                                                                       Índice </w:t>
      </w:r>
    </w:p>
    <w:p w14:paraId="61A32307" w14:textId="16A319C5" w:rsidR="006C1DC5" w:rsidRPr="00F42EE6" w:rsidRDefault="00F42EE6" w:rsidP="00F42EE6">
      <w:pPr>
        <w:ind w:firstLine="720"/>
        <w:rPr>
          <w:rFonts w:ascii="Arial" w:eastAsia="Arial" w:hAnsi="Arial" w:cs="Arial"/>
          <w:b/>
          <w:color w:val="000000"/>
          <w:sz w:val="16"/>
          <w:szCs w:val="16"/>
        </w:rPr>
      </w:pPr>
      <w:r>
        <w:rPr>
          <w:rFonts w:ascii="Arial" w:eastAsia="Arial" w:hAnsi="Arial" w:cs="Arial"/>
          <w:sz w:val="16"/>
          <w:szCs w:val="16"/>
        </w:rPr>
        <w:t xml:space="preserve">      </w:t>
      </w:r>
      <w:r w:rsidR="00781BFC">
        <w:rPr>
          <w:rFonts w:ascii="Arial" w:eastAsia="Arial" w:hAnsi="Arial" w:cs="Arial"/>
          <w:sz w:val="16"/>
          <w:szCs w:val="16"/>
        </w:rPr>
        <w:t>I. Contexto del caso ………………………………………………………………………</w:t>
      </w:r>
      <w:r>
        <w:rPr>
          <w:rFonts w:ascii="Arial" w:eastAsia="Arial" w:hAnsi="Arial" w:cs="Arial"/>
          <w:sz w:val="16"/>
          <w:szCs w:val="16"/>
        </w:rPr>
        <w:t>..</w:t>
      </w:r>
      <w:r w:rsidR="00781BFC">
        <w:rPr>
          <w:rFonts w:ascii="Arial" w:eastAsia="Arial" w:hAnsi="Arial" w:cs="Arial"/>
          <w:sz w:val="16"/>
          <w:szCs w:val="16"/>
        </w:rPr>
        <w:t>…………...</w:t>
      </w:r>
      <w:r w:rsidR="00781BFC">
        <w:rPr>
          <w:rFonts w:ascii="Arial" w:eastAsia="Arial" w:hAnsi="Arial" w:cs="Arial"/>
          <w:sz w:val="4"/>
          <w:szCs w:val="4"/>
        </w:rPr>
        <w:t xml:space="preserve">. </w:t>
      </w:r>
      <w:r w:rsidR="002F0F05">
        <w:rPr>
          <w:rFonts w:ascii="Arial" w:eastAsia="Arial" w:hAnsi="Arial" w:cs="Arial"/>
          <w:sz w:val="4"/>
          <w:szCs w:val="4"/>
        </w:rPr>
        <w:t>…</w:t>
      </w:r>
      <w:r w:rsidR="00781BFC">
        <w:rPr>
          <w:rFonts w:ascii="Arial" w:eastAsia="Arial" w:hAnsi="Arial" w:cs="Arial"/>
          <w:sz w:val="16"/>
          <w:szCs w:val="16"/>
        </w:rPr>
        <w:t>2</w:t>
      </w:r>
    </w:p>
    <w:p w14:paraId="4A83BEA6" w14:textId="0DFEB587" w:rsidR="006C1DC5" w:rsidRDefault="00781BFC" w:rsidP="00F42EE6">
      <w:pPr>
        <w:ind w:right="616" w:firstLine="720"/>
        <w:rPr>
          <w:rFonts w:ascii="Arial" w:eastAsia="Arial" w:hAnsi="Arial" w:cs="Arial"/>
          <w:sz w:val="16"/>
          <w:szCs w:val="16"/>
        </w:rPr>
      </w:pPr>
      <w:r>
        <w:rPr>
          <w:rFonts w:ascii="Arial" w:eastAsia="Arial" w:hAnsi="Arial" w:cs="Arial"/>
          <w:sz w:val="16"/>
          <w:szCs w:val="16"/>
        </w:rPr>
        <w:t xml:space="preserve">  </w:t>
      </w:r>
      <w:r w:rsidR="00F42EE6">
        <w:rPr>
          <w:rFonts w:ascii="Arial" w:eastAsia="Arial" w:hAnsi="Arial" w:cs="Arial"/>
          <w:sz w:val="16"/>
          <w:szCs w:val="16"/>
        </w:rPr>
        <w:t xml:space="preserve">    </w:t>
      </w:r>
      <w:r>
        <w:rPr>
          <w:rFonts w:ascii="Arial" w:eastAsia="Arial" w:hAnsi="Arial" w:cs="Arial"/>
          <w:sz w:val="16"/>
          <w:szCs w:val="16"/>
        </w:rPr>
        <w:t>II. Estudio preliminar………………………………………………………………………</w:t>
      </w:r>
      <w:r w:rsidR="00F42EE6">
        <w:rPr>
          <w:rFonts w:ascii="Arial" w:eastAsia="Arial" w:hAnsi="Arial" w:cs="Arial"/>
          <w:sz w:val="16"/>
          <w:szCs w:val="16"/>
        </w:rPr>
        <w:t>..</w:t>
      </w:r>
      <w:r>
        <w:rPr>
          <w:rFonts w:ascii="Arial" w:eastAsia="Arial" w:hAnsi="Arial" w:cs="Arial"/>
          <w:sz w:val="16"/>
          <w:szCs w:val="16"/>
        </w:rPr>
        <w:t>……..…....</w:t>
      </w:r>
      <w:r w:rsidR="002F0F05">
        <w:rPr>
          <w:rFonts w:ascii="Arial" w:eastAsia="Arial" w:hAnsi="Arial" w:cs="Arial"/>
          <w:sz w:val="16"/>
          <w:szCs w:val="16"/>
        </w:rPr>
        <w:t>.</w:t>
      </w:r>
      <w:r>
        <w:rPr>
          <w:rFonts w:ascii="Arial" w:eastAsia="Arial" w:hAnsi="Arial" w:cs="Arial"/>
          <w:sz w:val="16"/>
          <w:szCs w:val="16"/>
        </w:rPr>
        <w:t>.</w:t>
      </w:r>
      <w:r w:rsidR="002F0F05">
        <w:rPr>
          <w:rFonts w:ascii="Arial" w:eastAsia="Arial" w:hAnsi="Arial" w:cs="Arial"/>
          <w:sz w:val="16"/>
          <w:szCs w:val="16"/>
        </w:rPr>
        <w:t>2</w:t>
      </w:r>
    </w:p>
    <w:p w14:paraId="3B35D0DA" w14:textId="0A2067D2" w:rsidR="006C1DC5" w:rsidRDefault="00781BFC">
      <w:pPr>
        <w:ind w:right="616" w:firstLine="720"/>
        <w:rPr>
          <w:rFonts w:ascii="Arial" w:eastAsia="Arial" w:hAnsi="Arial" w:cs="Arial"/>
          <w:sz w:val="16"/>
          <w:szCs w:val="16"/>
        </w:rPr>
      </w:pPr>
      <w:r>
        <w:rPr>
          <w:rFonts w:ascii="Arial" w:eastAsia="Arial" w:hAnsi="Arial" w:cs="Arial"/>
          <w:sz w:val="16"/>
          <w:szCs w:val="16"/>
        </w:rPr>
        <w:t xml:space="preserve">  </w:t>
      </w:r>
      <w:r w:rsidR="00F42EE6">
        <w:rPr>
          <w:rFonts w:ascii="Arial" w:eastAsia="Arial" w:hAnsi="Arial" w:cs="Arial"/>
          <w:sz w:val="16"/>
          <w:szCs w:val="16"/>
        </w:rPr>
        <w:t xml:space="preserve">    </w:t>
      </w:r>
      <w:r>
        <w:rPr>
          <w:rFonts w:ascii="Arial" w:eastAsia="Arial" w:hAnsi="Arial" w:cs="Arial"/>
          <w:sz w:val="16"/>
          <w:szCs w:val="16"/>
        </w:rPr>
        <w:t>III. Análisis preliminar…………………………………………………………………….…</w:t>
      </w:r>
      <w:r w:rsidR="00F42EE6">
        <w:rPr>
          <w:rFonts w:ascii="Arial" w:eastAsia="Arial" w:hAnsi="Arial" w:cs="Arial"/>
          <w:sz w:val="16"/>
          <w:szCs w:val="16"/>
        </w:rPr>
        <w:t>..</w:t>
      </w:r>
      <w:r>
        <w:rPr>
          <w:rFonts w:ascii="Arial" w:eastAsia="Arial" w:hAnsi="Arial" w:cs="Arial"/>
          <w:sz w:val="16"/>
          <w:szCs w:val="16"/>
        </w:rPr>
        <w:t>………</w:t>
      </w:r>
      <w:r w:rsidRPr="002F0F05">
        <w:rPr>
          <w:rFonts w:ascii="Arial" w:eastAsia="Arial" w:hAnsi="Arial" w:cs="Arial"/>
          <w:sz w:val="14"/>
          <w:szCs w:val="14"/>
        </w:rPr>
        <w:t>....</w:t>
      </w:r>
      <w:r w:rsidR="002F0F05">
        <w:rPr>
          <w:rFonts w:ascii="Arial" w:eastAsia="Arial" w:hAnsi="Arial" w:cs="Arial"/>
          <w:sz w:val="16"/>
          <w:szCs w:val="16"/>
        </w:rPr>
        <w:t>..4</w:t>
      </w:r>
    </w:p>
    <w:p w14:paraId="1A9A2047" w14:textId="6A9A4CB5" w:rsidR="006C1DC5" w:rsidRDefault="00781BFC">
      <w:pPr>
        <w:ind w:right="616" w:firstLine="720"/>
        <w:rPr>
          <w:rFonts w:ascii="Arial" w:eastAsia="Arial" w:hAnsi="Arial" w:cs="Arial"/>
          <w:sz w:val="16"/>
          <w:szCs w:val="16"/>
        </w:rPr>
      </w:pPr>
      <w:r>
        <w:rPr>
          <w:rFonts w:ascii="Arial" w:eastAsia="Arial" w:hAnsi="Arial" w:cs="Arial"/>
          <w:sz w:val="16"/>
          <w:szCs w:val="16"/>
        </w:rPr>
        <w:t xml:space="preserve"> </w:t>
      </w:r>
      <w:r w:rsidR="00F42EE6">
        <w:rPr>
          <w:rFonts w:ascii="Arial" w:eastAsia="Arial" w:hAnsi="Arial" w:cs="Arial"/>
          <w:sz w:val="16"/>
          <w:szCs w:val="16"/>
        </w:rPr>
        <w:t xml:space="preserve">    </w:t>
      </w:r>
      <w:r>
        <w:rPr>
          <w:rFonts w:ascii="Arial" w:eastAsia="Arial" w:hAnsi="Arial" w:cs="Arial"/>
          <w:sz w:val="16"/>
          <w:szCs w:val="16"/>
        </w:rPr>
        <w:t xml:space="preserve"> Apartado I. Decisión…………………………………………………………………………</w:t>
      </w:r>
      <w:r w:rsidR="00F42EE6">
        <w:rPr>
          <w:rFonts w:ascii="Arial" w:eastAsia="Arial" w:hAnsi="Arial" w:cs="Arial"/>
          <w:sz w:val="16"/>
          <w:szCs w:val="16"/>
        </w:rPr>
        <w:t>..</w:t>
      </w:r>
      <w:r>
        <w:rPr>
          <w:rFonts w:ascii="Arial" w:eastAsia="Arial" w:hAnsi="Arial" w:cs="Arial"/>
          <w:sz w:val="16"/>
          <w:szCs w:val="16"/>
        </w:rPr>
        <w:t>………….</w:t>
      </w:r>
      <w:r w:rsidR="002F0F05">
        <w:rPr>
          <w:rFonts w:ascii="Arial" w:eastAsia="Arial" w:hAnsi="Arial" w:cs="Arial"/>
          <w:sz w:val="16"/>
          <w:szCs w:val="16"/>
        </w:rPr>
        <w:t>4</w:t>
      </w:r>
    </w:p>
    <w:p w14:paraId="27BF872C" w14:textId="3CCECCA1" w:rsidR="00F42EE6" w:rsidRDefault="00781BFC" w:rsidP="00F42EE6">
      <w:pPr>
        <w:ind w:right="616" w:firstLine="720"/>
        <w:rPr>
          <w:rFonts w:ascii="Arial" w:eastAsia="Arial" w:hAnsi="Arial" w:cs="Arial"/>
          <w:sz w:val="16"/>
          <w:szCs w:val="16"/>
        </w:rPr>
      </w:pPr>
      <w:r>
        <w:rPr>
          <w:rFonts w:ascii="Arial" w:eastAsia="Arial" w:hAnsi="Arial" w:cs="Arial"/>
          <w:sz w:val="16"/>
          <w:szCs w:val="16"/>
        </w:rPr>
        <w:t xml:space="preserve">  </w:t>
      </w:r>
      <w:r w:rsidR="00F42EE6">
        <w:rPr>
          <w:rFonts w:ascii="Arial" w:eastAsia="Arial" w:hAnsi="Arial" w:cs="Arial"/>
          <w:sz w:val="16"/>
          <w:szCs w:val="16"/>
        </w:rPr>
        <w:t xml:space="preserve">    </w:t>
      </w:r>
      <w:r>
        <w:rPr>
          <w:rFonts w:ascii="Arial" w:eastAsia="Arial" w:hAnsi="Arial" w:cs="Arial"/>
          <w:sz w:val="16"/>
          <w:szCs w:val="16"/>
        </w:rPr>
        <w:t>Apartado II. Desarrollo y justificación de la decisión………………………………………</w:t>
      </w:r>
      <w:r w:rsidR="00F42EE6">
        <w:rPr>
          <w:rFonts w:ascii="Arial" w:eastAsia="Arial" w:hAnsi="Arial" w:cs="Arial"/>
          <w:sz w:val="16"/>
          <w:szCs w:val="16"/>
        </w:rPr>
        <w:t>..</w:t>
      </w:r>
      <w:r>
        <w:rPr>
          <w:rFonts w:ascii="Arial" w:eastAsia="Arial" w:hAnsi="Arial" w:cs="Arial"/>
          <w:sz w:val="16"/>
          <w:szCs w:val="16"/>
        </w:rPr>
        <w:t>………..</w:t>
      </w:r>
      <w:r>
        <w:rPr>
          <w:rFonts w:ascii="Arial" w:eastAsia="Arial" w:hAnsi="Arial" w:cs="Arial"/>
          <w:sz w:val="8"/>
          <w:szCs w:val="8"/>
        </w:rPr>
        <w:t xml:space="preserve"> </w:t>
      </w:r>
      <w:r w:rsidR="002F0F05">
        <w:rPr>
          <w:rFonts w:ascii="Arial" w:eastAsia="Arial" w:hAnsi="Arial" w:cs="Arial"/>
          <w:sz w:val="16"/>
          <w:szCs w:val="16"/>
        </w:rPr>
        <w:t>5</w:t>
      </w:r>
    </w:p>
    <w:p w14:paraId="764FC189" w14:textId="464C2E4A" w:rsidR="006C1DC5" w:rsidRPr="00F42EE6" w:rsidRDefault="00F42EE6" w:rsidP="00F42EE6">
      <w:pPr>
        <w:ind w:left="720" w:right="616"/>
        <w:rPr>
          <w:rFonts w:ascii="Arial" w:eastAsia="Arial" w:hAnsi="Arial" w:cs="Arial"/>
          <w:sz w:val="16"/>
          <w:szCs w:val="16"/>
        </w:rPr>
      </w:pPr>
      <w:r>
        <w:rPr>
          <w:rFonts w:ascii="Arial" w:eastAsia="Arial" w:hAnsi="Arial" w:cs="Arial"/>
          <w:sz w:val="16"/>
          <w:szCs w:val="16"/>
        </w:rPr>
        <w:t xml:space="preserve">      </w:t>
      </w:r>
      <w:r w:rsidR="00781BFC">
        <w:rPr>
          <w:rFonts w:ascii="Arial" w:eastAsia="Arial" w:hAnsi="Arial" w:cs="Arial"/>
          <w:sz w:val="16"/>
          <w:szCs w:val="16"/>
        </w:rPr>
        <w:t>IV. Resolutivos.…………………………………………………………………………………</w:t>
      </w:r>
      <w:r>
        <w:rPr>
          <w:rFonts w:ascii="Arial" w:eastAsia="Arial" w:hAnsi="Arial" w:cs="Arial"/>
          <w:sz w:val="16"/>
          <w:szCs w:val="16"/>
        </w:rPr>
        <w:t>.</w:t>
      </w:r>
      <w:r w:rsidR="00781BFC">
        <w:rPr>
          <w:rFonts w:ascii="Arial" w:eastAsia="Arial" w:hAnsi="Arial" w:cs="Arial"/>
          <w:sz w:val="16"/>
          <w:szCs w:val="16"/>
        </w:rPr>
        <w:t>....…...</w:t>
      </w:r>
      <w:r w:rsidR="00781BFC">
        <w:rPr>
          <w:rFonts w:ascii="Arial" w:eastAsia="Arial" w:hAnsi="Arial" w:cs="Arial"/>
          <w:sz w:val="6"/>
          <w:szCs w:val="6"/>
        </w:rPr>
        <w:t>.</w:t>
      </w:r>
      <w:r w:rsidR="002F0F05">
        <w:rPr>
          <w:rFonts w:ascii="Arial" w:eastAsia="Arial" w:hAnsi="Arial" w:cs="Arial"/>
          <w:sz w:val="6"/>
          <w:szCs w:val="6"/>
        </w:rPr>
        <w:t>.....</w:t>
      </w:r>
      <w:r w:rsidR="002F0F05">
        <w:rPr>
          <w:rFonts w:ascii="Arial" w:eastAsia="Arial" w:hAnsi="Arial" w:cs="Arial"/>
          <w:sz w:val="16"/>
          <w:szCs w:val="16"/>
        </w:rPr>
        <w:t>9</w:t>
      </w:r>
    </w:p>
    <w:p w14:paraId="6CC0AB30" w14:textId="77777777" w:rsidR="006C1DC5" w:rsidRDefault="006C1DC5">
      <w:pPr>
        <w:spacing w:line="360" w:lineRule="auto"/>
        <w:ind w:left="2465" w:right="616" w:hanging="140"/>
        <w:jc w:val="center"/>
        <w:rPr>
          <w:rFonts w:ascii="Arial" w:eastAsia="Arial" w:hAnsi="Arial" w:cs="Arial"/>
          <w:b/>
          <w:sz w:val="8"/>
          <w:szCs w:val="8"/>
        </w:rPr>
      </w:pPr>
    </w:p>
    <w:p w14:paraId="36744B8C" w14:textId="77777777" w:rsidR="006C1DC5" w:rsidRDefault="00781BFC">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
        <w:tblW w:w="7229" w:type="dxa"/>
        <w:tblInd w:w="851" w:type="dxa"/>
        <w:tblLayout w:type="fixed"/>
        <w:tblLook w:val="0400" w:firstRow="0" w:lastRow="0" w:firstColumn="0" w:lastColumn="0" w:noHBand="0" w:noVBand="1"/>
      </w:tblPr>
      <w:tblGrid>
        <w:gridCol w:w="2693"/>
        <w:gridCol w:w="4536"/>
      </w:tblGrid>
      <w:tr w:rsidR="006C1DC5" w14:paraId="2EDED53A" w14:textId="77777777" w:rsidTr="002E474E">
        <w:trPr>
          <w:trHeight w:val="578"/>
        </w:trPr>
        <w:tc>
          <w:tcPr>
            <w:tcW w:w="2693" w:type="dxa"/>
            <w:shd w:val="clear" w:color="auto" w:fill="auto"/>
          </w:tcPr>
          <w:p w14:paraId="2682FE1F"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Denunciante:</w:t>
            </w:r>
          </w:p>
          <w:p w14:paraId="0A5BB0F3"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 xml:space="preserve">Denunciados: </w:t>
            </w:r>
          </w:p>
          <w:p w14:paraId="7AA00AE7"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Código Electoral:</w:t>
            </w:r>
          </w:p>
          <w:p w14:paraId="68CF3BB3"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Fiscalía Anticorrupción:</w:t>
            </w:r>
          </w:p>
          <w:p w14:paraId="7E48D662" w14:textId="77777777" w:rsidR="0087045B" w:rsidRDefault="0087045B" w:rsidP="002E474E">
            <w:pPr>
              <w:spacing w:line="276" w:lineRule="auto"/>
              <w:ind w:left="-541" w:firstLine="541"/>
              <w:jc w:val="both"/>
              <w:rPr>
                <w:rFonts w:ascii="Arial" w:eastAsia="Arial" w:hAnsi="Arial" w:cs="Arial"/>
                <w:b/>
                <w:sz w:val="16"/>
                <w:szCs w:val="16"/>
              </w:rPr>
            </w:pPr>
          </w:p>
          <w:p w14:paraId="71321E90" w14:textId="727143F4"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Instituto Local:</w:t>
            </w:r>
          </w:p>
        </w:tc>
        <w:tc>
          <w:tcPr>
            <w:tcW w:w="4536" w:type="dxa"/>
            <w:shd w:val="clear" w:color="auto" w:fill="auto"/>
          </w:tcPr>
          <w:p w14:paraId="2ACB60AB" w14:textId="77777777" w:rsidR="006C1DC5" w:rsidRDefault="00781BFC">
            <w:pPr>
              <w:spacing w:line="276" w:lineRule="auto"/>
              <w:ind w:right="518"/>
              <w:jc w:val="both"/>
              <w:rPr>
                <w:rFonts w:ascii="Arial" w:eastAsia="Arial" w:hAnsi="Arial" w:cs="Arial"/>
                <w:sz w:val="16"/>
                <w:szCs w:val="16"/>
              </w:rPr>
            </w:pPr>
            <w:r>
              <w:rPr>
                <w:rFonts w:ascii="Arial" w:eastAsia="Arial" w:hAnsi="Arial" w:cs="Arial"/>
                <w:sz w:val="16"/>
                <w:szCs w:val="16"/>
              </w:rPr>
              <w:t>María Teresa Jiménez Esquivel.</w:t>
            </w:r>
          </w:p>
          <w:p w14:paraId="57483864"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Martha Cecilia Márquez Alvarado.</w:t>
            </w:r>
          </w:p>
          <w:p w14:paraId="08A83DFB" w14:textId="7502E144" w:rsidR="006C1DC5" w:rsidRDefault="002E474E">
            <w:pPr>
              <w:spacing w:line="276" w:lineRule="auto"/>
              <w:ind w:right="178"/>
              <w:jc w:val="both"/>
              <w:rPr>
                <w:rFonts w:ascii="Arial" w:eastAsia="Arial" w:hAnsi="Arial" w:cs="Arial"/>
                <w:sz w:val="16"/>
                <w:szCs w:val="16"/>
              </w:rPr>
            </w:pPr>
            <w:r>
              <w:rPr>
                <w:rFonts w:ascii="Arial" w:eastAsia="Arial" w:hAnsi="Arial" w:cs="Arial"/>
                <w:sz w:val="16"/>
                <w:szCs w:val="16"/>
              </w:rPr>
              <w:t>Código Electoral del Estado de Aguascalientes</w:t>
            </w:r>
            <w:r w:rsidR="00781BFC">
              <w:rPr>
                <w:rFonts w:ascii="Arial" w:eastAsia="Arial" w:hAnsi="Arial" w:cs="Arial"/>
                <w:sz w:val="16"/>
                <w:szCs w:val="16"/>
              </w:rPr>
              <w:t>.</w:t>
            </w:r>
          </w:p>
          <w:p w14:paraId="395E7E02"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Fiscalía Especializada en el Combate a la Corrupción del Estado de Aguascalientes.</w:t>
            </w:r>
          </w:p>
          <w:p w14:paraId="7914D290"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Instituto Estatal Electoral.</w:t>
            </w:r>
          </w:p>
        </w:tc>
      </w:tr>
      <w:tr w:rsidR="006C1DC5" w14:paraId="0587E009" w14:textId="77777777" w:rsidTr="002E474E">
        <w:trPr>
          <w:trHeight w:val="578"/>
        </w:trPr>
        <w:tc>
          <w:tcPr>
            <w:tcW w:w="2693" w:type="dxa"/>
            <w:shd w:val="clear" w:color="auto" w:fill="auto"/>
          </w:tcPr>
          <w:p w14:paraId="5B7C4BF1"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Reglamento del Senado:</w:t>
            </w:r>
          </w:p>
          <w:p w14:paraId="4A7A44ED"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Secretario Ejecutivo:</w:t>
            </w:r>
          </w:p>
          <w:p w14:paraId="4FB312E9"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Senado/Senado de la República:</w:t>
            </w:r>
          </w:p>
          <w:p w14:paraId="55DD373A" w14:textId="77777777" w:rsidR="0087045B" w:rsidRDefault="0087045B" w:rsidP="002E474E">
            <w:pPr>
              <w:spacing w:line="276" w:lineRule="auto"/>
              <w:ind w:left="-541" w:firstLine="541"/>
              <w:jc w:val="both"/>
              <w:rPr>
                <w:rFonts w:ascii="Arial" w:eastAsia="Arial" w:hAnsi="Arial" w:cs="Arial"/>
                <w:b/>
                <w:sz w:val="16"/>
                <w:szCs w:val="16"/>
              </w:rPr>
            </w:pPr>
          </w:p>
          <w:p w14:paraId="23E9542E" w14:textId="24546CC3"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PAN:</w:t>
            </w:r>
          </w:p>
          <w:p w14:paraId="494F32E4"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PEL:</w:t>
            </w:r>
          </w:p>
          <w:p w14:paraId="7E6027EC"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PES:</w:t>
            </w:r>
          </w:p>
          <w:p w14:paraId="49E8736F"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PT:</w:t>
            </w:r>
          </w:p>
          <w:p w14:paraId="75A135F9"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PVEM:</w:t>
            </w:r>
          </w:p>
          <w:p w14:paraId="696851B6" w14:textId="77777777" w:rsidR="006C1DC5" w:rsidRDefault="00781BFC"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t>Tribunal Electoral:</w:t>
            </w:r>
          </w:p>
          <w:p w14:paraId="5DF57E3E" w14:textId="4C220ED5" w:rsidR="0087045B" w:rsidRDefault="0087045B" w:rsidP="002E474E">
            <w:pPr>
              <w:spacing w:line="276" w:lineRule="auto"/>
              <w:ind w:left="-541" w:firstLine="541"/>
              <w:jc w:val="both"/>
              <w:rPr>
                <w:rFonts w:ascii="Arial" w:eastAsia="Arial" w:hAnsi="Arial" w:cs="Arial"/>
                <w:b/>
                <w:sz w:val="16"/>
                <w:szCs w:val="16"/>
              </w:rPr>
            </w:pPr>
            <w:r>
              <w:rPr>
                <w:rFonts w:ascii="Arial" w:eastAsia="Arial" w:hAnsi="Arial" w:cs="Arial"/>
                <w:b/>
                <w:sz w:val="16"/>
                <w:szCs w:val="16"/>
              </w:rPr>
              <w:lastRenderedPageBreak/>
              <w:t>SCJN:</w:t>
            </w:r>
          </w:p>
        </w:tc>
        <w:tc>
          <w:tcPr>
            <w:tcW w:w="4536" w:type="dxa"/>
            <w:shd w:val="clear" w:color="auto" w:fill="auto"/>
          </w:tcPr>
          <w:p w14:paraId="41D09BC2" w14:textId="4B55596C"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lastRenderedPageBreak/>
              <w:t xml:space="preserve">Reglamento del Senado de la República. </w:t>
            </w:r>
          </w:p>
          <w:p w14:paraId="7AF44AE6"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 xml:space="preserve">Secretario Ejecutivo del Instituto Estatal Electoral. </w:t>
            </w:r>
          </w:p>
          <w:p w14:paraId="08EA4934"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La Cámara de Senadores del Congreso General de los Estados Unidos Mexicanos.</w:t>
            </w:r>
          </w:p>
          <w:p w14:paraId="1F06F5E2"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 xml:space="preserve">Partido Acción Nacional. </w:t>
            </w:r>
          </w:p>
          <w:p w14:paraId="69139619" w14:textId="3BC43BC3"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Proce</w:t>
            </w:r>
            <w:r w:rsidR="008115E5">
              <w:rPr>
                <w:rFonts w:ascii="Arial" w:eastAsia="Arial" w:hAnsi="Arial" w:cs="Arial"/>
                <w:sz w:val="16"/>
                <w:szCs w:val="16"/>
              </w:rPr>
              <w:t>so</w:t>
            </w:r>
            <w:r>
              <w:rPr>
                <w:rFonts w:ascii="Arial" w:eastAsia="Arial" w:hAnsi="Arial" w:cs="Arial"/>
                <w:sz w:val="16"/>
                <w:szCs w:val="16"/>
              </w:rPr>
              <w:t xml:space="preserve"> Electoral Local. </w:t>
            </w:r>
          </w:p>
          <w:p w14:paraId="2F72235C"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Procedimiento Especial Sancionador.</w:t>
            </w:r>
          </w:p>
          <w:p w14:paraId="48C357F0"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Partido del Trabajo.</w:t>
            </w:r>
          </w:p>
          <w:p w14:paraId="09117206"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Partido Verde Ecologista de México.</w:t>
            </w:r>
          </w:p>
          <w:p w14:paraId="7E789031" w14:textId="77777777" w:rsidR="006C1DC5" w:rsidRDefault="00781BFC">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037DA0A1" w14:textId="691ED9EE" w:rsidR="0087045B" w:rsidRDefault="0087045B">
            <w:pPr>
              <w:spacing w:line="276" w:lineRule="auto"/>
              <w:ind w:right="178"/>
              <w:jc w:val="both"/>
              <w:rPr>
                <w:rFonts w:ascii="Arial" w:eastAsia="Arial" w:hAnsi="Arial" w:cs="Arial"/>
                <w:sz w:val="16"/>
                <w:szCs w:val="16"/>
              </w:rPr>
            </w:pPr>
            <w:r>
              <w:rPr>
                <w:rFonts w:ascii="Arial" w:eastAsia="Arial" w:hAnsi="Arial" w:cs="Arial"/>
                <w:sz w:val="16"/>
                <w:szCs w:val="16"/>
              </w:rPr>
              <w:lastRenderedPageBreak/>
              <w:t>Suprema Corte de Justicia de la Nación.</w:t>
            </w:r>
          </w:p>
        </w:tc>
      </w:tr>
    </w:tbl>
    <w:p w14:paraId="4FCF6DE4" w14:textId="77777777" w:rsidR="006C1DC5" w:rsidRDefault="00781BFC">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I. Contexto del caso.</w:t>
      </w:r>
      <w:r>
        <w:rPr>
          <w:rFonts w:ascii="Arial" w:eastAsia="Arial" w:hAnsi="Arial" w:cs="Arial"/>
          <w:b/>
          <w:sz w:val="24"/>
          <w:szCs w:val="24"/>
          <w:vertAlign w:val="superscript"/>
        </w:rPr>
        <w:footnoteReference w:id="2"/>
      </w:r>
    </w:p>
    <w:p w14:paraId="63B7A17D" w14:textId="77777777" w:rsidR="006C1DC5" w:rsidRDefault="006C1DC5" w:rsidP="00EC771E">
      <w:pPr>
        <w:pBdr>
          <w:top w:val="nil"/>
          <w:left w:val="nil"/>
          <w:bottom w:val="nil"/>
          <w:right w:val="nil"/>
          <w:between w:val="nil"/>
        </w:pBdr>
        <w:rPr>
          <w:color w:val="000000"/>
        </w:rPr>
      </w:pPr>
    </w:p>
    <w:p w14:paraId="16BB1433" w14:textId="77777777" w:rsidR="006C1DC5" w:rsidRDefault="00781BFC">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2202AF90" w14:textId="77777777" w:rsidR="006C1DC5" w:rsidRDefault="00781BFC">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2. Presentación de la proposición. </w:t>
      </w:r>
      <w:r>
        <w:rPr>
          <w:rFonts w:ascii="Arial" w:eastAsia="Arial" w:hAnsi="Arial" w:cs="Arial"/>
          <w:sz w:val="24"/>
          <w:szCs w:val="24"/>
        </w:rPr>
        <w:t xml:space="preserve">El 22 de febrero, el Senado de la República llevó a cabo una sesión ordinaria en la que, entre otras cuestiones, desahogó una proposición con punto de acuerdo a cargo de la entonces Senadora, Martha Cecilia Márquez Alvarado. </w:t>
      </w:r>
    </w:p>
    <w:p w14:paraId="5C15E248" w14:textId="77777777" w:rsidR="006C1DC5" w:rsidRDefault="00781BFC">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 xml:space="preserve">Esta proposición tenía como fin exhortar a diversas autoridades para esclarecer los hechos denunciados ante la Fiscalía Anticorrupción del Estado de Aguascalientes, relativos al ejercicio de recursos públicos del municipio capital. </w:t>
      </w:r>
    </w:p>
    <w:p w14:paraId="4E96BC1F" w14:textId="465080B4" w:rsidR="006C1DC5" w:rsidRPr="0087045B" w:rsidRDefault="00781BFC">
      <w:pPr>
        <w:tabs>
          <w:tab w:val="left" w:pos="284"/>
        </w:tabs>
        <w:spacing w:before="240" w:after="240" w:line="360" w:lineRule="auto"/>
        <w:ind w:right="40"/>
        <w:jc w:val="both"/>
        <w:rPr>
          <w:rFonts w:ascii="Arial" w:eastAsia="Arial" w:hAnsi="Arial" w:cs="Arial"/>
          <w:sz w:val="24"/>
          <w:szCs w:val="24"/>
        </w:rPr>
      </w:pPr>
      <w:r w:rsidRPr="0087045B">
        <w:rPr>
          <w:rFonts w:ascii="Arial" w:eastAsia="Arial" w:hAnsi="Arial" w:cs="Arial"/>
          <w:b/>
          <w:sz w:val="24"/>
          <w:szCs w:val="24"/>
        </w:rPr>
        <w:t xml:space="preserve">3. </w:t>
      </w:r>
      <w:r w:rsidR="0087045B">
        <w:rPr>
          <w:rFonts w:ascii="Arial" w:eastAsia="Arial" w:hAnsi="Arial" w:cs="Arial"/>
          <w:b/>
          <w:sz w:val="24"/>
          <w:szCs w:val="24"/>
        </w:rPr>
        <w:t xml:space="preserve">Denuncia. </w:t>
      </w:r>
      <w:r w:rsidRPr="0087045B">
        <w:rPr>
          <w:rFonts w:ascii="Arial" w:eastAsia="Arial" w:hAnsi="Arial" w:cs="Arial"/>
          <w:sz w:val="24"/>
          <w:szCs w:val="24"/>
        </w:rPr>
        <w:t xml:space="preserve">El 26 siguiente, la ciudadana María Teresa Jiménez Esquivel, en su calidad de precandidata a la Gubernatura del Estado, presentó una queja ante el Instituto Local, en contra de Martha Cecilia Márquez Alvarado, por la presentación y exposición de la proposición en comento, ya que, a su criterio, constituyó: </w:t>
      </w:r>
      <w:r w:rsidRPr="0087045B">
        <w:rPr>
          <w:rFonts w:ascii="Arial" w:eastAsia="Arial" w:hAnsi="Arial" w:cs="Arial"/>
          <w:b/>
          <w:sz w:val="24"/>
          <w:szCs w:val="24"/>
        </w:rPr>
        <w:t>a</w:t>
      </w:r>
      <w:r w:rsidRPr="0087045B">
        <w:rPr>
          <w:rFonts w:ascii="Arial" w:eastAsia="Arial" w:hAnsi="Arial" w:cs="Arial"/>
          <w:b/>
          <w:i/>
          <w:sz w:val="24"/>
          <w:szCs w:val="24"/>
        </w:rPr>
        <w:t>)</w:t>
      </w:r>
      <w:r w:rsidRPr="0087045B">
        <w:rPr>
          <w:rFonts w:ascii="Arial" w:eastAsia="Arial" w:hAnsi="Arial" w:cs="Arial"/>
          <w:sz w:val="24"/>
          <w:szCs w:val="24"/>
        </w:rPr>
        <w:t xml:space="preserve"> actos anticipados de campaña, </w:t>
      </w:r>
      <w:r w:rsidRPr="0087045B">
        <w:rPr>
          <w:rFonts w:ascii="Arial" w:eastAsia="Arial" w:hAnsi="Arial" w:cs="Arial"/>
          <w:b/>
          <w:i/>
          <w:sz w:val="24"/>
          <w:szCs w:val="24"/>
        </w:rPr>
        <w:t>b)</w:t>
      </w:r>
      <w:r w:rsidRPr="0087045B">
        <w:rPr>
          <w:rFonts w:ascii="Arial" w:eastAsia="Arial" w:hAnsi="Arial" w:cs="Arial"/>
          <w:sz w:val="24"/>
          <w:szCs w:val="24"/>
        </w:rPr>
        <w:t xml:space="preserve"> calumnia en su perjuicio y, </w:t>
      </w:r>
      <w:r w:rsidRPr="0087045B">
        <w:rPr>
          <w:rFonts w:ascii="Arial" w:eastAsia="Arial" w:hAnsi="Arial" w:cs="Arial"/>
          <w:b/>
          <w:i/>
          <w:sz w:val="24"/>
          <w:szCs w:val="24"/>
        </w:rPr>
        <w:t>c)</w:t>
      </w:r>
      <w:r w:rsidRPr="0087045B">
        <w:rPr>
          <w:rFonts w:ascii="Arial" w:eastAsia="Arial" w:hAnsi="Arial" w:cs="Arial"/>
          <w:b/>
          <w:sz w:val="24"/>
          <w:szCs w:val="24"/>
        </w:rPr>
        <w:t xml:space="preserve"> </w:t>
      </w:r>
      <w:r w:rsidRPr="0087045B">
        <w:rPr>
          <w:rFonts w:ascii="Arial" w:eastAsia="Arial" w:hAnsi="Arial" w:cs="Arial"/>
          <w:sz w:val="24"/>
          <w:szCs w:val="24"/>
        </w:rPr>
        <w:t xml:space="preserve">uso indebido de recursos públicos. </w:t>
      </w:r>
    </w:p>
    <w:p w14:paraId="07BBD48C" w14:textId="44C5C89B" w:rsidR="006C1DC5" w:rsidRDefault="007874DB">
      <w:pPr>
        <w:tabs>
          <w:tab w:val="left" w:pos="284"/>
        </w:tabs>
        <w:spacing w:before="240" w:after="240" w:line="360" w:lineRule="auto"/>
        <w:ind w:right="40"/>
        <w:jc w:val="both"/>
        <w:rPr>
          <w:rFonts w:ascii="Arial" w:eastAsia="Arial" w:hAnsi="Arial" w:cs="Arial"/>
          <w:sz w:val="24"/>
          <w:szCs w:val="24"/>
        </w:rPr>
      </w:pPr>
      <w:r w:rsidRPr="0087045B">
        <w:rPr>
          <w:rFonts w:ascii="Arial" w:eastAsia="Arial" w:hAnsi="Arial" w:cs="Arial"/>
          <w:b/>
          <w:sz w:val="24"/>
          <w:szCs w:val="24"/>
        </w:rPr>
        <w:t>4</w:t>
      </w:r>
      <w:r w:rsidR="00781BFC" w:rsidRPr="0087045B">
        <w:rPr>
          <w:rFonts w:ascii="Arial" w:eastAsia="Arial" w:hAnsi="Arial" w:cs="Arial"/>
          <w:b/>
          <w:sz w:val="24"/>
          <w:szCs w:val="24"/>
        </w:rPr>
        <w:t>. Admisión, audiencia</w:t>
      </w:r>
      <w:r w:rsidR="00781BFC">
        <w:rPr>
          <w:rFonts w:ascii="Arial" w:eastAsia="Arial" w:hAnsi="Arial" w:cs="Arial"/>
          <w:b/>
          <w:sz w:val="24"/>
          <w:szCs w:val="24"/>
        </w:rPr>
        <w:t xml:space="preserve"> de alegatos y remisión del expediente.</w:t>
      </w:r>
      <w:r w:rsidR="00781BFC">
        <w:rPr>
          <w:rFonts w:ascii="Arial" w:eastAsia="Arial" w:hAnsi="Arial" w:cs="Arial"/>
          <w:sz w:val="24"/>
          <w:szCs w:val="24"/>
        </w:rPr>
        <w:t xml:space="preserve"> Al día siguiente, el Secretario Ejecutivo admitió a trámite la denuncia y le asignó el número de expediente IEE/PES/013/2022. El 14 de marzo, se celebró la audiencia de pruebas y alegatos y, posteriormente, el Secretario Ejecutivo rindió el informe circunstanciado y remitió el expediente a este Tribunal. </w:t>
      </w:r>
    </w:p>
    <w:p w14:paraId="4BD5A5D2" w14:textId="0CA5002A" w:rsidR="006C1DC5" w:rsidRDefault="007874DB">
      <w:pPr>
        <w:tabs>
          <w:tab w:val="left" w:pos="284"/>
        </w:tabs>
        <w:spacing w:before="240" w:line="360" w:lineRule="auto"/>
        <w:ind w:right="40"/>
        <w:jc w:val="both"/>
        <w:rPr>
          <w:rFonts w:ascii="Arial" w:eastAsia="Arial" w:hAnsi="Arial" w:cs="Arial"/>
          <w:sz w:val="24"/>
          <w:szCs w:val="24"/>
        </w:rPr>
      </w:pPr>
      <w:r>
        <w:rPr>
          <w:rFonts w:ascii="Arial" w:eastAsia="Arial" w:hAnsi="Arial" w:cs="Arial"/>
          <w:b/>
          <w:sz w:val="24"/>
          <w:szCs w:val="24"/>
        </w:rPr>
        <w:t>5</w:t>
      </w:r>
      <w:r w:rsidR="00781BFC">
        <w:rPr>
          <w:rFonts w:ascii="Arial" w:eastAsia="Arial" w:hAnsi="Arial" w:cs="Arial"/>
          <w:b/>
          <w:sz w:val="24"/>
          <w:szCs w:val="24"/>
        </w:rPr>
        <w:t xml:space="preserve">. Turno, radicación y formulación del proyecto de resolución TEEA-PES-008/2022. </w:t>
      </w:r>
      <w:r w:rsidR="00781BFC">
        <w:rPr>
          <w:rFonts w:ascii="Arial" w:eastAsia="Arial" w:hAnsi="Arial" w:cs="Arial"/>
          <w:sz w:val="24"/>
          <w:szCs w:val="24"/>
        </w:rPr>
        <w:t>El 17 del mismo mes, la Magistrada Presidenta ordenó el registro del asunto con el número de expediente TEEA-PES-008/2022 y lo turnó a la Ponencia de la Magistrada Laura Hortensia Llamas Hernández.</w:t>
      </w:r>
    </w:p>
    <w:p w14:paraId="5E475483" w14:textId="77777777" w:rsidR="006C1DC5" w:rsidRDefault="00781BFC">
      <w:pPr>
        <w:tabs>
          <w:tab w:val="left" w:pos="284"/>
        </w:tabs>
        <w:spacing w:before="240" w:after="240" w:line="360" w:lineRule="auto"/>
        <w:ind w:right="40"/>
        <w:jc w:val="both"/>
        <w:rPr>
          <w:rFonts w:ascii="Arial" w:eastAsia="Arial" w:hAnsi="Arial" w:cs="Arial"/>
          <w:sz w:val="16"/>
          <w:szCs w:val="16"/>
        </w:rPr>
      </w:pPr>
      <w:r>
        <w:rPr>
          <w:rFonts w:ascii="Arial" w:eastAsia="Arial" w:hAnsi="Arial" w:cs="Arial"/>
          <w:b/>
          <w:sz w:val="24"/>
          <w:szCs w:val="24"/>
        </w:rPr>
        <w:t>II. Estudio preliminar</w:t>
      </w:r>
    </w:p>
    <w:p w14:paraId="7181FCA7" w14:textId="77777777" w:rsidR="006C1DC5" w:rsidRDefault="00781BFC">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1. Hechos denunciados</w:t>
      </w:r>
    </w:p>
    <w:p w14:paraId="22C6956C" w14:textId="77777777" w:rsidR="006C1DC5" w:rsidRDefault="00781BFC">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1.1.</w:t>
      </w:r>
      <w:r>
        <w:rPr>
          <w:sz w:val="14"/>
          <w:szCs w:val="14"/>
        </w:rPr>
        <w:t xml:space="preserve"> </w:t>
      </w:r>
      <w:r>
        <w:rPr>
          <w:rFonts w:ascii="Arial" w:eastAsia="Arial" w:hAnsi="Arial" w:cs="Arial"/>
          <w:b/>
          <w:sz w:val="24"/>
          <w:szCs w:val="24"/>
        </w:rPr>
        <w:t xml:space="preserve">En contra de Martha Cecilia Márquez Alvarado. </w:t>
      </w:r>
      <w:r>
        <w:rPr>
          <w:rFonts w:ascii="Arial" w:eastAsia="Arial" w:hAnsi="Arial" w:cs="Arial"/>
          <w:sz w:val="24"/>
          <w:szCs w:val="24"/>
        </w:rPr>
        <w:t>La ciudadana María Teresa Jiménez Esquivel, precandidata del PAN a la Gubernatura del Estado, refiere que la denunciada realizó diversas infracciones a la normativa electoral,</w:t>
      </w:r>
      <w:r>
        <w:rPr>
          <w:rFonts w:ascii="Arial" w:eastAsia="Arial" w:hAnsi="Arial" w:cs="Arial"/>
          <w:b/>
          <w:sz w:val="24"/>
          <w:szCs w:val="24"/>
        </w:rPr>
        <w:t xml:space="preserve"> consistentes en actos anticipados </w:t>
      </w:r>
      <w:r>
        <w:rPr>
          <w:rFonts w:ascii="Arial" w:eastAsia="Arial" w:hAnsi="Arial" w:cs="Arial"/>
          <w:b/>
          <w:sz w:val="24"/>
          <w:szCs w:val="24"/>
        </w:rPr>
        <w:lastRenderedPageBreak/>
        <w:t>de campaña, uso indebido de los recursos públicos, así como calumnia en su perjuicio</w:t>
      </w:r>
      <w:r>
        <w:rPr>
          <w:rFonts w:ascii="Arial" w:eastAsia="Arial" w:hAnsi="Arial" w:cs="Arial"/>
          <w:sz w:val="24"/>
          <w:szCs w:val="24"/>
        </w:rPr>
        <w:t xml:space="preserve">, en atención a las opiniones originadas por la presentación y exposición de una proposición con punto de acuerdo el pasado 22 de febrero.  </w:t>
      </w:r>
    </w:p>
    <w:p w14:paraId="375F025D" w14:textId="77777777" w:rsidR="006C1DC5" w:rsidRDefault="006C1DC5">
      <w:pPr>
        <w:tabs>
          <w:tab w:val="left" w:pos="284"/>
        </w:tabs>
        <w:ind w:right="40"/>
        <w:jc w:val="both"/>
        <w:rPr>
          <w:rFonts w:ascii="Arial" w:eastAsia="Arial" w:hAnsi="Arial" w:cs="Arial"/>
          <w:b/>
          <w:sz w:val="24"/>
          <w:szCs w:val="24"/>
        </w:rPr>
      </w:pPr>
    </w:p>
    <w:p w14:paraId="52EA711E" w14:textId="77777777" w:rsidR="006C1DC5" w:rsidRDefault="00781BFC">
      <w:pPr>
        <w:tabs>
          <w:tab w:val="left" w:pos="284"/>
        </w:tabs>
        <w:spacing w:line="360" w:lineRule="auto"/>
        <w:ind w:right="40"/>
        <w:jc w:val="both"/>
        <w:rPr>
          <w:rFonts w:ascii="Arial" w:eastAsia="Arial" w:hAnsi="Arial" w:cs="Arial"/>
          <w:sz w:val="24"/>
          <w:szCs w:val="24"/>
        </w:rPr>
      </w:pPr>
      <w:r>
        <w:rPr>
          <w:rFonts w:ascii="Arial" w:eastAsia="Arial" w:hAnsi="Arial" w:cs="Arial"/>
          <w:b/>
          <w:sz w:val="24"/>
          <w:szCs w:val="24"/>
        </w:rPr>
        <w:t xml:space="preserve">1.2. En contra de los partidos políticos PT y PVEM. </w:t>
      </w:r>
      <w:r>
        <w:rPr>
          <w:rFonts w:ascii="Arial" w:eastAsia="Arial" w:hAnsi="Arial" w:cs="Arial"/>
          <w:sz w:val="24"/>
          <w:szCs w:val="24"/>
        </w:rPr>
        <w:t xml:space="preserve">La quejosa menciona que el PT y el PVEM </w:t>
      </w:r>
      <w:r>
        <w:rPr>
          <w:rFonts w:ascii="Arial" w:eastAsia="Arial" w:hAnsi="Arial" w:cs="Arial"/>
          <w:b/>
          <w:sz w:val="24"/>
          <w:szCs w:val="24"/>
        </w:rPr>
        <w:t xml:space="preserve">incumplieron su deber de cuidar </w:t>
      </w:r>
      <w:r>
        <w:rPr>
          <w:rFonts w:ascii="Arial" w:eastAsia="Arial" w:hAnsi="Arial" w:cs="Arial"/>
          <w:sz w:val="24"/>
          <w:szCs w:val="24"/>
        </w:rPr>
        <w:t>que la denunciada no incumpliera la normativa electoral.</w:t>
      </w:r>
    </w:p>
    <w:p w14:paraId="070262BE" w14:textId="0D90AB8F" w:rsidR="006C1DC5" w:rsidRDefault="00781BFC">
      <w:pPr>
        <w:tabs>
          <w:tab w:val="left" w:pos="284"/>
        </w:tabs>
        <w:spacing w:before="240" w:after="240" w:line="360" w:lineRule="auto"/>
        <w:jc w:val="both"/>
        <w:rPr>
          <w:rFonts w:ascii="Arial" w:eastAsia="Arial" w:hAnsi="Arial" w:cs="Arial"/>
          <w:sz w:val="24"/>
          <w:szCs w:val="24"/>
        </w:rPr>
      </w:pPr>
      <w:r>
        <w:rPr>
          <w:rFonts w:ascii="Arial" w:eastAsia="Arial" w:hAnsi="Arial" w:cs="Arial"/>
          <w:b/>
          <w:sz w:val="24"/>
          <w:szCs w:val="24"/>
        </w:rPr>
        <w:t>2. Defensa.</w:t>
      </w:r>
    </w:p>
    <w:p w14:paraId="0192DA82" w14:textId="77777777" w:rsidR="006C1DC5" w:rsidRDefault="00781BFC">
      <w:pPr>
        <w:tabs>
          <w:tab w:val="left" w:pos="284"/>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2.1.  La Senadora denunciada manifestó </w:t>
      </w:r>
      <w:r>
        <w:rPr>
          <w:rFonts w:ascii="Arial" w:eastAsia="Arial" w:hAnsi="Arial" w:cs="Arial"/>
          <w:sz w:val="24"/>
          <w:szCs w:val="24"/>
        </w:rPr>
        <w:t xml:space="preserve">que el mensaje que se le imputa, se expresó en el ejercicio su encargo como Senadora de la República. Asimismo, menciona que su participación está amparada por el ejercicio de su libertad de expresión, en el marco del debate público y vigoroso. </w:t>
      </w:r>
    </w:p>
    <w:p w14:paraId="79D56BA3" w14:textId="77777777" w:rsidR="006C1DC5" w:rsidRDefault="00781BFC">
      <w:pPr>
        <w:tabs>
          <w:tab w:val="left" w:pos="284"/>
        </w:tabs>
        <w:spacing w:before="240" w:after="240" w:line="360" w:lineRule="auto"/>
        <w:jc w:val="both"/>
        <w:rPr>
          <w:rFonts w:ascii="Arial" w:eastAsia="Arial" w:hAnsi="Arial" w:cs="Arial"/>
          <w:sz w:val="24"/>
          <w:szCs w:val="24"/>
        </w:rPr>
      </w:pPr>
      <w:r>
        <w:rPr>
          <w:rFonts w:ascii="Arial" w:eastAsia="Arial" w:hAnsi="Arial" w:cs="Arial"/>
          <w:b/>
          <w:sz w:val="24"/>
          <w:szCs w:val="24"/>
        </w:rPr>
        <w:t xml:space="preserve">2.2. Los partidos políticos denunciados niegan </w:t>
      </w:r>
      <w:r>
        <w:rPr>
          <w:rFonts w:ascii="Arial" w:eastAsia="Arial" w:hAnsi="Arial" w:cs="Arial"/>
          <w:sz w:val="24"/>
          <w:szCs w:val="24"/>
        </w:rPr>
        <w:t>que la denunciada sea la precandidata de sus institutos políticos, ya que internamente no sostuvieron una contienda en el marco de la precampaña, y por tanto, no hay lugar a la vinculación de cualquier acto presuntamente ilegal.</w:t>
      </w:r>
    </w:p>
    <w:p w14:paraId="0B8F5830" w14:textId="77777777" w:rsidR="006C1DC5" w:rsidRDefault="00781BFC">
      <w:pPr>
        <w:tabs>
          <w:tab w:val="left" w:pos="284"/>
        </w:tabs>
        <w:spacing w:before="240" w:after="240" w:line="360" w:lineRule="auto"/>
        <w:jc w:val="both"/>
        <w:rPr>
          <w:rFonts w:ascii="Arial" w:eastAsia="Arial" w:hAnsi="Arial" w:cs="Arial"/>
          <w:b/>
          <w:sz w:val="6"/>
          <w:szCs w:val="6"/>
        </w:rPr>
      </w:pPr>
      <w:r>
        <w:rPr>
          <w:rFonts w:ascii="Arial" w:eastAsia="Arial" w:hAnsi="Arial" w:cs="Arial"/>
          <w:b/>
          <w:sz w:val="24"/>
          <w:szCs w:val="24"/>
        </w:rPr>
        <w:t xml:space="preserve">3. Descripción de los medios de prueba. </w:t>
      </w:r>
      <w:r>
        <w:rPr>
          <w:rFonts w:ascii="Arial" w:eastAsia="Arial" w:hAnsi="Arial" w:cs="Arial"/>
          <w:sz w:val="24"/>
          <w:szCs w:val="24"/>
        </w:rPr>
        <w:t>Como se advierte, de la audiencia de pruebas y alegatos, a la parte denunciante le fueron admitidas y desahogadas las probanzas siguientes:</w:t>
      </w:r>
    </w:p>
    <w:p w14:paraId="1536CDC8" w14:textId="77777777" w:rsidR="006C1DC5" w:rsidRDefault="00781BFC" w:rsidP="0087045B">
      <w:pPr>
        <w:tabs>
          <w:tab w:val="left" w:pos="284"/>
        </w:tabs>
        <w:spacing w:before="240" w:line="360" w:lineRule="auto"/>
        <w:jc w:val="both"/>
        <w:rPr>
          <w:rFonts w:ascii="Arial" w:eastAsia="Arial" w:hAnsi="Arial" w:cs="Arial"/>
          <w:b/>
          <w:sz w:val="24"/>
          <w:szCs w:val="24"/>
        </w:rPr>
      </w:pPr>
      <w:r>
        <w:rPr>
          <w:rFonts w:ascii="Arial" w:eastAsia="Arial" w:hAnsi="Arial" w:cs="Arial"/>
          <w:b/>
          <w:sz w:val="24"/>
          <w:szCs w:val="24"/>
        </w:rPr>
        <w:t>3.1. Pruebas aportadas por la parte denunciante:</w:t>
      </w:r>
    </w:p>
    <w:tbl>
      <w:tblPr>
        <w:tblStyle w:val="a0"/>
        <w:tblW w:w="962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75"/>
        <w:gridCol w:w="2685"/>
        <w:gridCol w:w="6269"/>
      </w:tblGrid>
      <w:tr w:rsidR="006C1DC5" w14:paraId="4C59BF12" w14:textId="77777777" w:rsidTr="0087045B">
        <w:trPr>
          <w:trHeight w:val="180"/>
        </w:trPr>
        <w:tc>
          <w:tcPr>
            <w:tcW w:w="675" w:type="dxa"/>
            <w:tcBorders>
              <w:top w:val="single" w:sz="8" w:space="0" w:color="A5A5A5"/>
              <w:left w:val="single" w:sz="8" w:space="0" w:color="A5A5A5"/>
              <w:bottom w:val="single" w:sz="8" w:space="0" w:color="A5A5A5"/>
              <w:right w:val="nil"/>
            </w:tcBorders>
            <w:shd w:val="clear" w:color="auto" w:fill="A5A5A5"/>
            <w:tcMar>
              <w:top w:w="100" w:type="dxa"/>
              <w:left w:w="100" w:type="dxa"/>
              <w:bottom w:w="100" w:type="dxa"/>
              <w:right w:w="100" w:type="dxa"/>
            </w:tcMar>
          </w:tcPr>
          <w:p w14:paraId="728128CD" w14:textId="77777777" w:rsidR="006C1DC5" w:rsidRDefault="00781BFC">
            <w:pPr>
              <w:tabs>
                <w:tab w:val="left" w:pos="284"/>
              </w:tabs>
              <w:jc w:val="center"/>
              <w:rPr>
                <w:rFonts w:ascii="Arial" w:eastAsia="Arial" w:hAnsi="Arial" w:cs="Arial"/>
                <w:b/>
                <w:sz w:val="18"/>
                <w:szCs w:val="18"/>
              </w:rPr>
            </w:pPr>
            <w:r>
              <w:rPr>
                <w:rFonts w:ascii="Arial" w:eastAsia="Arial" w:hAnsi="Arial" w:cs="Arial"/>
                <w:b/>
                <w:sz w:val="18"/>
                <w:szCs w:val="18"/>
              </w:rPr>
              <w:t>#</w:t>
            </w:r>
          </w:p>
        </w:tc>
        <w:tc>
          <w:tcPr>
            <w:tcW w:w="2685" w:type="dxa"/>
            <w:tcBorders>
              <w:top w:val="single" w:sz="8" w:space="0" w:color="A5A5A5"/>
              <w:left w:val="nil"/>
              <w:bottom w:val="single" w:sz="8" w:space="0" w:color="A5A5A5"/>
              <w:right w:val="nil"/>
            </w:tcBorders>
            <w:shd w:val="clear" w:color="auto" w:fill="A5A5A5"/>
            <w:tcMar>
              <w:top w:w="100" w:type="dxa"/>
              <w:left w:w="100" w:type="dxa"/>
              <w:bottom w:w="100" w:type="dxa"/>
              <w:right w:w="100" w:type="dxa"/>
            </w:tcMar>
          </w:tcPr>
          <w:p w14:paraId="600734AF" w14:textId="77777777" w:rsidR="006C1DC5" w:rsidRDefault="00781BFC">
            <w:pPr>
              <w:tabs>
                <w:tab w:val="left" w:pos="284"/>
              </w:tabs>
              <w:jc w:val="center"/>
              <w:rPr>
                <w:rFonts w:ascii="Arial" w:eastAsia="Arial" w:hAnsi="Arial" w:cs="Arial"/>
                <w:b/>
                <w:sz w:val="18"/>
                <w:szCs w:val="18"/>
              </w:rPr>
            </w:pPr>
            <w:r>
              <w:rPr>
                <w:rFonts w:ascii="Arial" w:eastAsia="Arial" w:hAnsi="Arial" w:cs="Arial"/>
                <w:b/>
                <w:sz w:val="18"/>
                <w:szCs w:val="18"/>
              </w:rPr>
              <w:t>Prueba</w:t>
            </w:r>
          </w:p>
        </w:tc>
        <w:tc>
          <w:tcPr>
            <w:tcW w:w="6269" w:type="dxa"/>
            <w:tcBorders>
              <w:top w:val="single" w:sz="8" w:space="0" w:color="A5A5A5"/>
              <w:left w:val="nil"/>
              <w:bottom w:val="single" w:sz="8" w:space="0" w:color="A5A5A5"/>
              <w:right w:val="single" w:sz="8" w:space="0" w:color="A5A5A5"/>
            </w:tcBorders>
            <w:shd w:val="clear" w:color="auto" w:fill="A5A5A5"/>
            <w:tcMar>
              <w:top w:w="100" w:type="dxa"/>
              <w:left w:w="100" w:type="dxa"/>
              <w:bottom w:w="100" w:type="dxa"/>
              <w:right w:w="100" w:type="dxa"/>
            </w:tcMar>
          </w:tcPr>
          <w:p w14:paraId="0F7D134A" w14:textId="77777777" w:rsidR="006C1DC5" w:rsidRDefault="00781BFC">
            <w:pPr>
              <w:tabs>
                <w:tab w:val="left" w:pos="284"/>
              </w:tabs>
              <w:jc w:val="center"/>
              <w:rPr>
                <w:rFonts w:ascii="Arial" w:eastAsia="Arial" w:hAnsi="Arial" w:cs="Arial"/>
                <w:b/>
                <w:sz w:val="18"/>
                <w:szCs w:val="18"/>
              </w:rPr>
            </w:pPr>
            <w:r>
              <w:rPr>
                <w:rFonts w:ascii="Arial" w:eastAsia="Arial" w:hAnsi="Arial" w:cs="Arial"/>
                <w:b/>
                <w:sz w:val="18"/>
                <w:szCs w:val="18"/>
              </w:rPr>
              <w:t>Consistente en</w:t>
            </w:r>
          </w:p>
        </w:tc>
      </w:tr>
      <w:tr w:rsidR="006C1DC5" w14:paraId="42641369" w14:textId="77777777" w:rsidTr="00C50429">
        <w:trPr>
          <w:trHeight w:val="181"/>
        </w:trPr>
        <w:tc>
          <w:tcPr>
            <w:tcW w:w="675" w:type="dxa"/>
            <w:tcBorders>
              <w:top w:val="nil"/>
              <w:left w:val="single" w:sz="8" w:space="0" w:color="C9C9C9"/>
              <w:bottom w:val="single" w:sz="8" w:space="0" w:color="C9C9C9"/>
              <w:right w:val="single" w:sz="8" w:space="0" w:color="C9C9C9"/>
            </w:tcBorders>
            <w:shd w:val="clear" w:color="auto" w:fill="EDEDED"/>
            <w:tcMar>
              <w:top w:w="100" w:type="dxa"/>
              <w:left w:w="100" w:type="dxa"/>
              <w:bottom w:w="100" w:type="dxa"/>
              <w:right w:w="100" w:type="dxa"/>
            </w:tcMar>
          </w:tcPr>
          <w:p w14:paraId="2A03F06E" w14:textId="77777777" w:rsidR="006C1DC5" w:rsidRPr="007874DB" w:rsidRDefault="00781BFC" w:rsidP="00F42EE6">
            <w:pPr>
              <w:tabs>
                <w:tab w:val="left" w:pos="284"/>
              </w:tabs>
              <w:jc w:val="center"/>
              <w:rPr>
                <w:rFonts w:ascii="Arial" w:eastAsia="Arial" w:hAnsi="Arial" w:cs="Arial"/>
                <w:b/>
                <w:bCs/>
                <w:sz w:val="18"/>
                <w:szCs w:val="18"/>
              </w:rPr>
            </w:pPr>
            <w:r w:rsidRPr="007874DB">
              <w:rPr>
                <w:rFonts w:ascii="Arial" w:eastAsia="Arial" w:hAnsi="Arial" w:cs="Arial"/>
                <w:b/>
                <w:bCs/>
                <w:sz w:val="18"/>
                <w:szCs w:val="18"/>
              </w:rPr>
              <w:t>1</w:t>
            </w:r>
          </w:p>
        </w:tc>
        <w:tc>
          <w:tcPr>
            <w:tcW w:w="2685"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742B6C19"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Técnica</w:t>
            </w:r>
          </w:p>
        </w:tc>
        <w:tc>
          <w:tcPr>
            <w:tcW w:w="6269"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7FDAB883" w14:textId="77777777" w:rsidR="00F42EE6"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Dirección electrónica</w:t>
            </w:r>
          </w:p>
          <w:p w14:paraId="40DEE781" w14:textId="34E993E0"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https://www.senado.gob.mx/64/version_estenografica/2022_2_22/2205.</w:t>
            </w:r>
          </w:p>
        </w:tc>
      </w:tr>
      <w:tr w:rsidR="006C1DC5" w14:paraId="5E1E0BA7" w14:textId="77777777" w:rsidTr="0087045B">
        <w:trPr>
          <w:trHeight w:val="25"/>
        </w:trPr>
        <w:tc>
          <w:tcPr>
            <w:tcW w:w="675" w:type="dxa"/>
            <w:tcBorders>
              <w:top w:val="nil"/>
              <w:left w:val="single" w:sz="8" w:space="0" w:color="C9C9C9"/>
              <w:bottom w:val="single" w:sz="8" w:space="0" w:color="C9C9C9"/>
              <w:right w:val="single" w:sz="8" w:space="0" w:color="C9C9C9"/>
            </w:tcBorders>
            <w:tcMar>
              <w:top w:w="100" w:type="dxa"/>
              <w:left w:w="100" w:type="dxa"/>
              <w:bottom w:w="100" w:type="dxa"/>
              <w:right w:w="100" w:type="dxa"/>
            </w:tcMar>
          </w:tcPr>
          <w:p w14:paraId="14496AEE" w14:textId="77777777" w:rsidR="006C1DC5" w:rsidRPr="007874DB" w:rsidRDefault="00781BFC" w:rsidP="00F42EE6">
            <w:pPr>
              <w:tabs>
                <w:tab w:val="left" w:pos="284"/>
              </w:tabs>
              <w:jc w:val="center"/>
              <w:rPr>
                <w:rFonts w:ascii="Arial" w:eastAsia="Arial" w:hAnsi="Arial" w:cs="Arial"/>
                <w:b/>
                <w:bCs/>
                <w:sz w:val="18"/>
                <w:szCs w:val="18"/>
              </w:rPr>
            </w:pPr>
            <w:r w:rsidRPr="007874DB">
              <w:rPr>
                <w:rFonts w:ascii="Arial" w:eastAsia="Arial" w:hAnsi="Arial" w:cs="Arial"/>
                <w:b/>
                <w:bCs/>
                <w:sz w:val="18"/>
                <w:szCs w:val="18"/>
              </w:rPr>
              <w:t>2</w:t>
            </w:r>
          </w:p>
        </w:tc>
        <w:tc>
          <w:tcPr>
            <w:tcW w:w="2685" w:type="dxa"/>
            <w:tcBorders>
              <w:top w:val="nil"/>
              <w:left w:val="nil"/>
              <w:bottom w:val="single" w:sz="8" w:space="0" w:color="C9C9C9"/>
              <w:right w:val="single" w:sz="8" w:space="0" w:color="C9C9C9"/>
            </w:tcBorders>
            <w:tcMar>
              <w:top w:w="100" w:type="dxa"/>
              <w:left w:w="100" w:type="dxa"/>
              <w:bottom w:w="100" w:type="dxa"/>
              <w:right w:w="100" w:type="dxa"/>
            </w:tcMar>
          </w:tcPr>
          <w:p w14:paraId="5F97E062"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Instrumental de actuaciones</w:t>
            </w:r>
          </w:p>
        </w:tc>
        <w:tc>
          <w:tcPr>
            <w:tcW w:w="6269" w:type="dxa"/>
            <w:tcBorders>
              <w:top w:val="nil"/>
              <w:left w:val="nil"/>
              <w:bottom w:val="single" w:sz="8" w:space="0" w:color="C9C9C9"/>
              <w:right w:val="single" w:sz="8" w:space="0" w:color="C9C9C9"/>
            </w:tcBorders>
            <w:tcMar>
              <w:top w:w="100" w:type="dxa"/>
              <w:left w:w="100" w:type="dxa"/>
              <w:bottom w:w="100" w:type="dxa"/>
              <w:right w:w="100" w:type="dxa"/>
            </w:tcMar>
          </w:tcPr>
          <w:p w14:paraId="60880B15"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Todo lo que por su contenido y alcance favorezca a sus intereses.</w:t>
            </w:r>
          </w:p>
        </w:tc>
      </w:tr>
      <w:tr w:rsidR="006C1DC5" w14:paraId="61C7679C" w14:textId="77777777" w:rsidTr="0087045B">
        <w:trPr>
          <w:trHeight w:val="25"/>
        </w:trPr>
        <w:tc>
          <w:tcPr>
            <w:tcW w:w="675" w:type="dxa"/>
            <w:tcBorders>
              <w:top w:val="nil"/>
              <w:left w:val="single" w:sz="8" w:space="0" w:color="C9C9C9"/>
              <w:bottom w:val="single" w:sz="8" w:space="0" w:color="C9C9C9"/>
              <w:right w:val="single" w:sz="8" w:space="0" w:color="C9C9C9"/>
            </w:tcBorders>
            <w:shd w:val="clear" w:color="auto" w:fill="EDEDED"/>
            <w:tcMar>
              <w:top w:w="100" w:type="dxa"/>
              <w:left w:w="100" w:type="dxa"/>
              <w:bottom w:w="100" w:type="dxa"/>
              <w:right w:w="100" w:type="dxa"/>
            </w:tcMar>
          </w:tcPr>
          <w:p w14:paraId="41B1FC81" w14:textId="77777777" w:rsidR="006C1DC5" w:rsidRPr="007874DB" w:rsidRDefault="00781BFC" w:rsidP="00F42EE6">
            <w:pPr>
              <w:tabs>
                <w:tab w:val="left" w:pos="284"/>
              </w:tabs>
              <w:jc w:val="center"/>
              <w:rPr>
                <w:rFonts w:ascii="Arial" w:eastAsia="Arial" w:hAnsi="Arial" w:cs="Arial"/>
                <w:b/>
                <w:bCs/>
                <w:sz w:val="18"/>
                <w:szCs w:val="18"/>
              </w:rPr>
            </w:pPr>
            <w:r w:rsidRPr="007874DB">
              <w:rPr>
                <w:rFonts w:ascii="Arial" w:eastAsia="Arial" w:hAnsi="Arial" w:cs="Arial"/>
                <w:b/>
                <w:bCs/>
                <w:sz w:val="18"/>
                <w:szCs w:val="18"/>
              </w:rPr>
              <w:t>3</w:t>
            </w:r>
          </w:p>
        </w:tc>
        <w:tc>
          <w:tcPr>
            <w:tcW w:w="2685"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6430BDD9"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Presuncional legal y humana</w:t>
            </w:r>
          </w:p>
        </w:tc>
        <w:tc>
          <w:tcPr>
            <w:tcW w:w="6269"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3CF017A2"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Todo lo que por su contenido y alcance favorezca a sus intereses.</w:t>
            </w:r>
          </w:p>
        </w:tc>
      </w:tr>
    </w:tbl>
    <w:p w14:paraId="6F8754A2" w14:textId="77777777" w:rsidR="00F42EE6" w:rsidRPr="0087045B" w:rsidRDefault="00F42EE6" w:rsidP="0087045B">
      <w:pPr>
        <w:pStyle w:val="Sinespaciado"/>
        <w:rPr>
          <w:rFonts w:eastAsia="Arial"/>
        </w:rPr>
      </w:pPr>
    </w:p>
    <w:p w14:paraId="2E1E7D26" w14:textId="04E56604" w:rsidR="006C1DC5" w:rsidRDefault="00781BFC" w:rsidP="0087045B">
      <w:pPr>
        <w:tabs>
          <w:tab w:val="left" w:pos="284"/>
        </w:tabs>
        <w:spacing w:before="240" w:line="360" w:lineRule="auto"/>
        <w:jc w:val="both"/>
        <w:rPr>
          <w:rFonts w:ascii="Arial" w:eastAsia="Arial" w:hAnsi="Arial" w:cs="Arial"/>
          <w:b/>
          <w:sz w:val="24"/>
          <w:szCs w:val="24"/>
        </w:rPr>
      </w:pPr>
      <w:r>
        <w:rPr>
          <w:rFonts w:ascii="Arial" w:eastAsia="Arial" w:hAnsi="Arial" w:cs="Arial"/>
          <w:b/>
          <w:sz w:val="24"/>
          <w:szCs w:val="24"/>
        </w:rPr>
        <w:t>3.2. Pruebas aportadas por la Senadora denunciada</w:t>
      </w:r>
    </w:p>
    <w:tbl>
      <w:tblPr>
        <w:tblStyle w:val="a1"/>
        <w:tblW w:w="962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685"/>
        <w:gridCol w:w="6254"/>
      </w:tblGrid>
      <w:tr w:rsidR="006C1DC5" w14:paraId="4209C323" w14:textId="77777777" w:rsidTr="0087045B">
        <w:trPr>
          <w:trHeight w:val="240"/>
        </w:trPr>
        <w:tc>
          <w:tcPr>
            <w:tcW w:w="690" w:type="dxa"/>
            <w:tcBorders>
              <w:top w:val="single" w:sz="8" w:space="0" w:color="A5A5A5"/>
              <w:left w:val="single" w:sz="8" w:space="0" w:color="A5A5A5"/>
              <w:bottom w:val="single" w:sz="8" w:space="0" w:color="A5A5A5"/>
              <w:right w:val="nil"/>
            </w:tcBorders>
            <w:shd w:val="clear" w:color="auto" w:fill="A5A5A5"/>
            <w:tcMar>
              <w:top w:w="100" w:type="dxa"/>
              <w:left w:w="100" w:type="dxa"/>
              <w:bottom w:w="100" w:type="dxa"/>
              <w:right w:w="100" w:type="dxa"/>
            </w:tcMar>
          </w:tcPr>
          <w:p w14:paraId="62B3F7B7" w14:textId="77777777" w:rsidR="006C1DC5" w:rsidRDefault="00781BFC">
            <w:pPr>
              <w:tabs>
                <w:tab w:val="left" w:pos="284"/>
              </w:tabs>
              <w:jc w:val="center"/>
              <w:rPr>
                <w:rFonts w:ascii="Arial" w:eastAsia="Arial" w:hAnsi="Arial" w:cs="Arial"/>
                <w:b/>
                <w:sz w:val="18"/>
                <w:szCs w:val="18"/>
              </w:rPr>
            </w:pPr>
            <w:r>
              <w:rPr>
                <w:rFonts w:ascii="Arial" w:eastAsia="Arial" w:hAnsi="Arial" w:cs="Arial"/>
                <w:b/>
                <w:sz w:val="18"/>
                <w:szCs w:val="18"/>
              </w:rPr>
              <w:t>#</w:t>
            </w:r>
          </w:p>
        </w:tc>
        <w:tc>
          <w:tcPr>
            <w:tcW w:w="2685" w:type="dxa"/>
            <w:tcBorders>
              <w:top w:val="single" w:sz="8" w:space="0" w:color="A5A5A5"/>
              <w:left w:val="nil"/>
              <w:bottom w:val="single" w:sz="8" w:space="0" w:color="A5A5A5"/>
              <w:right w:val="nil"/>
            </w:tcBorders>
            <w:shd w:val="clear" w:color="auto" w:fill="A5A5A5"/>
            <w:tcMar>
              <w:top w:w="100" w:type="dxa"/>
              <w:left w:w="100" w:type="dxa"/>
              <w:bottom w:w="100" w:type="dxa"/>
              <w:right w:w="100" w:type="dxa"/>
            </w:tcMar>
          </w:tcPr>
          <w:p w14:paraId="2D330A50" w14:textId="77777777" w:rsidR="006C1DC5" w:rsidRDefault="00781BFC">
            <w:pPr>
              <w:tabs>
                <w:tab w:val="left" w:pos="284"/>
              </w:tabs>
              <w:jc w:val="center"/>
              <w:rPr>
                <w:rFonts w:ascii="Arial" w:eastAsia="Arial" w:hAnsi="Arial" w:cs="Arial"/>
                <w:b/>
                <w:sz w:val="18"/>
                <w:szCs w:val="18"/>
              </w:rPr>
            </w:pPr>
            <w:r>
              <w:rPr>
                <w:rFonts w:ascii="Arial" w:eastAsia="Arial" w:hAnsi="Arial" w:cs="Arial"/>
                <w:b/>
                <w:sz w:val="18"/>
                <w:szCs w:val="18"/>
              </w:rPr>
              <w:t>Prueba</w:t>
            </w:r>
          </w:p>
        </w:tc>
        <w:tc>
          <w:tcPr>
            <w:tcW w:w="6254" w:type="dxa"/>
            <w:tcBorders>
              <w:top w:val="single" w:sz="8" w:space="0" w:color="A5A5A5"/>
              <w:left w:val="nil"/>
              <w:bottom w:val="single" w:sz="8" w:space="0" w:color="A5A5A5"/>
              <w:right w:val="single" w:sz="8" w:space="0" w:color="A5A5A5"/>
            </w:tcBorders>
            <w:shd w:val="clear" w:color="auto" w:fill="A5A5A5"/>
            <w:tcMar>
              <w:top w:w="100" w:type="dxa"/>
              <w:left w:w="100" w:type="dxa"/>
              <w:bottom w:w="100" w:type="dxa"/>
              <w:right w:w="100" w:type="dxa"/>
            </w:tcMar>
          </w:tcPr>
          <w:p w14:paraId="1A1F68F2" w14:textId="77777777" w:rsidR="006C1DC5" w:rsidRDefault="00781BFC">
            <w:pPr>
              <w:tabs>
                <w:tab w:val="left" w:pos="284"/>
              </w:tabs>
              <w:jc w:val="center"/>
              <w:rPr>
                <w:rFonts w:ascii="Arial" w:eastAsia="Arial" w:hAnsi="Arial" w:cs="Arial"/>
                <w:b/>
                <w:sz w:val="18"/>
                <w:szCs w:val="18"/>
              </w:rPr>
            </w:pPr>
            <w:r>
              <w:rPr>
                <w:rFonts w:ascii="Arial" w:eastAsia="Arial" w:hAnsi="Arial" w:cs="Arial"/>
                <w:b/>
                <w:sz w:val="18"/>
                <w:szCs w:val="18"/>
              </w:rPr>
              <w:t>Consistente en</w:t>
            </w:r>
          </w:p>
        </w:tc>
      </w:tr>
      <w:tr w:rsidR="006C1DC5" w14:paraId="4034DBCA" w14:textId="77777777" w:rsidTr="0087045B">
        <w:trPr>
          <w:trHeight w:val="25"/>
        </w:trPr>
        <w:tc>
          <w:tcPr>
            <w:tcW w:w="690" w:type="dxa"/>
            <w:tcBorders>
              <w:top w:val="nil"/>
              <w:left w:val="single" w:sz="8" w:space="0" w:color="C9C9C9"/>
              <w:bottom w:val="single" w:sz="8" w:space="0" w:color="C9C9C9"/>
              <w:right w:val="single" w:sz="8" w:space="0" w:color="C9C9C9"/>
            </w:tcBorders>
            <w:shd w:val="clear" w:color="auto" w:fill="EDEDED"/>
            <w:tcMar>
              <w:top w:w="100" w:type="dxa"/>
              <w:left w:w="100" w:type="dxa"/>
              <w:bottom w:w="100" w:type="dxa"/>
              <w:right w:w="100" w:type="dxa"/>
            </w:tcMar>
          </w:tcPr>
          <w:p w14:paraId="0B8FEA8A" w14:textId="77777777" w:rsidR="006C1DC5" w:rsidRPr="007874DB" w:rsidRDefault="00781BFC">
            <w:pPr>
              <w:tabs>
                <w:tab w:val="left" w:pos="284"/>
              </w:tabs>
              <w:jc w:val="center"/>
              <w:rPr>
                <w:rFonts w:ascii="Arial" w:eastAsia="Arial" w:hAnsi="Arial" w:cs="Arial"/>
                <w:b/>
                <w:bCs/>
                <w:sz w:val="18"/>
                <w:szCs w:val="18"/>
              </w:rPr>
            </w:pPr>
            <w:r w:rsidRPr="007874DB">
              <w:rPr>
                <w:rFonts w:ascii="Arial" w:eastAsia="Arial" w:hAnsi="Arial" w:cs="Arial"/>
                <w:b/>
                <w:bCs/>
                <w:sz w:val="18"/>
                <w:szCs w:val="18"/>
              </w:rPr>
              <w:t>1</w:t>
            </w:r>
          </w:p>
        </w:tc>
        <w:tc>
          <w:tcPr>
            <w:tcW w:w="2685"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2B2554ED" w14:textId="77777777" w:rsidR="006C1DC5" w:rsidRDefault="00781BFC">
            <w:pPr>
              <w:tabs>
                <w:tab w:val="left" w:pos="284"/>
              </w:tabs>
              <w:jc w:val="both"/>
              <w:rPr>
                <w:rFonts w:ascii="Arial" w:eastAsia="Arial" w:hAnsi="Arial" w:cs="Arial"/>
                <w:sz w:val="18"/>
                <w:szCs w:val="18"/>
              </w:rPr>
            </w:pPr>
            <w:r>
              <w:rPr>
                <w:rFonts w:ascii="Arial" w:eastAsia="Arial" w:hAnsi="Arial" w:cs="Arial"/>
                <w:sz w:val="18"/>
                <w:szCs w:val="18"/>
              </w:rPr>
              <w:t>Instrumental de actuaciones</w:t>
            </w:r>
          </w:p>
        </w:tc>
        <w:tc>
          <w:tcPr>
            <w:tcW w:w="6254"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5237C2B1" w14:textId="77777777" w:rsidR="006C1DC5" w:rsidRDefault="00781BFC">
            <w:pPr>
              <w:tabs>
                <w:tab w:val="left" w:pos="284"/>
              </w:tabs>
              <w:jc w:val="both"/>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6C1DC5" w14:paraId="17916436" w14:textId="77777777" w:rsidTr="0087045B">
        <w:trPr>
          <w:trHeight w:val="178"/>
        </w:trPr>
        <w:tc>
          <w:tcPr>
            <w:tcW w:w="690" w:type="dxa"/>
            <w:tcBorders>
              <w:top w:val="nil"/>
              <w:left w:val="single" w:sz="8" w:space="0" w:color="C9C9C9"/>
              <w:bottom w:val="single" w:sz="8" w:space="0" w:color="C9C9C9"/>
              <w:right w:val="single" w:sz="8" w:space="0" w:color="C9C9C9"/>
            </w:tcBorders>
            <w:tcMar>
              <w:top w:w="100" w:type="dxa"/>
              <w:left w:w="100" w:type="dxa"/>
              <w:bottom w:w="100" w:type="dxa"/>
              <w:right w:w="100" w:type="dxa"/>
            </w:tcMar>
          </w:tcPr>
          <w:p w14:paraId="46E0A5E8" w14:textId="77777777" w:rsidR="006C1DC5" w:rsidRPr="007874DB" w:rsidRDefault="00781BFC">
            <w:pPr>
              <w:tabs>
                <w:tab w:val="left" w:pos="284"/>
              </w:tabs>
              <w:jc w:val="center"/>
              <w:rPr>
                <w:rFonts w:ascii="Arial" w:eastAsia="Arial" w:hAnsi="Arial" w:cs="Arial"/>
                <w:b/>
                <w:bCs/>
                <w:sz w:val="18"/>
                <w:szCs w:val="18"/>
              </w:rPr>
            </w:pPr>
            <w:r w:rsidRPr="007874DB">
              <w:rPr>
                <w:rFonts w:ascii="Arial" w:eastAsia="Arial" w:hAnsi="Arial" w:cs="Arial"/>
                <w:b/>
                <w:bCs/>
                <w:sz w:val="18"/>
                <w:szCs w:val="18"/>
              </w:rPr>
              <w:t>2</w:t>
            </w:r>
          </w:p>
        </w:tc>
        <w:tc>
          <w:tcPr>
            <w:tcW w:w="2685" w:type="dxa"/>
            <w:tcBorders>
              <w:top w:val="nil"/>
              <w:left w:val="nil"/>
              <w:bottom w:val="single" w:sz="8" w:space="0" w:color="C9C9C9"/>
              <w:right w:val="single" w:sz="8" w:space="0" w:color="C9C9C9"/>
            </w:tcBorders>
            <w:tcMar>
              <w:top w:w="100" w:type="dxa"/>
              <w:left w:w="100" w:type="dxa"/>
              <w:bottom w:w="100" w:type="dxa"/>
              <w:right w:w="100" w:type="dxa"/>
            </w:tcMar>
          </w:tcPr>
          <w:p w14:paraId="334980BC" w14:textId="77777777" w:rsidR="006C1DC5" w:rsidRDefault="00781BFC">
            <w:pPr>
              <w:tabs>
                <w:tab w:val="left" w:pos="284"/>
              </w:tabs>
              <w:jc w:val="both"/>
              <w:rPr>
                <w:rFonts w:ascii="Arial" w:eastAsia="Arial" w:hAnsi="Arial" w:cs="Arial"/>
                <w:sz w:val="18"/>
                <w:szCs w:val="18"/>
              </w:rPr>
            </w:pPr>
            <w:r>
              <w:rPr>
                <w:rFonts w:ascii="Arial" w:eastAsia="Arial" w:hAnsi="Arial" w:cs="Arial"/>
                <w:sz w:val="18"/>
                <w:szCs w:val="18"/>
              </w:rPr>
              <w:t>Presuncional legal y humana</w:t>
            </w:r>
          </w:p>
        </w:tc>
        <w:tc>
          <w:tcPr>
            <w:tcW w:w="6254" w:type="dxa"/>
            <w:tcBorders>
              <w:top w:val="nil"/>
              <w:left w:val="nil"/>
              <w:bottom w:val="single" w:sz="8" w:space="0" w:color="C9C9C9"/>
              <w:right w:val="single" w:sz="8" w:space="0" w:color="C9C9C9"/>
            </w:tcBorders>
            <w:tcMar>
              <w:top w:w="100" w:type="dxa"/>
              <w:left w:w="100" w:type="dxa"/>
              <w:bottom w:w="100" w:type="dxa"/>
              <w:right w:w="100" w:type="dxa"/>
            </w:tcMar>
          </w:tcPr>
          <w:p w14:paraId="25DC82C4" w14:textId="77777777" w:rsidR="006C1DC5" w:rsidRDefault="00781BFC">
            <w:pPr>
              <w:tabs>
                <w:tab w:val="left" w:pos="284"/>
              </w:tabs>
              <w:jc w:val="both"/>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AB61928" w14:textId="0540979C" w:rsidR="006C1DC5" w:rsidRDefault="00781BFC" w:rsidP="0087045B">
      <w:pPr>
        <w:tabs>
          <w:tab w:val="left" w:pos="284"/>
        </w:tabs>
        <w:spacing w:before="240" w:line="360" w:lineRule="auto"/>
        <w:jc w:val="both"/>
        <w:rPr>
          <w:rFonts w:ascii="Arial" w:eastAsia="Arial" w:hAnsi="Arial" w:cs="Arial"/>
          <w:b/>
          <w:sz w:val="24"/>
          <w:szCs w:val="24"/>
        </w:rPr>
      </w:pPr>
      <w:r>
        <w:rPr>
          <w:rFonts w:ascii="Arial" w:eastAsia="Arial" w:hAnsi="Arial" w:cs="Arial"/>
          <w:b/>
          <w:sz w:val="24"/>
          <w:szCs w:val="24"/>
        </w:rPr>
        <w:t>3.3. Pruebas aportadas por el PT:</w:t>
      </w:r>
    </w:p>
    <w:tbl>
      <w:tblPr>
        <w:tblStyle w:val="a2"/>
        <w:tblW w:w="962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685"/>
        <w:gridCol w:w="6254"/>
      </w:tblGrid>
      <w:tr w:rsidR="006C1DC5" w14:paraId="59B76984" w14:textId="77777777" w:rsidTr="0087045B">
        <w:trPr>
          <w:trHeight w:val="20"/>
        </w:trPr>
        <w:tc>
          <w:tcPr>
            <w:tcW w:w="690" w:type="dxa"/>
            <w:tcBorders>
              <w:top w:val="single" w:sz="8" w:space="0" w:color="A5A5A5"/>
              <w:left w:val="single" w:sz="8" w:space="0" w:color="A5A5A5"/>
              <w:bottom w:val="single" w:sz="8" w:space="0" w:color="A5A5A5"/>
              <w:right w:val="nil"/>
            </w:tcBorders>
            <w:shd w:val="clear" w:color="auto" w:fill="A5A5A5"/>
            <w:tcMar>
              <w:top w:w="100" w:type="dxa"/>
              <w:left w:w="100" w:type="dxa"/>
              <w:bottom w:w="100" w:type="dxa"/>
              <w:right w:w="100" w:type="dxa"/>
            </w:tcMar>
          </w:tcPr>
          <w:p w14:paraId="36F00AAB" w14:textId="77777777" w:rsidR="006C1DC5" w:rsidRPr="0087045B" w:rsidRDefault="00781BFC" w:rsidP="0087045B">
            <w:pPr>
              <w:pStyle w:val="Sinespaciado"/>
              <w:jc w:val="center"/>
              <w:rPr>
                <w:rFonts w:ascii="Arial" w:eastAsia="Arial" w:hAnsi="Arial" w:cs="Arial"/>
                <w:b/>
                <w:bCs/>
                <w:sz w:val="18"/>
                <w:szCs w:val="18"/>
              </w:rPr>
            </w:pPr>
            <w:r w:rsidRPr="0087045B">
              <w:rPr>
                <w:rFonts w:ascii="Arial" w:eastAsia="Arial" w:hAnsi="Arial" w:cs="Arial"/>
                <w:b/>
                <w:bCs/>
                <w:sz w:val="18"/>
                <w:szCs w:val="18"/>
              </w:rPr>
              <w:t>#</w:t>
            </w:r>
          </w:p>
        </w:tc>
        <w:tc>
          <w:tcPr>
            <w:tcW w:w="2685" w:type="dxa"/>
            <w:tcBorders>
              <w:top w:val="single" w:sz="8" w:space="0" w:color="A5A5A5"/>
              <w:left w:val="nil"/>
              <w:bottom w:val="single" w:sz="8" w:space="0" w:color="A5A5A5"/>
              <w:right w:val="nil"/>
            </w:tcBorders>
            <w:shd w:val="clear" w:color="auto" w:fill="A5A5A5"/>
            <w:tcMar>
              <w:top w:w="100" w:type="dxa"/>
              <w:left w:w="100" w:type="dxa"/>
              <w:bottom w:w="100" w:type="dxa"/>
              <w:right w:w="100" w:type="dxa"/>
            </w:tcMar>
          </w:tcPr>
          <w:p w14:paraId="31D614C5" w14:textId="77777777" w:rsidR="006C1DC5" w:rsidRPr="0087045B" w:rsidRDefault="00781BFC" w:rsidP="0087045B">
            <w:pPr>
              <w:pStyle w:val="Sinespaciado"/>
              <w:jc w:val="center"/>
              <w:rPr>
                <w:rFonts w:ascii="Arial" w:eastAsia="Arial" w:hAnsi="Arial" w:cs="Arial"/>
                <w:b/>
                <w:bCs/>
                <w:sz w:val="18"/>
                <w:szCs w:val="18"/>
              </w:rPr>
            </w:pPr>
            <w:r w:rsidRPr="0087045B">
              <w:rPr>
                <w:rFonts w:ascii="Arial" w:eastAsia="Arial" w:hAnsi="Arial" w:cs="Arial"/>
                <w:b/>
                <w:bCs/>
                <w:sz w:val="18"/>
                <w:szCs w:val="18"/>
              </w:rPr>
              <w:t>Prueba</w:t>
            </w:r>
          </w:p>
        </w:tc>
        <w:tc>
          <w:tcPr>
            <w:tcW w:w="6254" w:type="dxa"/>
            <w:tcBorders>
              <w:top w:val="single" w:sz="8" w:space="0" w:color="A5A5A5"/>
              <w:left w:val="nil"/>
              <w:bottom w:val="single" w:sz="8" w:space="0" w:color="A5A5A5"/>
              <w:right w:val="single" w:sz="8" w:space="0" w:color="A5A5A5"/>
            </w:tcBorders>
            <w:shd w:val="clear" w:color="auto" w:fill="A5A5A5"/>
            <w:tcMar>
              <w:top w:w="100" w:type="dxa"/>
              <w:left w:w="100" w:type="dxa"/>
              <w:bottom w:w="100" w:type="dxa"/>
              <w:right w:w="100" w:type="dxa"/>
            </w:tcMar>
          </w:tcPr>
          <w:p w14:paraId="7CE78A73" w14:textId="77777777" w:rsidR="006C1DC5" w:rsidRPr="0087045B" w:rsidRDefault="00781BFC" w:rsidP="0087045B">
            <w:pPr>
              <w:pStyle w:val="Sinespaciado"/>
              <w:jc w:val="center"/>
              <w:rPr>
                <w:rFonts w:ascii="Arial" w:eastAsia="Arial" w:hAnsi="Arial" w:cs="Arial"/>
                <w:b/>
                <w:bCs/>
                <w:sz w:val="18"/>
                <w:szCs w:val="18"/>
              </w:rPr>
            </w:pPr>
            <w:r w:rsidRPr="0087045B">
              <w:rPr>
                <w:rFonts w:ascii="Arial" w:eastAsia="Arial" w:hAnsi="Arial" w:cs="Arial"/>
                <w:b/>
                <w:bCs/>
                <w:sz w:val="18"/>
                <w:szCs w:val="18"/>
              </w:rPr>
              <w:t>Consistente en</w:t>
            </w:r>
          </w:p>
        </w:tc>
      </w:tr>
      <w:tr w:rsidR="006C1DC5" w14:paraId="6AC5E4A5" w14:textId="77777777" w:rsidTr="00C50429">
        <w:trPr>
          <w:trHeight w:val="292"/>
        </w:trPr>
        <w:tc>
          <w:tcPr>
            <w:tcW w:w="690" w:type="dxa"/>
            <w:tcBorders>
              <w:top w:val="nil"/>
              <w:left w:val="single" w:sz="8" w:space="0" w:color="C9C9C9"/>
              <w:bottom w:val="single" w:sz="8" w:space="0" w:color="C9C9C9"/>
              <w:right w:val="single" w:sz="8" w:space="0" w:color="C9C9C9"/>
            </w:tcBorders>
            <w:shd w:val="clear" w:color="auto" w:fill="EDEDED"/>
            <w:tcMar>
              <w:top w:w="100" w:type="dxa"/>
              <w:left w:w="100" w:type="dxa"/>
              <w:bottom w:w="100" w:type="dxa"/>
              <w:right w:w="100" w:type="dxa"/>
            </w:tcMar>
          </w:tcPr>
          <w:p w14:paraId="6C57E403" w14:textId="77777777" w:rsidR="006C1DC5" w:rsidRPr="0087045B" w:rsidRDefault="00781BFC" w:rsidP="0087045B">
            <w:pPr>
              <w:pStyle w:val="Sinespaciado"/>
              <w:rPr>
                <w:rFonts w:ascii="Arial" w:eastAsia="Arial" w:hAnsi="Arial" w:cs="Arial"/>
                <w:bCs/>
                <w:sz w:val="18"/>
                <w:szCs w:val="18"/>
              </w:rPr>
            </w:pPr>
            <w:r w:rsidRPr="0087045B">
              <w:rPr>
                <w:rFonts w:ascii="Arial" w:eastAsia="Arial" w:hAnsi="Arial" w:cs="Arial"/>
                <w:bCs/>
                <w:sz w:val="18"/>
                <w:szCs w:val="18"/>
              </w:rPr>
              <w:t>1</w:t>
            </w:r>
          </w:p>
        </w:tc>
        <w:tc>
          <w:tcPr>
            <w:tcW w:w="2685"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02D338FC"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Documental privada</w:t>
            </w:r>
          </w:p>
        </w:tc>
        <w:tc>
          <w:tcPr>
            <w:tcW w:w="6254" w:type="dxa"/>
            <w:tcBorders>
              <w:top w:val="nil"/>
              <w:left w:val="nil"/>
              <w:bottom w:val="single" w:sz="8" w:space="0" w:color="C9C9C9"/>
              <w:right w:val="single" w:sz="8" w:space="0" w:color="C9C9C9"/>
            </w:tcBorders>
            <w:shd w:val="clear" w:color="auto" w:fill="EDEDED"/>
            <w:tcMar>
              <w:top w:w="100" w:type="dxa"/>
              <w:left w:w="100" w:type="dxa"/>
              <w:bottom w:w="100" w:type="dxa"/>
              <w:right w:w="100" w:type="dxa"/>
            </w:tcMar>
          </w:tcPr>
          <w:p w14:paraId="7C3DD29E" w14:textId="77777777" w:rsidR="006C1DC5" w:rsidRPr="0087045B" w:rsidRDefault="00781BFC" w:rsidP="0087045B">
            <w:pPr>
              <w:pStyle w:val="Sinespaciado"/>
              <w:rPr>
                <w:rFonts w:ascii="Arial" w:eastAsia="Arial" w:hAnsi="Arial" w:cs="Arial"/>
                <w:sz w:val="18"/>
                <w:szCs w:val="18"/>
              </w:rPr>
            </w:pPr>
            <w:r w:rsidRPr="0087045B">
              <w:rPr>
                <w:rFonts w:ascii="Arial" w:eastAsia="Arial" w:hAnsi="Arial" w:cs="Arial"/>
                <w:sz w:val="18"/>
                <w:szCs w:val="18"/>
              </w:rPr>
              <w:t>Copia simple de credencial de elector y copia simple de acreditación como representante del PT ante el Instituto Local.</w:t>
            </w:r>
          </w:p>
        </w:tc>
      </w:tr>
    </w:tbl>
    <w:p w14:paraId="44E1786A" w14:textId="77777777" w:rsidR="006C1DC5" w:rsidRDefault="006C1DC5" w:rsidP="00F42EE6">
      <w:pPr>
        <w:pStyle w:val="Sinespaciado"/>
        <w:rPr>
          <w:rFonts w:eastAsia="Arial"/>
        </w:rPr>
      </w:pPr>
    </w:p>
    <w:p w14:paraId="18D558B2" w14:textId="2D4FDD66" w:rsidR="006C1DC5" w:rsidRDefault="00781BFC">
      <w:pPr>
        <w:tabs>
          <w:tab w:val="left" w:pos="284"/>
        </w:tabs>
        <w:spacing w:before="240" w:after="240" w:line="360" w:lineRule="auto"/>
        <w:jc w:val="both"/>
        <w:rPr>
          <w:rFonts w:ascii="Arial" w:eastAsia="Arial" w:hAnsi="Arial" w:cs="Arial"/>
          <w:sz w:val="24"/>
          <w:szCs w:val="24"/>
        </w:rPr>
      </w:pPr>
      <w:r>
        <w:rPr>
          <w:rFonts w:ascii="Arial" w:eastAsia="Arial" w:hAnsi="Arial" w:cs="Arial"/>
          <w:b/>
          <w:sz w:val="24"/>
          <w:szCs w:val="24"/>
        </w:rPr>
        <w:lastRenderedPageBreak/>
        <w:t>3.</w:t>
      </w:r>
      <w:r w:rsidR="00F42EE6">
        <w:rPr>
          <w:rFonts w:ascii="Arial" w:eastAsia="Arial" w:hAnsi="Arial" w:cs="Arial"/>
          <w:b/>
          <w:sz w:val="24"/>
          <w:szCs w:val="24"/>
        </w:rPr>
        <w:t>4</w:t>
      </w:r>
      <w:r>
        <w:rPr>
          <w:rFonts w:ascii="Arial" w:eastAsia="Arial" w:hAnsi="Arial" w:cs="Arial"/>
          <w:b/>
          <w:sz w:val="24"/>
          <w:szCs w:val="24"/>
        </w:rPr>
        <w:t xml:space="preserve">. Valoración de pruebas. </w:t>
      </w:r>
      <w:r>
        <w:rPr>
          <w:rFonts w:ascii="Arial" w:eastAsia="Arial" w:hAnsi="Arial" w:cs="Arial"/>
          <w:sz w:val="24"/>
          <w:szCs w:val="24"/>
        </w:rPr>
        <w:t>Las pruebas antes descritas, se valoran conforme al Código Electoral</w:t>
      </w:r>
      <w:r>
        <w:rPr>
          <w:rFonts w:ascii="Arial" w:eastAsia="Arial" w:hAnsi="Arial" w:cs="Arial"/>
          <w:sz w:val="24"/>
          <w:szCs w:val="24"/>
          <w:vertAlign w:val="superscript"/>
        </w:rPr>
        <w:footnoteReference w:id="4"/>
      </w:r>
      <w:r>
        <w:rPr>
          <w:rFonts w:ascii="Arial" w:eastAsia="Arial" w:hAnsi="Arial" w:cs="Arial"/>
          <w:sz w:val="24"/>
          <w:szCs w:val="24"/>
        </w:rPr>
        <w:t>.</w:t>
      </w:r>
    </w:p>
    <w:p w14:paraId="4BB86481" w14:textId="77777777" w:rsidR="006C1DC5" w:rsidRDefault="00781BFC" w:rsidP="0087045B">
      <w:pPr>
        <w:tabs>
          <w:tab w:val="left" w:pos="284"/>
        </w:tabs>
        <w:spacing w:before="240" w:line="360" w:lineRule="auto"/>
        <w:ind w:right="40"/>
        <w:jc w:val="both"/>
        <w:rPr>
          <w:rFonts w:ascii="Arial" w:eastAsia="Arial" w:hAnsi="Arial" w:cs="Arial"/>
          <w:sz w:val="24"/>
          <w:szCs w:val="24"/>
          <w:highlight w:val="yellow"/>
        </w:rPr>
      </w:pPr>
      <w:r>
        <w:rPr>
          <w:rFonts w:ascii="Arial" w:eastAsia="Arial" w:hAnsi="Arial" w:cs="Arial"/>
          <w:b/>
          <w:sz w:val="24"/>
          <w:szCs w:val="24"/>
        </w:rPr>
        <w:t xml:space="preserve">4. Hechos acreditados. </w:t>
      </w:r>
      <w:r>
        <w:rPr>
          <w:rFonts w:ascii="Arial" w:eastAsia="Arial" w:hAnsi="Arial" w:cs="Arial"/>
          <w:sz w:val="24"/>
          <w:szCs w:val="24"/>
        </w:rPr>
        <w:t>Los hechos relacionados con la controversia que han quedado acreditados, conforme a la relación de las pruebas, son los siguientes:</w:t>
      </w:r>
    </w:p>
    <w:p w14:paraId="7BF47968" w14:textId="77777777" w:rsidR="006C1DC5" w:rsidRDefault="00781BFC">
      <w:pPr>
        <w:tabs>
          <w:tab w:val="left" w:pos="284"/>
        </w:tabs>
        <w:spacing w:line="360" w:lineRule="auto"/>
        <w:ind w:right="40"/>
        <w:jc w:val="both"/>
        <w:rPr>
          <w:rFonts w:ascii="Arial" w:eastAsia="Arial" w:hAnsi="Arial" w:cs="Arial"/>
          <w:sz w:val="24"/>
          <w:szCs w:val="24"/>
        </w:rPr>
      </w:pPr>
      <w:r>
        <w:rPr>
          <w:rFonts w:ascii="Noto Sans Symbols" w:eastAsia="Noto Sans Symbols" w:hAnsi="Noto Sans Symbols" w:cs="Noto Sans Symbols"/>
          <w:sz w:val="22"/>
          <w:szCs w:val="22"/>
        </w:rPr>
        <w:t>●</w:t>
      </w:r>
      <w:r>
        <w:rPr>
          <w:sz w:val="14"/>
          <w:szCs w:val="14"/>
        </w:rPr>
        <w:t xml:space="preserve">     </w:t>
      </w:r>
      <w:r>
        <w:rPr>
          <w:rFonts w:ascii="Arial" w:eastAsia="Arial" w:hAnsi="Arial" w:cs="Arial"/>
          <w:sz w:val="24"/>
          <w:szCs w:val="24"/>
        </w:rPr>
        <w:t>La calidad de Martha Cecilia Márquez Alvarado como Senadora de la República, al día en que presentó la proposición con punto de acuerdo denunciada.</w:t>
      </w:r>
    </w:p>
    <w:p w14:paraId="4B7EC5E9" w14:textId="6BED4CCC" w:rsidR="006C1DC5" w:rsidRPr="00F42EE6" w:rsidRDefault="00781BFC" w:rsidP="0087045B">
      <w:pPr>
        <w:tabs>
          <w:tab w:val="left" w:pos="284"/>
        </w:tabs>
        <w:spacing w:after="240" w:line="360" w:lineRule="auto"/>
        <w:ind w:right="40"/>
        <w:jc w:val="both"/>
        <w:rPr>
          <w:rFonts w:ascii="Arial" w:eastAsia="Arial" w:hAnsi="Arial" w:cs="Arial"/>
          <w:sz w:val="24"/>
          <w:szCs w:val="24"/>
        </w:rPr>
      </w:pPr>
      <w:r>
        <w:rPr>
          <w:rFonts w:ascii="Noto Sans Symbols" w:eastAsia="Noto Sans Symbols" w:hAnsi="Noto Sans Symbols" w:cs="Noto Sans Symbols"/>
          <w:sz w:val="22"/>
          <w:szCs w:val="22"/>
        </w:rPr>
        <w:t>●</w:t>
      </w:r>
      <w:r>
        <w:rPr>
          <w:sz w:val="14"/>
          <w:szCs w:val="14"/>
        </w:rPr>
        <w:t xml:space="preserve">     </w:t>
      </w:r>
      <w:r>
        <w:rPr>
          <w:rFonts w:ascii="Arial" w:eastAsia="Arial" w:hAnsi="Arial" w:cs="Arial"/>
          <w:sz w:val="24"/>
          <w:szCs w:val="24"/>
        </w:rPr>
        <w:t>La celebración de la Sesión Ordinaria del Senado de la República del 22 de febrero de 2022, en la que la Senadora denunciada presentó la proposición con punto de acuerdo cuestionada.</w:t>
      </w:r>
    </w:p>
    <w:p w14:paraId="597B4FCA" w14:textId="77777777" w:rsidR="006C1DC5" w:rsidRDefault="00781BFC">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III. Análisis preliminar</w:t>
      </w:r>
    </w:p>
    <w:p w14:paraId="6AB0D18C" w14:textId="77777777" w:rsidR="006C1DC5" w:rsidRDefault="006C1DC5" w:rsidP="00C50429">
      <w:pPr>
        <w:pStyle w:val="Sinespaciado"/>
        <w:rPr>
          <w:rFonts w:eastAsia="Arial"/>
        </w:rPr>
      </w:pPr>
    </w:p>
    <w:p w14:paraId="1C63C78C" w14:textId="77777777" w:rsidR="006C1DC5" w:rsidRDefault="00781BFC">
      <w:pPr>
        <w:tabs>
          <w:tab w:val="left" w:pos="426"/>
        </w:tabs>
        <w:spacing w:line="360" w:lineRule="auto"/>
        <w:ind w:right="40"/>
        <w:jc w:val="both"/>
        <w:rPr>
          <w:rFonts w:ascii="Arial" w:eastAsia="Arial" w:hAnsi="Arial" w:cs="Arial"/>
          <w:sz w:val="24"/>
          <w:szCs w:val="24"/>
        </w:rPr>
      </w:pPr>
      <w:r>
        <w:rPr>
          <w:rFonts w:ascii="Arial" w:eastAsia="Arial" w:hAnsi="Arial" w:cs="Arial"/>
          <w:b/>
          <w:sz w:val="24"/>
          <w:szCs w:val="24"/>
        </w:rPr>
        <w:t>a) Pretensión y planteamientos.</w:t>
      </w:r>
      <w:r>
        <w:rPr>
          <w:rFonts w:ascii="Arial" w:eastAsia="Arial" w:hAnsi="Arial" w:cs="Arial"/>
          <w:sz w:val="24"/>
          <w:szCs w:val="24"/>
        </w:rPr>
        <w:t xml:space="preserve"> La parte quejosa pretende que este Tribunal acredite las infracciones relativas a los actos anticipados de campaña, calumnia y la vulneración al artículo 134 de la Constitución Federal, a partir de las expresiones que emitió la parte denunciada, en su carácter de Senadora de la República en el curso de una Sesión Ordinaria dentro del marco del órgano legislativo.  </w:t>
      </w:r>
    </w:p>
    <w:p w14:paraId="3AEAF79D" w14:textId="77777777" w:rsidR="006C1DC5" w:rsidRDefault="006C1DC5">
      <w:pPr>
        <w:pBdr>
          <w:top w:val="nil"/>
          <w:left w:val="nil"/>
          <w:bottom w:val="nil"/>
          <w:right w:val="nil"/>
          <w:between w:val="nil"/>
        </w:pBdr>
        <w:rPr>
          <w:color w:val="000000"/>
          <w:sz w:val="14"/>
          <w:szCs w:val="14"/>
        </w:rPr>
      </w:pPr>
    </w:p>
    <w:p w14:paraId="6F8BD281" w14:textId="77777777" w:rsidR="0087045B" w:rsidRDefault="00781BFC">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sz w:val="24"/>
          <w:szCs w:val="24"/>
        </w:rPr>
        <w:t xml:space="preserve">b) </w:t>
      </w:r>
      <w:r>
        <w:rPr>
          <w:rFonts w:ascii="Arial" w:eastAsia="Arial" w:hAnsi="Arial" w:cs="Arial"/>
          <w:b/>
          <w:color w:val="000000"/>
          <w:sz w:val="24"/>
          <w:szCs w:val="24"/>
        </w:rPr>
        <w:t xml:space="preserve">Planteamiento de la controversia. </w:t>
      </w:r>
      <w:r>
        <w:rPr>
          <w:rFonts w:ascii="Arial" w:eastAsia="Arial" w:hAnsi="Arial" w:cs="Arial"/>
          <w:sz w:val="24"/>
          <w:szCs w:val="24"/>
        </w:rPr>
        <w:t xml:space="preserve">En atención a lo expuesto, este Tribunal considera que la controversia a definir consiste en determinar: </w:t>
      </w:r>
    </w:p>
    <w:p w14:paraId="632A0CE3" w14:textId="1157C777" w:rsidR="006C1DC5" w:rsidRPr="0087045B" w:rsidRDefault="00781BFC" w:rsidP="0087045B">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r w:rsidRPr="0087045B">
        <w:rPr>
          <w:rFonts w:ascii="Arial" w:eastAsia="Arial" w:hAnsi="Arial" w:cs="Arial"/>
          <w:sz w:val="24"/>
          <w:szCs w:val="24"/>
        </w:rPr>
        <w:t xml:space="preserve">¿Si las conductas atribuidas a la Senadora son susceptibles de ser analizadas en el ámbito electoral, tomando en cuenta que los hechos denunciados surgieron dentro de la sala de sesiones del Senado de la República? </w:t>
      </w:r>
      <w:r w:rsidRPr="0087045B">
        <w:rPr>
          <w:rFonts w:ascii="Arial" w:eastAsia="Arial" w:hAnsi="Arial" w:cs="Arial"/>
          <w:color w:val="000000"/>
          <w:sz w:val="24"/>
          <w:szCs w:val="24"/>
        </w:rPr>
        <w:t xml:space="preserve"> </w:t>
      </w:r>
    </w:p>
    <w:p w14:paraId="5F3D4BE9" w14:textId="77777777" w:rsidR="006C1DC5" w:rsidRDefault="006C1DC5">
      <w:pPr>
        <w:pBdr>
          <w:top w:val="nil"/>
          <w:left w:val="nil"/>
          <w:bottom w:val="nil"/>
          <w:right w:val="nil"/>
          <w:between w:val="nil"/>
        </w:pBdr>
        <w:rPr>
          <w:sz w:val="14"/>
          <w:szCs w:val="14"/>
        </w:rPr>
      </w:pPr>
    </w:p>
    <w:p w14:paraId="4D96159E" w14:textId="77777777" w:rsidR="006C1DC5" w:rsidRDefault="00781BFC">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11C81E6D" w14:textId="77777777" w:rsidR="006C1DC5" w:rsidRDefault="006C1DC5">
      <w:pPr>
        <w:pBdr>
          <w:top w:val="nil"/>
          <w:left w:val="nil"/>
          <w:bottom w:val="nil"/>
          <w:right w:val="nil"/>
          <w:between w:val="nil"/>
        </w:pBdr>
        <w:rPr>
          <w:color w:val="000000"/>
        </w:rPr>
      </w:pPr>
    </w:p>
    <w:p w14:paraId="4543EEC6" w14:textId="77777777" w:rsidR="006C1DC5" w:rsidRDefault="00781BFC">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Este Tribunal Electoral estima que</w:t>
      </w:r>
      <w:r>
        <w:rPr>
          <w:rFonts w:ascii="Arial" w:eastAsia="Arial" w:hAnsi="Arial" w:cs="Arial"/>
          <w:sz w:val="24"/>
          <w:szCs w:val="24"/>
        </w:rPr>
        <w:t xml:space="preserve"> debe declararse la </w:t>
      </w:r>
      <w:r>
        <w:rPr>
          <w:rFonts w:ascii="Arial" w:eastAsia="Arial" w:hAnsi="Arial" w:cs="Arial"/>
          <w:b/>
          <w:sz w:val="24"/>
          <w:szCs w:val="24"/>
        </w:rPr>
        <w:t>inexistencia</w:t>
      </w:r>
      <w:r>
        <w:rPr>
          <w:rFonts w:ascii="Arial" w:eastAsia="Arial" w:hAnsi="Arial" w:cs="Arial"/>
          <w:sz w:val="24"/>
          <w:szCs w:val="24"/>
        </w:rPr>
        <w:t xml:space="preserve"> de las infracciones relativas a actos anticipados de campaña, calumnia y vulneración al principio de imparcialidad atribuida a Martha Cecilia Márquez Alvarado, en su carácter de entonces Senadora de la República, ya que, el hecho de que las expresiones cuestionadas fueran emitidas por una funcionaria perteneciente a un órgano legislativo en el curso de una Sesión Ordinaria, en específico, en el recinto del Senado de la República, implica que </w:t>
      </w:r>
      <w:r>
        <w:rPr>
          <w:rFonts w:ascii="Arial" w:eastAsia="Arial" w:hAnsi="Arial" w:cs="Arial"/>
          <w:b/>
          <w:sz w:val="24"/>
          <w:szCs w:val="24"/>
        </w:rPr>
        <w:t>se encuentren amparadas por el principio de inviolabilidad parlamentaria</w:t>
      </w:r>
      <w:r>
        <w:rPr>
          <w:rFonts w:ascii="Arial" w:eastAsia="Arial" w:hAnsi="Arial" w:cs="Arial"/>
          <w:sz w:val="24"/>
          <w:szCs w:val="24"/>
        </w:rPr>
        <w:t>, del que gozan las y los legisladores en el ejercicio de sus funciones, situación que actualiza una excepción al ámbito de competencia que corresponde al derecho electoral.</w:t>
      </w:r>
    </w:p>
    <w:p w14:paraId="5A2BFE17" w14:textId="26901A76" w:rsidR="006C1DC5" w:rsidRDefault="006C1DC5">
      <w:pPr>
        <w:pBdr>
          <w:top w:val="nil"/>
          <w:left w:val="nil"/>
          <w:bottom w:val="nil"/>
          <w:right w:val="nil"/>
          <w:between w:val="nil"/>
        </w:pBdr>
        <w:rPr>
          <w:color w:val="000000"/>
        </w:rPr>
      </w:pPr>
    </w:p>
    <w:p w14:paraId="0153D9BE" w14:textId="77777777" w:rsidR="0087045B" w:rsidRDefault="0087045B">
      <w:pPr>
        <w:pBdr>
          <w:top w:val="nil"/>
          <w:left w:val="nil"/>
          <w:bottom w:val="nil"/>
          <w:right w:val="nil"/>
          <w:between w:val="nil"/>
        </w:pBdr>
        <w:rPr>
          <w:color w:val="000000"/>
        </w:rPr>
      </w:pPr>
    </w:p>
    <w:p w14:paraId="64BFA23A" w14:textId="77777777" w:rsidR="006C1DC5" w:rsidRDefault="00781BFC">
      <w:pPr>
        <w:spacing w:line="360" w:lineRule="auto"/>
        <w:jc w:val="both"/>
        <w:rPr>
          <w:rFonts w:ascii="Arial" w:eastAsia="Arial" w:hAnsi="Arial" w:cs="Arial"/>
          <w:b/>
          <w:sz w:val="24"/>
          <w:szCs w:val="24"/>
        </w:rPr>
      </w:pPr>
      <w:r>
        <w:rPr>
          <w:rFonts w:ascii="Arial" w:eastAsia="Arial" w:hAnsi="Arial" w:cs="Arial"/>
          <w:b/>
          <w:sz w:val="24"/>
          <w:szCs w:val="24"/>
          <w:u w:val="single"/>
        </w:rPr>
        <w:lastRenderedPageBreak/>
        <w:t>Aparatado II.</w:t>
      </w:r>
      <w:r>
        <w:rPr>
          <w:rFonts w:ascii="Arial" w:eastAsia="Arial" w:hAnsi="Arial" w:cs="Arial"/>
          <w:b/>
          <w:sz w:val="24"/>
          <w:szCs w:val="24"/>
        </w:rPr>
        <w:t xml:space="preserve"> Desarrollo y justificación de la decisión </w:t>
      </w:r>
    </w:p>
    <w:p w14:paraId="26BF7E29" w14:textId="77777777" w:rsidR="006C1DC5" w:rsidRDefault="00781BFC">
      <w:pPr>
        <w:spacing w:before="240" w:line="360" w:lineRule="auto"/>
        <w:jc w:val="both"/>
        <w:rPr>
          <w:rFonts w:ascii="Arial" w:eastAsia="Arial" w:hAnsi="Arial" w:cs="Arial"/>
          <w:b/>
          <w:sz w:val="24"/>
          <w:szCs w:val="24"/>
        </w:rPr>
      </w:pPr>
      <w:r>
        <w:rPr>
          <w:rFonts w:ascii="Arial" w:eastAsia="Arial" w:hAnsi="Arial" w:cs="Arial"/>
          <w:b/>
          <w:sz w:val="24"/>
          <w:szCs w:val="24"/>
        </w:rPr>
        <w:t>1. Marco normativo de la inviolabilidad parlamentaria</w:t>
      </w:r>
    </w:p>
    <w:p w14:paraId="1B57C4BC" w14:textId="77777777" w:rsidR="006C1DC5" w:rsidRDefault="00781BFC">
      <w:pPr>
        <w:spacing w:before="240" w:line="360" w:lineRule="auto"/>
        <w:jc w:val="both"/>
      </w:pPr>
      <w:r>
        <w:rPr>
          <w:rFonts w:ascii="Arial" w:eastAsia="Arial" w:hAnsi="Arial" w:cs="Arial"/>
          <w:sz w:val="24"/>
          <w:szCs w:val="24"/>
        </w:rPr>
        <w:t xml:space="preserve">El artículo 61, de la Constitución Federal, señala que las senadurías y diputaciones </w:t>
      </w:r>
      <w:r>
        <w:rPr>
          <w:rFonts w:ascii="Arial" w:eastAsia="Arial" w:hAnsi="Arial" w:cs="Arial"/>
          <w:b/>
          <w:sz w:val="24"/>
          <w:szCs w:val="24"/>
        </w:rPr>
        <w:t>son inviolables por las opiniones que manifiesten durante el desempeño de sus cargos</w:t>
      </w:r>
      <w:r>
        <w:rPr>
          <w:rFonts w:ascii="Arial" w:eastAsia="Arial" w:hAnsi="Arial" w:cs="Arial"/>
          <w:sz w:val="24"/>
          <w:szCs w:val="24"/>
        </w:rPr>
        <w:t>, por lo cual, no se les podrá reprender por la emisión de estas. Al respecto, se establece que la presidencia de cada Cámara deberá velar por la inviolabilidad del recinto donde se reúnan a sesionar.</w:t>
      </w:r>
      <w:r>
        <w:rPr>
          <w:rFonts w:ascii="Arial" w:eastAsia="Arial" w:hAnsi="Arial" w:cs="Arial"/>
          <w:sz w:val="24"/>
          <w:szCs w:val="24"/>
          <w:vertAlign w:val="superscript"/>
        </w:rPr>
        <w:footnoteReference w:id="5"/>
      </w:r>
    </w:p>
    <w:p w14:paraId="112331F9" w14:textId="77777777" w:rsidR="006C1DC5" w:rsidRDefault="00781BFC">
      <w:pPr>
        <w:spacing w:before="240" w:line="360" w:lineRule="auto"/>
        <w:jc w:val="both"/>
      </w:pPr>
      <w:r>
        <w:rPr>
          <w:rFonts w:ascii="Arial" w:eastAsia="Arial" w:hAnsi="Arial" w:cs="Arial"/>
          <w:sz w:val="24"/>
          <w:szCs w:val="24"/>
        </w:rPr>
        <w:t xml:space="preserve">Por su parte, la Suprema Corte de Justicia de la Nación a través de diversos criterios de interpretación, ha sostenido que dicha inmunidad surge a partir de los elementos siguientes: </w:t>
      </w:r>
      <w:r>
        <w:rPr>
          <w:rFonts w:ascii="Arial" w:eastAsia="Arial" w:hAnsi="Arial" w:cs="Arial"/>
          <w:b/>
          <w:i/>
          <w:sz w:val="24"/>
          <w:szCs w:val="24"/>
        </w:rPr>
        <w:t>i)</w:t>
      </w:r>
      <w:r>
        <w:rPr>
          <w:rFonts w:ascii="Arial" w:eastAsia="Arial" w:hAnsi="Arial" w:cs="Arial"/>
          <w:sz w:val="24"/>
          <w:szCs w:val="24"/>
        </w:rPr>
        <w:t xml:space="preserve"> solo opera a favor de diputaciones y senadurías, </w:t>
      </w:r>
      <w:r>
        <w:rPr>
          <w:rFonts w:ascii="Arial" w:eastAsia="Arial" w:hAnsi="Arial" w:cs="Arial"/>
          <w:b/>
          <w:i/>
          <w:sz w:val="24"/>
          <w:szCs w:val="24"/>
        </w:rPr>
        <w:t>ii)</w:t>
      </w:r>
      <w:r>
        <w:rPr>
          <w:rFonts w:ascii="Arial" w:eastAsia="Arial" w:hAnsi="Arial" w:cs="Arial"/>
          <w:sz w:val="24"/>
          <w:szCs w:val="24"/>
        </w:rPr>
        <w:t xml:space="preserve"> se emita una opinión y, </w:t>
      </w:r>
      <w:r>
        <w:rPr>
          <w:rFonts w:ascii="Arial" w:eastAsia="Arial" w:hAnsi="Arial" w:cs="Arial"/>
          <w:b/>
          <w:i/>
          <w:sz w:val="24"/>
          <w:szCs w:val="24"/>
        </w:rPr>
        <w:t>iii)</w:t>
      </w:r>
      <w:r>
        <w:rPr>
          <w:rFonts w:ascii="Arial" w:eastAsia="Arial" w:hAnsi="Arial" w:cs="Arial"/>
          <w:sz w:val="24"/>
          <w:szCs w:val="24"/>
        </w:rPr>
        <w:t xml:space="preserve"> que esta se manifieste en el desempeño de sus cargos.</w:t>
      </w:r>
      <w:r>
        <w:rPr>
          <w:rFonts w:ascii="Arial" w:eastAsia="Arial" w:hAnsi="Arial" w:cs="Arial"/>
          <w:sz w:val="24"/>
          <w:szCs w:val="24"/>
          <w:vertAlign w:val="superscript"/>
        </w:rPr>
        <w:footnoteReference w:id="6"/>
      </w:r>
    </w:p>
    <w:p w14:paraId="0E40D07D" w14:textId="77777777" w:rsidR="006C1DC5" w:rsidRDefault="00781BFC">
      <w:pPr>
        <w:spacing w:before="240" w:line="360" w:lineRule="auto"/>
        <w:jc w:val="both"/>
      </w:pPr>
      <w:r>
        <w:rPr>
          <w:rFonts w:ascii="Arial" w:eastAsia="Arial" w:hAnsi="Arial" w:cs="Arial"/>
          <w:sz w:val="24"/>
          <w:szCs w:val="24"/>
        </w:rPr>
        <w:t xml:space="preserve">En tal sentido, estableció que la inviolabilidad parlamentaria: </w:t>
      </w:r>
      <w:r>
        <w:rPr>
          <w:rFonts w:ascii="Arial" w:eastAsia="Arial" w:hAnsi="Arial" w:cs="Arial"/>
          <w:b/>
          <w:i/>
          <w:sz w:val="24"/>
          <w:szCs w:val="24"/>
        </w:rPr>
        <w:t>a)</w:t>
      </w:r>
      <w:r>
        <w:rPr>
          <w:rFonts w:ascii="Arial" w:eastAsia="Arial" w:hAnsi="Arial" w:cs="Arial"/>
          <w:sz w:val="24"/>
          <w:szCs w:val="24"/>
        </w:rPr>
        <w:t xml:space="preserve"> se actualiza cuando la o el senador </w:t>
      </w:r>
      <w:r>
        <w:rPr>
          <w:rFonts w:ascii="Arial" w:eastAsia="Arial" w:hAnsi="Arial" w:cs="Arial"/>
          <w:b/>
          <w:sz w:val="24"/>
          <w:szCs w:val="24"/>
        </w:rPr>
        <w:t>actúa en el desempeño de su cargo</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su objetivo es proteger la libre discusión y decisión parlamentarias de las y los legisladores como representantes públicos y, </w:t>
      </w:r>
      <w:r>
        <w:rPr>
          <w:rFonts w:ascii="Arial" w:eastAsia="Arial" w:hAnsi="Arial" w:cs="Arial"/>
          <w:b/>
          <w:i/>
          <w:sz w:val="24"/>
          <w:szCs w:val="24"/>
        </w:rPr>
        <w:t>c)</w:t>
      </w:r>
      <w:r>
        <w:rPr>
          <w:rFonts w:ascii="Arial" w:eastAsia="Arial" w:hAnsi="Arial" w:cs="Arial"/>
          <w:sz w:val="24"/>
          <w:szCs w:val="24"/>
        </w:rPr>
        <w:t xml:space="preserve"> tiene como consecuencia una protección de fondo, absoluta y perpetua, que prácticamente los sitúa en una posición de excepción.</w:t>
      </w:r>
      <w:r>
        <w:rPr>
          <w:rFonts w:ascii="Arial" w:eastAsia="Arial" w:hAnsi="Arial" w:cs="Arial"/>
          <w:sz w:val="24"/>
          <w:szCs w:val="24"/>
          <w:vertAlign w:val="superscript"/>
        </w:rPr>
        <w:footnoteReference w:id="7"/>
      </w:r>
    </w:p>
    <w:p w14:paraId="678AF345" w14:textId="77777777" w:rsidR="006C1DC5" w:rsidRDefault="006C1DC5">
      <w:pPr>
        <w:spacing w:line="360" w:lineRule="auto"/>
        <w:jc w:val="both"/>
        <w:rPr>
          <w:rFonts w:ascii="Arial" w:eastAsia="Arial" w:hAnsi="Arial" w:cs="Arial"/>
          <w:sz w:val="24"/>
          <w:szCs w:val="24"/>
        </w:rPr>
      </w:pPr>
    </w:p>
    <w:p w14:paraId="58A3902E" w14:textId="77777777" w:rsidR="006C1DC5" w:rsidRDefault="00781BFC">
      <w:pPr>
        <w:spacing w:line="360" w:lineRule="auto"/>
        <w:jc w:val="both"/>
      </w:pPr>
      <w:r>
        <w:rPr>
          <w:rFonts w:ascii="Arial" w:eastAsia="Arial" w:hAnsi="Arial" w:cs="Arial"/>
          <w:sz w:val="24"/>
          <w:szCs w:val="24"/>
        </w:rPr>
        <w:t xml:space="preserve">De ahí que en tal criterio se hubiese exigido </w:t>
      </w:r>
      <w:r>
        <w:rPr>
          <w:rFonts w:ascii="Arial" w:eastAsia="Arial" w:hAnsi="Arial" w:cs="Arial"/>
          <w:b/>
          <w:sz w:val="24"/>
          <w:szCs w:val="24"/>
        </w:rPr>
        <w:t>tanto al gobierno como a los particulares a soportar las manifestaciones que viertan en su contra</w:t>
      </w:r>
      <w:r>
        <w:rPr>
          <w:rFonts w:ascii="Arial" w:eastAsia="Arial" w:hAnsi="Arial" w:cs="Arial"/>
          <w:sz w:val="24"/>
          <w:szCs w:val="24"/>
        </w:rPr>
        <w:t xml:space="preserve">, aún cuando subjetivamente puedan considerarlas difamatorias. Esto, porque </w:t>
      </w:r>
      <w:r>
        <w:rPr>
          <w:rFonts w:ascii="Arial" w:eastAsia="Arial" w:hAnsi="Arial" w:cs="Arial"/>
          <w:b/>
          <w:sz w:val="24"/>
          <w:szCs w:val="24"/>
          <w:u w:val="single"/>
        </w:rPr>
        <w:t>el bien jurídico que protege es la función del Poder Legislativo</w:t>
      </w:r>
      <w:r>
        <w:rPr>
          <w:rFonts w:ascii="Arial" w:eastAsia="Arial" w:hAnsi="Arial" w:cs="Arial"/>
          <w:sz w:val="24"/>
          <w:szCs w:val="24"/>
        </w:rPr>
        <w:t>.</w:t>
      </w:r>
    </w:p>
    <w:p w14:paraId="15DF270E" w14:textId="77777777" w:rsidR="006C1DC5" w:rsidRDefault="00781BFC">
      <w:pPr>
        <w:spacing w:before="240" w:line="360" w:lineRule="auto"/>
        <w:jc w:val="both"/>
      </w:pPr>
      <w:r>
        <w:rPr>
          <w:rFonts w:ascii="Arial" w:eastAsia="Arial" w:hAnsi="Arial" w:cs="Arial"/>
          <w:sz w:val="24"/>
          <w:szCs w:val="24"/>
        </w:rPr>
        <w:t>Finalmente, consideró que en el caso de que tales opiniones puedan considerarse ofensivas o infamantes, el único órgano competente para calificar tales expresiones y, en su caso, sancionarlas, es la presidencia del propio Congreso. A fin de que ninguna entidad ajena incida en la organización de dicho ente.</w:t>
      </w:r>
      <w:r>
        <w:rPr>
          <w:rFonts w:ascii="Arial" w:eastAsia="Arial" w:hAnsi="Arial" w:cs="Arial"/>
          <w:sz w:val="24"/>
          <w:szCs w:val="24"/>
          <w:vertAlign w:val="superscript"/>
        </w:rPr>
        <w:footnoteReference w:id="8"/>
      </w:r>
      <w:r>
        <w:rPr>
          <w:rFonts w:ascii="Arial" w:eastAsia="Arial" w:hAnsi="Arial" w:cs="Arial"/>
          <w:sz w:val="24"/>
          <w:szCs w:val="24"/>
        </w:rPr>
        <w:t xml:space="preserve"> </w:t>
      </w:r>
    </w:p>
    <w:p w14:paraId="2CE9FE9B" w14:textId="77777777" w:rsidR="006C1DC5" w:rsidRDefault="00781BFC">
      <w:pPr>
        <w:spacing w:before="240" w:line="360" w:lineRule="auto"/>
        <w:jc w:val="both"/>
      </w:pPr>
      <w:r>
        <w:rPr>
          <w:rFonts w:ascii="Arial" w:eastAsia="Arial" w:hAnsi="Arial" w:cs="Arial"/>
          <w:sz w:val="24"/>
          <w:szCs w:val="24"/>
        </w:rPr>
        <w:lastRenderedPageBreak/>
        <w:t xml:space="preserve">Por otra parte, de la relación de los artículos 8, fracción II, 76, fracción IX y 276 del Reglamento del Senado de la República, se advierte que </w:t>
      </w:r>
      <w:r>
        <w:rPr>
          <w:rFonts w:ascii="Arial" w:eastAsia="Arial" w:hAnsi="Arial" w:cs="Arial"/>
          <w:b/>
          <w:sz w:val="24"/>
          <w:szCs w:val="24"/>
        </w:rPr>
        <w:t>las senadurías tienen el derecho de presentar proposiciones con punto de acuerdo</w:t>
      </w:r>
      <w:r>
        <w:rPr>
          <w:rFonts w:ascii="Arial" w:eastAsia="Arial" w:hAnsi="Arial" w:cs="Arial"/>
          <w:sz w:val="24"/>
          <w:szCs w:val="24"/>
        </w:rPr>
        <w:t xml:space="preserve"> ante el Senado o la Comisión Permanente, con el objetivo de atender asuntos que no constituyen iniciativas de ley o decreto, entendiéndose por ello, toda petición o declaración formal que el</w:t>
      </w:r>
      <w:r>
        <w:t xml:space="preserve"> </w:t>
      </w:r>
      <w:r>
        <w:rPr>
          <w:rFonts w:ascii="Arial" w:eastAsia="Arial" w:hAnsi="Arial" w:cs="Arial"/>
          <w:sz w:val="24"/>
          <w:szCs w:val="24"/>
        </w:rPr>
        <w:t>Pleno del Senado de la República realiza para asumir una postura institucional respecto a asuntos de diversas índoles y sin carácter vinculante.</w:t>
      </w:r>
    </w:p>
    <w:p w14:paraId="27D954D4" w14:textId="77777777" w:rsidR="006C1DC5" w:rsidRDefault="00781BFC">
      <w:pPr>
        <w:spacing w:before="240" w:line="360" w:lineRule="auto"/>
        <w:jc w:val="both"/>
      </w:pPr>
      <w:r>
        <w:rPr>
          <w:rFonts w:ascii="Arial" w:eastAsia="Arial" w:hAnsi="Arial" w:cs="Arial"/>
          <w:sz w:val="24"/>
          <w:szCs w:val="24"/>
        </w:rPr>
        <w:t xml:space="preserve">De lo expuesto, se concluye que la inviolabilidad o inmunidad parlamentaria es una </w:t>
      </w:r>
      <w:r>
        <w:rPr>
          <w:rFonts w:ascii="Arial" w:eastAsia="Arial" w:hAnsi="Arial" w:cs="Arial"/>
          <w:b/>
          <w:sz w:val="24"/>
          <w:szCs w:val="24"/>
        </w:rPr>
        <w:t>prerrogativa constitucional</w:t>
      </w:r>
      <w:r>
        <w:rPr>
          <w:rFonts w:ascii="Arial" w:eastAsia="Arial" w:hAnsi="Arial" w:cs="Arial"/>
          <w:sz w:val="24"/>
          <w:szCs w:val="24"/>
        </w:rPr>
        <w:t xml:space="preserve"> de la cual gozan las senadurías, con el objetivo de proteger su libre expresión, discusión y decisión en el ejercicio de su cargo, sin que puedan ser sujetos de procedimiento alguno derivado de las opiniones que emitan en el contexto de una tribuna, excepto cuando quien ostente la presidencia del referido órgano legislativo considere iniciar un procedimiento interno contra ciertas conductas o expresiones. </w:t>
      </w:r>
    </w:p>
    <w:p w14:paraId="57981EA8" w14:textId="77777777" w:rsidR="006C1DC5" w:rsidRDefault="00781BFC">
      <w:pPr>
        <w:spacing w:before="240" w:line="360" w:lineRule="auto"/>
        <w:jc w:val="both"/>
      </w:pPr>
      <w:r>
        <w:rPr>
          <w:rFonts w:ascii="Arial" w:eastAsia="Arial" w:hAnsi="Arial" w:cs="Arial"/>
          <w:b/>
          <w:sz w:val="24"/>
          <w:szCs w:val="24"/>
        </w:rPr>
        <w:t>2. Caso concreto</w:t>
      </w:r>
    </w:p>
    <w:p w14:paraId="01DD047A" w14:textId="77777777" w:rsidR="006C1DC5" w:rsidRDefault="00781BFC">
      <w:pPr>
        <w:spacing w:before="240" w:line="360" w:lineRule="auto"/>
        <w:jc w:val="both"/>
      </w:pPr>
      <w:r>
        <w:rPr>
          <w:rFonts w:ascii="Arial" w:eastAsia="Arial" w:hAnsi="Arial" w:cs="Arial"/>
          <w:sz w:val="24"/>
          <w:szCs w:val="24"/>
        </w:rPr>
        <w:t>En el caso, la ciudadana María Teresa Jiménez Esquivel, en su carácter de precandidata a la gubernatura de Aguascalientes, presentó una queja en contra de Martha Cecilia Márquez Alvarado, entonces Senadora de la República, derivado de la supuesta comisión de actos que, a su criterio, actualizan las infracciones de calumnia, actos anticipados de campaña y vulneración al principio de imparcialidad.</w:t>
      </w:r>
    </w:p>
    <w:p w14:paraId="17016FF3" w14:textId="77777777" w:rsidR="006C1DC5" w:rsidRDefault="00781BFC">
      <w:pPr>
        <w:spacing w:before="240" w:after="240" w:line="360" w:lineRule="auto"/>
        <w:jc w:val="both"/>
      </w:pPr>
      <w:r>
        <w:rPr>
          <w:rFonts w:ascii="Arial" w:eastAsia="Arial" w:hAnsi="Arial" w:cs="Arial"/>
          <w:sz w:val="24"/>
          <w:szCs w:val="24"/>
        </w:rPr>
        <w:t>Lo anterior, porque durante una Sesión Ordinaria del Senado de la República, la Senadora en cuestión realizó una crítica al gobierno municipal que, en su momento, encabezó la denunciante, derivado de la presentación de una proposición con punto de acuerdo concerniente al esclarecimiento de hechos denunciados ante la Fiscalía Anticorrupción relacionados con el ejercicio de recursos públicos en el municipio de Aguascalientes.</w:t>
      </w:r>
    </w:p>
    <w:p w14:paraId="2D307687" w14:textId="77777777" w:rsidR="006C1DC5" w:rsidRDefault="00781BFC">
      <w:pPr>
        <w:spacing w:before="240" w:after="240" w:line="360" w:lineRule="auto"/>
        <w:jc w:val="both"/>
        <w:rPr>
          <w:color w:val="000000"/>
        </w:rPr>
      </w:pPr>
      <w:r>
        <w:rPr>
          <w:rFonts w:ascii="Arial" w:eastAsia="Arial" w:hAnsi="Arial" w:cs="Arial"/>
          <w:sz w:val="24"/>
          <w:szCs w:val="24"/>
        </w:rPr>
        <w:t>Por tanto, a dicho de la quejosa, con tal proposición pretendía calumniarla, denostar su imagen, así como relacionarla con temas de corrupción y, a su vez, que la denunciada lograra posicionarse como candidata a la gubernatura, lo cual implicó un uso indebido de recursos públicos para obtener una ventaja indebida y anticipada ante la ciudadanía.</w:t>
      </w:r>
    </w:p>
    <w:p w14:paraId="373FDAD5" w14:textId="77777777" w:rsidR="006C1DC5" w:rsidRDefault="00781BFC">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sz w:val="24"/>
          <w:szCs w:val="24"/>
        </w:rPr>
        <w:t>3</w:t>
      </w:r>
      <w:r>
        <w:rPr>
          <w:rFonts w:ascii="Arial" w:eastAsia="Arial" w:hAnsi="Arial" w:cs="Arial"/>
          <w:b/>
          <w:color w:val="000000"/>
          <w:sz w:val="24"/>
          <w:szCs w:val="24"/>
        </w:rPr>
        <w:t>. Valoración</w:t>
      </w:r>
    </w:p>
    <w:p w14:paraId="27BAE34A" w14:textId="77777777" w:rsidR="006C1DC5" w:rsidRPr="002F0F05" w:rsidRDefault="006C1DC5" w:rsidP="002F0F05">
      <w:pPr>
        <w:pStyle w:val="Sinespaciado"/>
      </w:pPr>
    </w:p>
    <w:p w14:paraId="47AE536B"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las infracciones denunciadas -actos anticipados de campaña, calumnia y vulneración al principio de imparcialidad- </w:t>
      </w:r>
      <w:r>
        <w:rPr>
          <w:rFonts w:ascii="Arial" w:eastAsia="Arial" w:hAnsi="Arial" w:cs="Arial"/>
          <w:b/>
          <w:sz w:val="24"/>
          <w:szCs w:val="24"/>
        </w:rPr>
        <w:t xml:space="preserve">son inexistentes, </w:t>
      </w:r>
      <w:r>
        <w:rPr>
          <w:rFonts w:ascii="Arial" w:eastAsia="Arial" w:hAnsi="Arial" w:cs="Arial"/>
          <w:sz w:val="24"/>
          <w:szCs w:val="24"/>
        </w:rPr>
        <w:t xml:space="preserve">porque el hecho de que las expresiones cuestionadas fueran emitidas por una funcionaria perteneciente a un órgano legislativo en el curso de una Sesión Ordinaria en el recinto del Senado de la República, implica que se encuentren </w:t>
      </w:r>
      <w:r>
        <w:rPr>
          <w:rFonts w:ascii="Arial" w:eastAsia="Arial" w:hAnsi="Arial" w:cs="Arial"/>
          <w:b/>
          <w:sz w:val="24"/>
          <w:szCs w:val="24"/>
        </w:rPr>
        <w:t xml:space="preserve">amparadas por el principio de </w:t>
      </w:r>
      <w:r>
        <w:rPr>
          <w:rFonts w:ascii="Arial" w:eastAsia="Arial" w:hAnsi="Arial" w:cs="Arial"/>
          <w:b/>
          <w:sz w:val="24"/>
          <w:szCs w:val="24"/>
        </w:rPr>
        <w:lastRenderedPageBreak/>
        <w:t xml:space="preserve">inviolabilidad parlamentaria </w:t>
      </w:r>
      <w:r>
        <w:rPr>
          <w:rFonts w:ascii="Arial" w:eastAsia="Arial" w:hAnsi="Arial" w:cs="Arial"/>
          <w:sz w:val="24"/>
          <w:szCs w:val="24"/>
        </w:rPr>
        <w:t>del que gozan las y los legisladores en el ejercicio de sus funciones, situación que actualiza una excepción al ámbito de competencia que corresponde al derecho electoral.</w:t>
      </w:r>
    </w:p>
    <w:p w14:paraId="05C2F8EE" w14:textId="77777777" w:rsidR="006C1DC5" w:rsidRDefault="006C1DC5" w:rsidP="002F0F05">
      <w:pPr>
        <w:pStyle w:val="Sinespaciado"/>
        <w:rPr>
          <w:rFonts w:eastAsia="Arial"/>
        </w:rPr>
      </w:pPr>
    </w:p>
    <w:p w14:paraId="23D479C3"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Lo anterior se debe a que, de acuerdo a los criterios emitidos por la Suprema Corte de Justicia de la Nación en materia de inmunidad legislativa, se ha sostenido que para definir si una controversia actualiza el principio en cuestión, deben analizarse los elementos siguientes: </w:t>
      </w:r>
      <w:r>
        <w:rPr>
          <w:rFonts w:ascii="Arial" w:eastAsia="Arial" w:hAnsi="Arial" w:cs="Arial"/>
          <w:b/>
          <w:i/>
          <w:sz w:val="24"/>
          <w:szCs w:val="24"/>
        </w:rPr>
        <w:t>i)</w:t>
      </w:r>
      <w:r>
        <w:rPr>
          <w:rFonts w:ascii="Arial" w:eastAsia="Arial" w:hAnsi="Arial" w:cs="Arial"/>
          <w:sz w:val="24"/>
          <w:szCs w:val="24"/>
        </w:rPr>
        <w:t xml:space="preserve"> sólo opera a favor de diputaciones y senadurías, </w:t>
      </w:r>
      <w:r>
        <w:rPr>
          <w:rFonts w:ascii="Arial" w:eastAsia="Arial" w:hAnsi="Arial" w:cs="Arial"/>
          <w:b/>
          <w:i/>
          <w:sz w:val="24"/>
          <w:szCs w:val="24"/>
        </w:rPr>
        <w:t>ii)</w:t>
      </w:r>
      <w:r>
        <w:rPr>
          <w:rFonts w:ascii="Arial" w:eastAsia="Arial" w:hAnsi="Arial" w:cs="Arial"/>
          <w:sz w:val="24"/>
          <w:szCs w:val="24"/>
        </w:rPr>
        <w:t xml:space="preserve"> se emita una opinión y, </w:t>
      </w:r>
      <w:r>
        <w:rPr>
          <w:rFonts w:ascii="Arial" w:eastAsia="Arial" w:hAnsi="Arial" w:cs="Arial"/>
          <w:b/>
          <w:i/>
          <w:sz w:val="24"/>
          <w:szCs w:val="24"/>
        </w:rPr>
        <w:t>iii)</w:t>
      </w:r>
      <w:r>
        <w:rPr>
          <w:rFonts w:ascii="Arial" w:eastAsia="Arial" w:hAnsi="Arial" w:cs="Arial"/>
          <w:sz w:val="24"/>
          <w:szCs w:val="24"/>
        </w:rPr>
        <w:t xml:space="preserve"> que esta se manifieste en el desempeño de sus cargos.</w:t>
      </w:r>
    </w:p>
    <w:p w14:paraId="294FE344" w14:textId="77777777" w:rsidR="006C1DC5" w:rsidRDefault="006C1DC5" w:rsidP="002F0F05">
      <w:pPr>
        <w:pStyle w:val="Sinespaciado"/>
        <w:rPr>
          <w:rFonts w:eastAsia="Arial"/>
        </w:rPr>
      </w:pPr>
    </w:p>
    <w:p w14:paraId="78CE6EBB"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Al respecto, a criterio de este órgano jurisdiccional se actualiza el primero</w:t>
      </w:r>
      <w:r>
        <w:rPr>
          <w:rFonts w:ascii="Arial" w:eastAsia="Arial" w:hAnsi="Arial" w:cs="Arial"/>
          <w:b/>
          <w:sz w:val="24"/>
          <w:szCs w:val="24"/>
        </w:rPr>
        <w:t xml:space="preserve"> </w:t>
      </w:r>
      <w:r>
        <w:rPr>
          <w:rFonts w:ascii="Arial" w:eastAsia="Arial" w:hAnsi="Arial" w:cs="Arial"/>
          <w:sz w:val="24"/>
          <w:szCs w:val="24"/>
        </w:rPr>
        <w:t xml:space="preserve">de los elementos que exige que la persona involucrada ostente alguna diputación o senaduría, porque de acuerdo a los hechos controvertidos, quedó demostrado que al momento de la presentación de la queja, la parte denunciada -quien emitió la expresión cuestionada- </w:t>
      </w:r>
      <w:r>
        <w:rPr>
          <w:rFonts w:ascii="Arial" w:eastAsia="Arial" w:hAnsi="Arial" w:cs="Arial"/>
          <w:b/>
          <w:sz w:val="24"/>
          <w:szCs w:val="24"/>
        </w:rPr>
        <w:t>fungía como Senadora de la República</w:t>
      </w:r>
      <w:r>
        <w:rPr>
          <w:rFonts w:ascii="Arial" w:eastAsia="Arial" w:hAnsi="Arial" w:cs="Arial"/>
          <w:sz w:val="24"/>
          <w:szCs w:val="24"/>
        </w:rPr>
        <w:t>, integrante de la LXV Legislatura.</w:t>
      </w:r>
    </w:p>
    <w:p w14:paraId="227B03A2" w14:textId="77777777" w:rsidR="006C1DC5" w:rsidRPr="0087045B" w:rsidRDefault="006C1DC5" w:rsidP="0087045B">
      <w:pPr>
        <w:pStyle w:val="Sinespaciado"/>
        <w:rPr>
          <w:rFonts w:eastAsia="Arial"/>
        </w:rPr>
      </w:pPr>
    </w:p>
    <w:p w14:paraId="64470F87" w14:textId="77777777" w:rsidR="006C1DC5" w:rsidRDefault="00781BFC">
      <w:pPr>
        <w:pBdr>
          <w:top w:val="nil"/>
          <w:left w:val="nil"/>
          <w:bottom w:val="nil"/>
          <w:right w:val="nil"/>
          <w:between w:val="nil"/>
        </w:pBdr>
        <w:tabs>
          <w:tab w:val="left" w:pos="0"/>
          <w:tab w:val="left" w:pos="426"/>
        </w:tabs>
        <w:spacing w:line="360" w:lineRule="auto"/>
        <w:jc w:val="both"/>
      </w:pPr>
      <w:r>
        <w:rPr>
          <w:rFonts w:ascii="Arial" w:eastAsia="Arial" w:hAnsi="Arial" w:cs="Arial"/>
          <w:sz w:val="24"/>
          <w:szCs w:val="24"/>
        </w:rPr>
        <w:t xml:space="preserve">En segundo término, es posible advertir que se actualiza el elemento que hace referencia a que la manifestación verse sobre una opinión, ya que de las constancias que existen en el expediente y del contexto general en el que surgieron los hechos denunciados, es posible sostener que el discurso que se cuestiona </w:t>
      </w:r>
      <w:r>
        <w:rPr>
          <w:rFonts w:ascii="Arial" w:eastAsia="Arial" w:hAnsi="Arial" w:cs="Arial"/>
          <w:b/>
          <w:sz w:val="24"/>
          <w:szCs w:val="24"/>
        </w:rPr>
        <w:t>se trató formal y materialmente de una opinión emitida en el ejercicio de la libertad de expresión y que, además, apertura el debate parlamentario</w:t>
      </w:r>
      <w:r>
        <w:rPr>
          <w:rFonts w:ascii="Arial" w:eastAsia="Arial" w:hAnsi="Arial" w:cs="Arial"/>
          <w:b/>
          <w:sz w:val="24"/>
          <w:szCs w:val="24"/>
          <w:vertAlign w:val="superscript"/>
        </w:rPr>
        <w:footnoteReference w:id="9"/>
      </w:r>
      <w:r>
        <w:rPr>
          <w:rFonts w:ascii="Arial" w:eastAsia="Arial" w:hAnsi="Arial" w:cs="Arial"/>
          <w:sz w:val="24"/>
          <w:szCs w:val="24"/>
        </w:rPr>
        <w:t>, en relación a la proposición con punto de acuerdo que abordaría la temática del esclarecimiento de hechos denunciados ante la Fiscalía Anticorrupción que involucraron el ejercicio de recursos públicos en el municipio de Aguascalientes.</w:t>
      </w:r>
    </w:p>
    <w:p w14:paraId="152B984B" w14:textId="77777777" w:rsidR="006C1DC5" w:rsidRDefault="006C1DC5" w:rsidP="002F0F05">
      <w:pPr>
        <w:pStyle w:val="Sinespaciado"/>
        <w:rPr>
          <w:rFonts w:eastAsia="Arial"/>
        </w:rPr>
      </w:pPr>
    </w:p>
    <w:p w14:paraId="447E3E73"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Finalmente, esta autoridad jurisdiccional considera que el tercero de los elementos que exige que la idea u opinión se hubiese emitido en el ejercicio de la función legislativa, se actualiza porque el hecho denunciado se circunscribe en una </w:t>
      </w:r>
      <w:r>
        <w:rPr>
          <w:rFonts w:ascii="Arial" w:eastAsia="Arial" w:hAnsi="Arial" w:cs="Arial"/>
          <w:b/>
          <w:sz w:val="24"/>
          <w:szCs w:val="24"/>
        </w:rPr>
        <w:t xml:space="preserve">manifestación emanada en el desempeño del cargo </w:t>
      </w:r>
      <w:r>
        <w:rPr>
          <w:rFonts w:ascii="Arial" w:eastAsia="Arial" w:hAnsi="Arial" w:cs="Arial"/>
          <w:sz w:val="24"/>
          <w:szCs w:val="24"/>
        </w:rPr>
        <w:t xml:space="preserve">de la entonces Senadora denunciada, ya que se trató de la presentación de una proposición con punto de acuerdo. </w:t>
      </w:r>
    </w:p>
    <w:p w14:paraId="3A2EAD60" w14:textId="77777777" w:rsidR="006C1DC5" w:rsidRDefault="006C1DC5" w:rsidP="0087045B">
      <w:pPr>
        <w:pStyle w:val="Sinespaciado"/>
        <w:rPr>
          <w:rFonts w:eastAsia="Arial"/>
        </w:rPr>
      </w:pPr>
    </w:p>
    <w:p w14:paraId="35626A04" w14:textId="08D4FC55" w:rsidR="006C1DC5" w:rsidRPr="0087045B" w:rsidRDefault="00781BFC" w:rsidP="0087045B">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Al respecto, tal ejercicio, de acuerdo al Reglamento, es una atribución reconocida a las senadurías de tal órgano legislativo</w:t>
      </w:r>
      <w:r>
        <w:rPr>
          <w:rFonts w:ascii="Arial" w:eastAsia="Arial" w:hAnsi="Arial" w:cs="Arial"/>
          <w:sz w:val="24"/>
          <w:szCs w:val="24"/>
          <w:vertAlign w:val="superscript"/>
        </w:rPr>
        <w:footnoteReference w:id="10"/>
      </w:r>
      <w:r>
        <w:rPr>
          <w:rFonts w:ascii="Arial" w:eastAsia="Arial" w:hAnsi="Arial" w:cs="Arial"/>
          <w:sz w:val="24"/>
          <w:szCs w:val="24"/>
        </w:rPr>
        <w:t>, consistente en una petición o declaración formal que el Pleno del Senado de la República realiza para asumir una postura institucional sobre asuntos de diversas índoles y sin carácter vinculante</w:t>
      </w:r>
      <w:r>
        <w:rPr>
          <w:rFonts w:ascii="Arial" w:eastAsia="Arial" w:hAnsi="Arial" w:cs="Arial"/>
          <w:sz w:val="24"/>
          <w:szCs w:val="24"/>
          <w:vertAlign w:val="superscript"/>
        </w:rPr>
        <w:footnoteReference w:id="11"/>
      </w:r>
      <w:r>
        <w:rPr>
          <w:rFonts w:ascii="Arial" w:eastAsia="Arial" w:hAnsi="Arial" w:cs="Arial"/>
          <w:sz w:val="24"/>
          <w:szCs w:val="24"/>
        </w:rPr>
        <w:t xml:space="preserve">. </w:t>
      </w:r>
    </w:p>
    <w:p w14:paraId="1B89F5BF" w14:textId="7848EBB0"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lastRenderedPageBreak/>
        <w:t xml:space="preserve">En </w:t>
      </w:r>
      <w:r w:rsidR="002F0F05">
        <w:rPr>
          <w:rFonts w:ascii="Arial" w:eastAsia="Arial" w:hAnsi="Arial" w:cs="Arial"/>
          <w:sz w:val="24"/>
          <w:szCs w:val="24"/>
        </w:rPr>
        <w:t>consecuencia,</w:t>
      </w:r>
      <w:r>
        <w:rPr>
          <w:rFonts w:ascii="Arial" w:eastAsia="Arial" w:hAnsi="Arial" w:cs="Arial"/>
          <w:sz w:val="24"/>
          <w:szCs w:val="24"/>
        </w:rPr>
        <w:t xml:space="preserve"> del referido análisis, es posible advertir que se colman las condiciones que sostiene </w:t>
      </w:r>
      <w:r w:rsidRPr="0087045B">
        <w:rPr>
          <w:rFonts w:ascii="Arial" w:eastAsia="Arial" w:hAnsi="Arial" w:cs="Arial"/>
          <w:sz w:val="24"/>
          <w:szCs w:val="24"/>
        </w:rPr>
        <w:t>la SCJN</w:t>
      </w:r>
      <w:r>
        <w:rPr>
          <w:rFonts w:ascii="Arial" w:eastAsia="Arial" w:hAnsi="Arial" w:cs="Arial"/>
          <w:sz w:val="24"/>
          <w:szCs w:val="24"/>
        </w:rPr>
        <w:t xml:space="preserve"> para actualizar una </w:t>
      </w:r>
      <w:r>
        <w:rPr>
          <w:rFonts w:ascii="Arial" w:eastAsia="Arial" w:hAnsi="Arial" w:cs="Arial"/>
          <w:b/>
          <w:sz w:val="24"/>
          <w:szCs w:val="24"/>
        </w:rPr>
        <w:t>conducta protegida por la inmunidad parlamentaria</w:t>
      </w:r>
      <w:r>
        <w:rPr>
          <w:rFonts w:ascii="Arial" w:eastAsia="Arial" w:hAnsi="Arial" w:cs="Arial"/>
          <w:sz w:val="24"/>
          <w:szCs w:val="24"/>
        </w:rPr>
        <w:t>, principio que tiene como objetivo proteger la libertad de discusión y de toma de decisiones que se asuman en el parlamento por parte de las y los legisladores como representantes públicos, cuando estos actúen en el desempeño de su cargo. El hecho de permitir estas condiciones genera como consecuencia una protección de fondo, absoluta y de carácter perpetuo que, en esencia, sitúa a las y los legisladores en una posición de excepción.</w:t>
      </w:r>
    </w:p>
    <w:p w14:paraId="16A54F25" w14:textId="77777777" w:rsidR="006C1DC5" w:rsidRPr="0087045B" w:rsidRDefault="006C1DC5" w:rsidP="0087045B">
      <w:pPr>
        <w:pStyle w:val="Sinespaciado"/>
        <w:rPr>
          <w:rFonts w:eastAsia="Arial"/>
        </w:rPr>
      </w:pPr>
    </w:p>
    <w:p w14:paraId="5ED9FF1A" w14:textId="3AF1054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La postura asumida en la presente resolución resulta ser acorde a lo previsto tanto en el texto constitucional como en los criterios </w:t>
      </w:r>
      <w:r w:rsidRPr="0087045B">
        <w:rPr>
          <w:rFonts w:ascii="Arial" w:eastAsia="Arial" w:hAnsi="Arial" w:cs="Arial"/>
          <w:sz w:val="24"/>
          <w:szCs w:val="24"/>
        </w:rPr>
        <w:t xml:space="preserve">emitidos por la </w:t>
      </w:r>
      <w:r w:rsidR="0087045B" w:rsidRPr="0087045B">
        <w:rPr>
          <w:rFonts w:ascii="Arial" w:eastAsia="Arial" w:hAnsi="Arial" w:cs="Arial"/>
          <w:sz w:val="24"/>
          <w:szCs w:val="24"/>
        </w:rPr>
        <w:t>SCJN</w:t>
      </w:r>
      <w:r w:rsidR="00EC771E">
        <w:rPr>
          <w:rFonts w:ascii="Arial" w:eastAsia="Arial" w:hAnsi="Arial" w:cs="Arial"/>
          <w:sz w:val="24"/>
          <w:szCs w:val="24"/>
        </w:rPr>
        <w:t xml:space="preserve"> </w:t>
      </w:r>
      <w:r>
        <w:rPr>
          <w:rFonts w:ascii="Arial" w:eastAsia="Arial" w:hAnsi="Arial" w:cs="Arial"/>
          <w:sz w:val="24"/>
          <w:szCs w:val="24"/>
        </w:rPr>
        <w:t xml:space="preserve">y el Máximo Tribunal de la materia, quienes han sostenido, básicamente, que la inviolabilidad parlamentaria se limita a proteger aquellas manifestaciones realizadas por parlamentarios y parlamentarias en el ejercicio de alguna de sus actividades definidas en la ley como correspondientes al cargo, como lo podrían ser, entre otras, </w:t>
      </w:r>
      <w:r>
        <w:rPr>
          <w:rFonts w:ascii="Arial" w:eastAsia="Arial" w:hAnsi="Arial" w:cs="Arial"/>
          <w:b/>
          <w:sz w:val="24"/>
          <w:szCs w:val="24"/>
        </w:rPr>
        <w:t>sus intervenciones</w:t>
      </w:r>
      <w:r>
        <w:rPr>
          <w:rFonts w:ascii="Arial" w:eastAsia="Arial" w:hAnsi="Arial" w:cs="Arial"/>
          <w:sz w:val="24"/>
          <w:szCs w:val="24"/>
        </w:rPr>
        <w:t xml:space="preserve"> en comisiones o en</w:t>
      </w:r>
      <w:r>
        <w:rPr>
          <w:rFonts w:ascii="Arial" w:eastAsia="Arial" w:hAnsi="Arial" w:cs="Arial"/>
          <w:b/>
          <w:sz w:val="24"/>
          <w:szCs w:val="24"/>
        </w:rPr>
        <w:t xml:space="preserve"> pleno del órgano legislativo.</w:t>
      </w:r>
      <w:r>
        <w:rPr>
          <w:rFonts w:ascii="Arial" w:eastAsia="Arial" w:hAnsi="Arial" w:cs="Arial"/>
          <w:b/>
          <w:sz w:val="24"/>
          <w:szCs w:val="24"/>
          <w:vertAlign w:val="superscript"/>
        </w:rPr>
        <w:footnoteReference w:id="12"/>
      </w:r>
      <w:r>
        <w:rPr>
          <w:rFonts w:ascii="Arial" w:eastAsia="Arial" w:hAnsi="Arial" w:cs="Arial"/>
          <w:sz w:val="24"/>
          <w:szCs w:val="24"/>
        </w:rPr>
        <w:t xml:space="preserve"> </w:t>
      </w:r>
    </w:p>
    <w:p w14:paraId="6C1C7F47" w14:textId="77777777" w:rsidR="006C1DC5" w:rsidRDefault="006C1DC5" w:rsidP="002F0F05">
      <w:pPr>
        <w:pStyle w:val="Sinespaciado"/>
        <w:rPr>
          <w:rFonts w:eastAsia="Arial"/>
        </w:rPr>
      </w:pPr>
    </w:p>
    <w:p w14:paraId="1C4BCA25"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De ahí que sea posible advertir que el principio de inviolabilidad parlamentaria obliga tanto al gobierno como a los particulares a tolerar manifestaciones vertidas en su contra a pesar de que consideren que estas pudiesen resultar difamatorias, ya que el bien jurídico que se pretende proteger es, precisamente, la </w:t>
      </w:r>
      <w:r>
        <w:rPr>
          <w:rFonts w:ascii="Arial" w:eastAsia="Arial" w:hAnsi="Arial" w:cs="Arial"/>
          <w:b/>
          <w:sz w:val="24"/>
          <w:szCs w:val="24"/>
        </w:rPr>
        <w:t>función del Poder Legislativo</w:t>
      </w:r>
      <w:r>
        <w:rPr>
          <w:rFonts w:ascii="Arial" w:eastAsia="Arial" w:hAnsi="Arial" w:cs="Arial"/>
          <w:sz w:val="24"/>
          <w:szCs w:val="24"/>
        </w:rPr>
        <w:t>.</w:t>
      </w:r>
    </w:p>
    <w:p w14:paraId="2296B0F4" w14:textId="77777777" w:rsidR="006C1DC5" w:rsidRDefault="006C1DC5" w:rsidP="002F0F05">
      <w:pPr>
        <w:pStyle w:val="Sinespaciado"/>
        <w:rPr>
          <w:rFonts w:eastAsia="Arial"/>
        </w:rPr>
      </w:pPr>
    </w:p>
    <w:p w14:paraId="0A0F4D5F" w14:textId="221B1524"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Por último, debe tomarse en cuenta que, a criterio de la SCJN, en el caso de que tales opiniones se consideren ofensivas o infamantes, se actualiza la competencia del propio órgano legislativo para calificar tales expresiones y, en su caso, sancionarlas, ello solamente puede ocurrir a través de la presidencia del propio </w:t>
      </w:r>
      <w:r w:rsidR="00EC771E">
        <w:rPr>
          <w:rFonts w:ascii="Arial" w:eastAsia="Arial" w:hAnsi="Arial" w:cs="Arial"/>
          <w:sz w:val="24"/>
          <w:szCs w:val="24"/>
        </w:rPr>
        <w:t>Órgano.</w:t>
      </w:r>
      <w:r>
        <w:rPr>
          <w:rFonts w:ascii="Arial" w:eastAsia="Arial" w:hAnsi="Arial" w:cs="Arial"/>
          <w:sz w:val="24"/>
          <w:szCs w:val="24"/>
        </w:rPr>
        <w:t xml:space="preserve"> Esta situación de excepción tiene como propósito esencial </w:t>
      </w:r>
      <w:r>
        <w:rPr>
          <w:rFonts w:ascii="Arial" w:eastAsia="Arial" w:hAnsi="Arial" w:cs="Arial"/>
          <w:b/>
          <w:sz w:val="24"/>
          <w:szCs w:val="24"/>
        </w:rPr>
        <w:t>evitar que</w:t>
      </w:r>
      <w:r>
        <w:rPr>
          <w:rFonts w:ascii="Arial" w:eastAsia="Arial" w:hAnsi="Arial" w:cs="Arial"/>
          <w:sz w:val="24"/>
          <w:szCs w:val="24"/>
        </w:rPr>
        <w:t xml:space="preserve"> </w:t>
      </w:r>
      <w:r>
        <w:rPr>
          <w:rFonts w:ascii="Arial" w:eastAsia="Arial" w:hAnsi="Arial" w:cs="Arial"/>
          <w:b/>
          <w:sz w:val="24"/>
          <w:szCs w:val="24"/>
        </w:rPr>
        <w:t xml:space="preserve">ninguna entidad externa incida en la organización del ente </w:t>
      </w:r>
      <w:r>
        <w:rPr>
          <w:rFonts w:ascii="Arial" w:eastAsia="Arial" w:hAnsi="Arial" w:cs="Arial"/>
          <w:sz w:val="24"/>
          <w:szCs w:val="24"/>
        </w:rPr>
        <w:t xml:space="preserve">a proteger. </w:t>
      </w:r>
    </w:p>
    <w:p w14:paraId="0817E8FE" w14:textId="77777777" w:rsidR="006C1DC5" w:rsidRDefault="006C1DC5" w:rsidP="002F0F05">
      <w:pPr>
        <w:pStyle w:val="Sinespaciado"/>
        <w:rPr>
          <w:rFonts w:eastAsia="Arial"/>
        </w:rPr>
      </w:pPr>
    </w:p>
    <w:p w14:paraId="18520396"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sz w:val="24"/>
          <w:szCs w:val="24"/>
        </w:rPr>
        <w:t>Así, en atención al análisis abordado en la presente resolución, este Tribunal Electoral estima que lo procedente es declarar la inexistencia de las infracciones cuestionadas, pues de acuerdo al marco normativo vigente en materia de procedimientos sancionadores</w:t>
      </w:r>
      <w:r>
        <w:rPr>
          <w:rFonts w:ascii="Arial" w:eastAsia="Arial" w:hAnsi="Arial" w:cs="Arial"/>
          <w:sz w:val="24"/>
          <w:szCs w:val="24"/>
          <w:vertAlign w:val="superscript"/>
        </w:rPr>
        <w:footnoteReference w:id="13"/>
      </w:r>
      <w:r>
        <w:rPr>
          <w:rFonts w:ascii="Arial" w:eastAsia="Arial" w:hAnsi="Arial" w:cs="Arial"/>
          <w:sz w:val="24"/>
          <w:szCs w:val="24"/>
        </w:rPr>
        <w:t>, al órgano jurisdiccional únicamente les corresponde emitir la sentencia que se pronuncie de forma definitiva sobre la existencia o no de las infracciones que se denuncien.</w:t>
      </w:r>
    </w:p>
    <w:p w14:paraId="1D604485" w14:textId="77777777" w:rsidR="006C1DC5" w:rsidRDefault="006C1DC5" w:rsidP="002F0F05">
      <w:pPr>
        <w:pStyle w:val="Sinespaciado"/>
        <w:rPr>
          <w:rFonts w:eastAsia="Arial"/>
        </w:rPr>
      </w:pPr>
    </w:p>
    <w:p w14:paraId="1131708B" w14:textId="0EA2AC26"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b/>
          <w:sz w:val="24"/>
          <w:szCs w:val="24"/>
          <w:u w:val="single"/>
        </w:rPr>
      </w:pPr>
      <w:r>
        <w:rPr>
          <w:rFonts w:ascii="Arial" w:eastAsia="Arial" w:hAnsi="Arial" w:cs="Arial"/>
          <w:sz w:val="24"/>
          <w:szCs w:val="24"/>
        </w:rPr>
        <w:lastRenderedPageBreak/>
        <w:t xml:space="preserve">Por lo expuesto, como se adelantó, lo procedente es declarar la inexistencia de las infracciones denunciadas, ya que, a partir de las circunstancias que existieron -i) se emitió por una Senadora, ii) se trató de una opinión, iii) en el ejercicio de su función legislativa-, la emisión del mensaje denunciado </w:t>
      </w:r>
      <w:r>
        <w:rPr>
          <w:rFonts w:ascii="Arial" w:eastAsia="Arial" w:hAnsi="Arial" w:cs="Arial"/>
          <w:b/>
          <w:sz w:val="24"/>
          <w:szCs w:val="24"/>
        </w:rPr>
        <w:t>se encuentra amparado por el principio de la inviolabilidad parlamentaria</w:t>
      </w:r>
      <w:r w:rsidR="002F0F05">
        <w:rPr>
          <w:rFonts w:ascii="Arial" w:eastAsia="Arial" w:hAnsi="Arial" w:cs="Arial"/>
          <w:sz w:val="24"/>
          <w:szCs w:val="24"/>
        </w:rPr>
        <w:t xml:space="preserve"> y,</w:t>
      </w:r>
      <w:r>
        <w:rPr>
          <w:rFonts w:ascii="Arial" w:eastAsia="Arial" w:hAnsi="Arial" w:cs="Arial"/>
          <w:sz w:val="24"/>
          <w:szCs w:val="24"/>
        </w:rPr>
        <w:t xml:space="preserve"> por tanto, </w:t>
      </w:r>
      <w:r>
        <w:rPr>
          <w:rFonts w:ascii="Arial" w:eastAsia="Arial" w:hAnsi="Arial" w:cs="Arial"/>
          <w:b/>
          <w:sz w:val="24"/>
          <w:szCs w:val="24"/>
          <w:u w:val="single"/>
        </w:rPr>
        <w:t xml:space="preserve">escapa de la competencia del ámbito jurisdiccional electoral. </w:t>
      </w:r>
    </w:p>
    <w:p w14:paraId="30B75040" w14:textId="77777777" w:rsidR="006C1DC5" w:rsidRDefault="006C1DC5" w:rsidP="002F0F05">
      <w:pPr>
        <w:pStyle w:val="Sinespaciado"/>
        <w:rPr>
          <w:rFonts w:eastAsia="Arial"/>
        </w:rPr>
      </w:pPr>
    </w:p>
    <w:p w14:paraId="038E733B"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sz w:val="24"/>
          <w:szCs w:val="24"/>
        </w:rPr>
      </w:pPr>
      <w:r>
        <w:rPr>
          <w:rFonts w:ascii="Arial" w:eastAsia="Arial" w:hAnsi="Arial" w:cs="Arial"/>
          <w:b/>
          <w:sz w:val="24"/>
          <w:szCs w:val="24"/>
          <w:u w:val="single"/>
        </w:rPr>
        <w:t>Culpa in vigilando.</w:t>
      </w:r>
      <w:r>
        <w:rPr>
          <w:rFonts w:ascii="Arial" w:eastAsia="Arial" w:hAnsi="Arial" w:cs="Arial"/>
          <w:sz w:val="24"/>
          <w:szCs w:val="24"/>
        </w:rPr>
        <w:t xml:space="preserve"> Esta autoridad jurisdiccional estima que, dado que se acreditó la inexistencia de las infracciones cuestionadas derivado de la falta de competencia del Tribunal Electoral para conocer los hechos denunciados, igualmente debe desestimarse la responsabilidad imputada a los partidos políticos PT y PVEM.</w:t>
      </w:r>
    </w:p>
    <w:p w14:paraId="0AE758F5" w14:textId="77777777" w:rsidR="006C1DC5" w:rsidRDefault="006C1DC5" w:rsidP="002F0F05">
      <w:pPr>
        <w:pStyle w:val="Sinespaciado"/>
        <w:rPr>
          <w:rFonts w:eastAsia="Arial"/>
        </w:rPr>
      </w:pPr>
    </w:p>
    <w:p w14:paraId="684C5D28" w14:textId="77777777" w:rsidR="006C1DC5" w:rsidRDefault="00781BFC">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sz w:val="24"/>
          <w:szCs w:val="24"/>
        </w:rPr>
        <w:t>IV</w:t>
      </w:r>
      <w:r>
        <w:rPr>
          <w:rFonts w:ascii="Arial" w:eastAsia="Arial" w:hAnsi="Arial" w:cs="Arial"/>
          <w:b/>
          <w:color w:val="000000"/>
          <w:sz w:val="24"/>
          <w:szCs w:val="24"/>
        </w:rPr>
        <w:t>. Resolutivos</w:t>
      </w:r>
    </w:p>
    <w:p w14:paraId="549EC389" w14:textId="77777777" w:rsidR="006C1DC5" w:rsidRDefault="006C1DC5" w:rsidP="002F0F05">
      <w:pPr>
        <w:pStyle w:val="Sinespaciado"/>
        <w:rPr>
          <w:rFonts w:eastAsia="Arial"/>
        </w:rPr>
      </w:pPr>
    </w:p>
    <w:p w14:paraId="69C05035" w14:textId="77777777" w:rsidR="006C1DC5" w:rsidRDefault="00781BFC">
      <w:pPr>
        <w:spacing w:line="360" w:lineRule="auto"/>
        <w:jc w:val="both"/>
        <w:rPr>
          <w:rFonts w:ascii="Arial" w:eastAsia="Arial" w:hAnsi="Arial" w:cs="Arial"/>
          <w:sz w:val="24"/>
          <w:szCs w:val="24"/>
        </w:rPr>
      </w:pPr>
      <w:r>
        <w:rPr>
          <w:rFonts w:ascii="Arial" w:eastAsia="Arial" w:hAnsi="Arial" w:cs="Arial"/>
          <w:b/>
          <w:sz w:val="24"/>
          <w:szCs w:val="24"/>
        </w:rPr>
        <w:t>Primero.</w:t>
      </w:r>
      <w:r>
        <w:rPr>
          <w:rFonts w:ascii="Arial" w:eastAsia="Arial" w:hAnsi="Arial" w:cs="Arial"/>
          <w:sz w:val="24"/>
          <w:szCs w:val="24"/>
        </w:rPr>
        <w:t xml:space="preserve"> Se declara la </w:t>
      </w:r>
      <w:r>
        <w:rPr>
          <w:rFonts w:ascii="Arial" w:eastAsia="Arial" w:hAnsi="Arial" w:cs="Arial"/>
          <w:b/>
          <w:sz w:val="24"/>
          <w:szCs w:val="24"/>
        </w:rPr>
        <w:t xml:space="preserve">inexistencia </w:t>
      </w:r>
      <w:r>
        <w:rPr>
          <w:rFonts w:ascii="Arial" w:eastAsia="Arial" w:hAnsi="Arial" w:cs="Arial"/>
          <w:sz w:val="24"/>
          <w:szCs w:val="24"/>
        </w:rPr>
        <w:t>de las infracciones atribuidas a la ciudadana Martha Cecilia Márquez Alvarado, en su carácter de entonces Senadora de la República.</w:t>
      </w:r>
    </w:p>
    <w:p w14:paraId="11D2019C" w14:textId="77777777" w:rsidR="006C1DC5" w:rsidRDefault="006C1DC5" w:rsidP="002F0F05">
      <w:pPr>
        <w:pStyle w:val="Sinespaciado"/>
        <w:rPr>
          <w:rFonts w:eastAsia="Arial"/>
        </w:rPr>
      </w:pPr>
    </w:p>
    <w:p w14:paraId="409476EB" w14:textId="2873FAA9" w:rsidR="006C1DC5" w:rsidRDefault="00781BFC">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declara la inexistencia de la infracción de culpa in vigilando atribuida a los partidos políticos PT y PVEM.</w:t>
      </w:r>
    </w:p>
    <w:p w14:paraId="1AA2E685" w14:textId="77777777" w:rsidR="006C1DC5" w:rsidRDefault="006C1DC5" w:rsidP="002F0F05">
      <w:pPr>
        <w:pStyle w:val="Sinespaciado"/>
      </w:pPr>
    </w:p>
    <w:p w14:paraId="76724B4A"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Notifíquese. </w:t>
      </w:r>
    </w:p>
    <w:p w14:paraId="19BF40F5" w14:textId="77777777" w:rsidR="006C1DC5" w:rsidRPr="002F0F05" w:rsidRDefault="006C1DC5" w:rsidP="002F0F05">
      <w:pPr>
        <w:pStyle w:val="Sinespaciado"/>
        <w:rPr>
          <w:sz w:val="18"/>
          <w:szCs w:val="18"/>
        </w:rPr>
      </w:pPr>
    </w:p>
    <w:p w14:paraId="592BC035" w14:textId="77777777" w:rsidR="006C1DC5" w:rsidRDefault="00781BFC">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que lo integran, ante el Secretario General de Acuerdos, quien autoriza y da fe.</w:t>
      </w:r>
    </w:p>
    <w:p w14:paraId="7E799CD9" w14:textId="77777777" w:rsidR="006C1DC5" w:rsidRDefault="006C1DC5">
      <w:pPr>
        <w:spacing w:line="360" w:lineRule="auto"/>
        <w:jc w:val="both"/>
        <w:rPr>
          <w:rFonts w:ascii="Arial" w:eastAsia="Arial" w:hAnsi="Arial" w:cs="Arial"/>
          <w:sz w:val="24"/>
          <w:szCs w:val="24"/>
        </w:rPr>
      </w:pPr>
    </w:p>
    <w:tbl>
      <w:tblPr>
        <w:tblW w:w="8160" w:type="dxa"/>
        <w:jc w:val="center"/>
        <w:tblLayout w:type="fixed"/>
        <w:tblLook w:val="0400" w:firstRow="0" w:lastRow="0" w:firstColumn="0" w:lastColumn="0" w:noHBand="0" w:noVBand="1"/>
      </w:tblPr>
      <w:tblGrid>
        <w:gridCol w:w="4056"/>
        <w:gridCol w:w="4104"/>
      </w:tblGrid>
      <w:tr w:rsidR="000C346D" w14:paraId="07AAD757" w14:textId="77777777" w:rsidTr="008124E4">
        <w:trPr>
          <w:trHeight w:val="1129"/>
          <w:jc w:val="center"/>
        </w:trPr>
        <w:tc>
          <w:tcPr>
            <w:tcW w:w="8160" w:type="dxa"/>
            <w:gridSpan w:val="2"/>
            <w:shd w:val="clear" w:color="auto" w:fill="FFFFFF"/>
          </w:tcPr>
          <w:p w14:paraId="7EDB98E3" w14:textId="257302E8"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498541E9" w14:textId="77777777" w:rsidR="000C346D" w:rsidRDefault="000C346D" w:rsidP="008124E4">
            <w:pPr>
              <w:pBdr>
                <w:top w:val="nil"/>
                <w:left w:val="nil"/>
                <w:bottom w:val="nil"/>
                <w:right w:val="nil"/>
                <w:between w:val="nil"/>
              </w:pBdr>
              <w:spacing w:line="360" w:lineRule="auto"/>
              <w:ind w:right="49"/>
              <w:rPr>
                <w:rFonts w:ascii="Arial" w:eastAsia="Arial" w:hAnsi="Arial" w:cs="Arial"/>
                <w:b/>
                <w:color w:val="000000"/>
                <w:sz w:val="24"/>
                <w:szCs w:val="24"/>
              </w:rPr>
            </w:pPr>
          </w:p>
          <w:p w14:paraId="183E74D1" w14:textId="77777777"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F14425B" w14:textId="77777777" w:rsidR="000C346D" w:rsidRDefault="000C346D" w:rsidP="008124E4">
            <w:pPr>
              <w:pStyle w:val="Sinespaciado"/>
              <w:rPr>
                <w:rFonts w:eastAsia="Arial"/>
              </w:rPr>
            </w:pPr>
          </w:p>
          <w:p w14:paraId="37425B06" w14:textId="77777777" w:rsidR="000C346D" w:rsidRDefault="000C346D" w:rsidP="008124E4">
            <w:pPr>
              <w:pBdr>
                <w:top w:val="nil"/>
                <w:left w:val="nil"/>
                <w:bottom w:val="nil"/>
                <w:right w:val="nil"/>
                <w:between w:val="nil"/>
              </w:pBdr>
              <w:rPr>
                <w:color w:val="000000"/>
              </w:rPr>
            </w:pPr>
          </w:p>
        </w:tc>
      </w:tr>
      <w:tr w:rsidR="000C346D" w14:paraId="2F6D036F" w14:textId="77777777" w:rsidTr="008124E4">
        <w:trPr>
          <w:trHeight w:val="1484"/>
          <w:jc w:val="center"/>
        </w:trPr>
        <w:tc>
          <w:tcPr>
            <w:tcW w:w="4056" w:type="dxa"/>
            <w:shd w:val="clear" w:color="auto" w:fill="FFFFFF"/>
          </w:tcPr>
          <w:p w14:paraId="4013D622" w14:textId="0111DDB4"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w:t>
            </w:r>
          </w:p>
          <w:p w14:paraId="540AB2AA" w14:textId="77777777" w:rsidR="000C346D" w:rsidRDefault="000C346D" w:rsidP="008124E4">
            <w:pPr>
              <w:pBdr>
                <w:top w:val="nil"/>
                <w:left w:val="nil"/>
                <w:bottom w:val="nil"/>
                <w:right w:val="nil"/>
                <w:between w:val="nil"/>
              </w:pBdr>
              <w:rPr>
                <w:color w:val="000000"/>
              </w:rPr>
            </w:pPr>
          </w:p>
          <w:p w14:paraId="3974F535" w14:textId="77777777" w:rsidR="000C346D" w:rsidRDefault="000C346D" w:rsidP="008124E4">
            <w:pPr>
              <w:pBdr>
                <w:top w:val="nil"/>
                <w:left w:val="nil"/>
                <w:bottom w:val="nil"/>
                <w:right w:val="nil"/>
                <w:between w:val="nil"/>
              </w:pBdr>
              <w:rPr>
                <w:color w:val="000000"/>
              </w:rPr>
            </w:pPr>
          </w:p>
          <w:p w14:paraId="56EFB6BD" w14:textId="77777777"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5424B40" w14:textId="77777777"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104" w:type="dxa"/>
            <w:shd w:val="clear" w:color="auto" w:fill="FFFFFF"/>
          </w:tcPr>
          <w:p w14:paraId="1B4DA0E2" w14:textId="484340D2"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MAGISTRADO</w:t>
            </w:r>
          </w:p>
          <w:p w14:paraId="0C21AE49" w14:textId="77777777" w:rsidR="000C346D" w:rsidRDefault="000C346D" w:rsidP="008124E4">
            <w:pPr>
              <w:pBdr>
                <w:top w:val="nil"/>
                <w:left w:val="nil"/>
                <w:bottom w:val="nil"/>
                <w:right w:val="nil"/>
                <w:between w:val="nil"/>
              </w:pBdr>
              <w:rPr>
                <w:color w:val="000000"/>
              </w:rPr>
            </w:pPr>
          </w:p>
          <w:p w14:paraId="0327D222" w14:textId="77777777" w:rsidR="000C346D" w:rsidRDefault="000C346D" w:rsidP="008124E4">
            <w:pPr>
              <w:pBdr>
                <w:top w:val="nil"/>
                <w:left w:val="nil"/>
                <w:bottom w:val="nil"/>
                <w:right w:val="nil"/>
                <w:between w:val="nil"/>
              </w:pBdr>
              <w:rPr>
                <w:color w:val="000000"/>
              </w:rPr>
            </w:pPr>
          </w:p>
          <w:p w14:paraId="29B50AE4" w14:textId="77777777"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HÉCTOR SALVADOR HERNÁNDEZ GALLEGOS</w:t>
            </w:r>
          </w:p>
          <w:p w14:paraId="216F8A93" w14:textId="77777777" w:rsidR="000C346D" w:rsidRDefault="000C346D" w:rsidP="008124E4">
            <w:pPr>
              <w:pBdr>
                <w:top w:val="nil"/>
                <w:left w:val="nil"/>
                <w:bottom w:val="nil"/>
                <w:right w:val="nil"/>
                <w:between w:val="nil"/>
              </w:pBdr>
              <w:spacing w:line="360" w:lineRule="auto"/>
              <w:ind w:right="49"/>
              <w:rPr>
                <w:rFonts w:ascii="Arial" w:eastAsia="Arial" w:hAnsi="Arial" w:cs="Arial"/>
                <w:b/>
                <w:color w:val="000000"/>
                <w:sz w:val="24"/>
                <w:szCs w:val="24"/>
              </w:rPr>
            </w:pPr>
          </w:p>
          <w:p w14:paraId="4F23E74B" w14:textId="77777777" w:rsidR="000C346D" w:rsidRDefault="000C346D" w:rsidP="008124E4">
            <w:pPr>
              <w:pStyle w:val="Sinespaciado"/>
            </w:pPr>
          </w:p>
        </w:tc>
      </w:tr>
      <w:tr w:rsidR="000C346D" w14:paraId="0939014E" w14:textId="77777777" w:rsidTr="008124E4">
        <w:trPr>
          <w:trHeight w:val="881"/>
          <w:jc w:val="center"/>
        </w:trPr>
        <w:tc>
          <w:tcPr>
            <w:tcW w:w="8160" w:type="dxa"/>
            <w:gridSpan w:val="2"/>
            <w:shd w:val="clear" w:color="auto" w:fill="FFFFFF"/>
          </w:tcPr>
          <w:p w14:paraId="04299557" w14:textId="571A82A8"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4A52E02E" w14:textId="77777777"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p>
          <w:p w14:paraId="686F19AD" w14:textId="77777777" w:rsidR="000C346D" w:rsidRDefault="000C346D" w:rsidP="008124E4">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JESÚS OCIEL BAENA SAUCEDO</w:t>
            </w:r>
          </w:p>
        </w:tc>
      </w:tr>
    </w:tbl>
    <w:p w14:paraId="527F9EC6" w14:textId="77777777" w:rsidR="006C1DC5" w:rsidRDefault="006C1DC5">
      <w:pPr>
        <w:spacing w:line="360" w:lineRule="auto"/>
        <w:rPr>
          <w:rFonts w:ascii="Arial" w:eastAsia="Arial" w:hAnsi="Arial" w:cs="Arial"/>
          <w:sz w:val="24"/>
          <w:szCs w:val="24"/>
        </w:rPr>
      </w:pPr>
    </w:p>
    <w:p w14:paraId="04FB05C6" w14:textId="77777777" w:rsidR="006C1DC5" w:rsidRDefault="006C1DC5"/>
    <w:sectPr w:rsidR="006C1DC5" w:rsidSect="00F42EE6">
      <w:headerReference w:type="even" r:id="rId9"/>
      <w:headerReference w:type="default" r:id="rId10"/>
      <w:footerReference w:type="even" r:id="rId11"/>
      <w:footerReference w:type="default" r:id="rId12"/>
      <w:headerReference w:type="first" r:id="rId13"/>
      <w:footerReference w:type="first" r:id="rId14"/>
      <w:pgSz w:w="12240" w:h="20160" w:code="5"/>
      <w:pgMar w:top="2268" w:right="1134" w:bottom="1276" w:left="1418"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7A427" w14:textId="77777777" w:rsidR="00AC1509" w:rsidRDefault="00AC1509">
      <w:r>
        <w:separator/>
      </w:r>
    </w:p>
  </w:endnote>
  <w:endnote w:type="continuationSeparator" w:id="0">
    <w:p w14:paraId="5EE4A039" w14:textId="77777777" w:rsidR="00AC1509" w:rsidRDefault="00AC1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BB70" w14:textId="77777777" w:rsidR="006C1DC5" w:rsidRDefault="006C1DC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950E1" w14:textId="77777777" w:rsidR="006C1DC5" w:rsidRDefault="006C1DC5">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6AC0C" w14:textId="77777777" w:rsidR="006C1DC5" w:rsidRDefault="006C1DC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2F20F" w14:textId="77777777" w:rsidR="00AC1509" w:rsidRDefault="00AC1509">
      <w:r>
        <w:separator/>
      </w:r>
    </w:p>
  </w:footnote>
  <w:footnote w:type="continuationSeparator" w:id="0">
    <w:p w14:paraId="6FEAA33F" w14:textId="77777777" w:rsidR="00AC1509" w:rsidRDefault="00AC1509">
      <w:r>
        <w:continuationSeparator/>
      </w:r>
    </w:p>
  </w:footnote>
  <w:footnote w:id="1">
    <w:p w14:paraId="7FAEE5F8" w14:textId="77777777" w:rsidR="006C1DC5" w:rsidRDefault="00781BFC">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3B9540F" w14:textId="77777777" w:rsidR="006C1DC5" w:rsidRDefault="00781BFC">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27DAB2DF" w14:textId="77777777" w:rsidR="006C1DC5" w:rsidRDefault="00781BFC">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0C0CCC63" w14:textId="77777777" w:rsidR="006C1DC5" w:rsidRDefault="00781BFC">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5">
    <w:p w14:paraId="6209AE5B" w14:textId="2530E905" w:rsidR="006C1DC5" w:rsidRDefault="00781BFC">
      <w:pPr>
        <w:jc w:val="both"/>
      </w:pPr>
      <w:r>
        <w:rPr>
          <w:vertAlign w:val="superscript"/>
        </w:rPr>
        <w:footnoteRef/>
      </w:r>
      <w:r>
        <w:t xml:space="preserve"> </w:t>
      </w:r>
      <w:r>
        <w:rPr>
          <w:rFonts w:ascii="Arial" w:eastAsia="Arial" w:hAnsi="Arial" w:cs="Arial"/>
        </w:rPr>
        <w:t xml:space="preserve">Artículo 61. Los diputados y senadores son inviolables por las opiniones que manifiesten en el desempeño de sus cargos, y jamás podrán ser reconvenidos por ellas. El </w:t>
      </w:r>
      <w:r w:rsidR="002F0F05">
        <w:rPr>
          <w:rFonts w:ascii="Arial" w:eastAsia="Arial" w:hAnsi="Arial" w:cs="Arial"/>
        </w:rPr>
        <w:t>presidente</w:t>
      </w:r>
      <w:r>
        <w:rPr>
          <w:rFonts w:ascii="Arial" w:eastAsia="Arial" w:hAnsi="Arial" w:cs="Arial"/>
        </w:rPr>
        <w:t xml:space="preserve"> de cada Cámara velará por el respeto al fuero constitucional de los miembros de la misma y por la inviolabilidad del recinto donde se reúnan a sesionar.</w:t>
      </w:r>
    </w:p>
  </w:footnote>
  <w:footnote w:id="6">
    <w:p w14:paraId="2872C256" w14:textId="77777777" w:rsidR="006C1DC5" w:rsidRDefault="00781BFC">
      <w:pPr>
        <w:jc w:val="both"/>
        <w:rPr>
          <w:rFonts w:ascii="Arial" w:eastAsia="Arial" w:hAnsi="Arial" w:cs="Arial"/>
        </w:rPr>
      </w:pPr>
      <w:r>
        <w:rPr>
          <w:vertAlign w:val="superscript"/>
        </w:rPr>
        <w:footnoteRef/>
      </w:r>
      <w:r>
        <w:t xml:space="preserve"> </w:t>
      </w:r>
      <w:r>
        <w:rPr>
          <w:rFonts w:ascii="Arial" w:eastAsia="Arial" w:hAnsi="Arial" w:cs="Arial"/>
        </w:rPr>
        <w:t xml:space="preserve">Tesis 1a. XXX/2000, de rubro: </w:t>
      </w:r>
      <w:r>
        <w:rPr>
          <w:rFonts w:ascii="Arial" w:eastAsia="Arial" w:hAnsi="Arial" w:cs="Arial"/>
          <w:i/>
        </w:rPr>
        <w:t>“INMUNIDAD LEGISLATIVA. OBJETO Y ALCANCES DE LA GARANTÍA PREVISTA EN EL ARTÍCULO 61 DE LA CONSTITUCIÓN FEDERAL”</w:t>
      </w:r>
      <w:r>
        <w:rPr>
          <w:rFonts w:ascii="Arial" w:eastAsia="Arial" w:hAnsi="Arial" w:cs="Arial"/>
        </w:rPr>
        <w:t xml:space="preserve">, visible en el </w:t>
      </w:r>
      <w:r>
        <w:rPr>
          <w:rFonts w:ascii="Arial" w:eastAsia="Arial" w:hAnsi="Arial" w:cs="Arial"/>
          <w:color w:val="212529"/>
          <w:highlight w:val="white"/>
        </w:rPr>
        <w:t>Semanario Judicial de la Federación y su Gaceta, tomo XII, año 2000, página 245.</w:t>
      </w:r>
    </w:p>
  </w:footnote>
  <w:footnote w:id="7">
    <w:p w14:paraId="55961896" w14:textId="77777777" w:rsidR="006C1DC5" w:rsidRDefault="00781BFC">
      <w:pPr>
        <w:jc w:val="both"/>
        <w:rPr>
          <w:rFonts w:ascii="Arial" w:eastAsia="Arial" w:hAnsi="Arial" w:cs="Arial"/>
        </w:rPr>
      </w:pPr>
      <w:r>
        <w:rPr>
          <w:vertAlign w:val="superscript"/>
        </w:rPr>
        <w:footnoteRef/>
      </w:r>
      <w:r>
        <w:t xml:space="preserve"> </w:t>
      </w:r>
      <w:r>
        <w:rPr>
          <w:rFonts w:ascii="Arial" w:eastAsia="Arial" w:hAnsi="Arial" w:cs="Arial"/>
        </w:rPr>
        <w:t>Tesis P. I/2011, de rubro:</w:t>
      </w:r>
      <w:r>
        <w:rPr>
          <w:rFonts w:ascii="Arial" w:eastAsia="Arial" w:hAnsi="Arial" w:cs="Arial"/>
          <w:i/>
        </w:rPr>
        <w:t xml:space="preserve"> “INVIOLABILIDAD PARLAMENTARIA. SÓLO PROTEGE LAS OPINIONES EMITIDAS POR LOS LEGISLADORES EN EL DESEMPEÑO DE SU FUNCIÓN PARLAMENTARIA”</w:t>
      </w:r>
      <w:r>
        <w:rPr>
          <w:rFonts w:ascii="Arial" w:eastAsia="Arial" w:hAnsi="Arial" w:cs="Arial"/>
        </w:rPr>
        <w:t xml:space="preserve">, visible en el </w:t>
      </w:r>
      <w:r>
        <w:rPr>
          <w:rFonts w:ascii="Arial" w:eastAsia="Arial" w:hAnsi="Arial" w:cs="Arial"/>
          <w:color w:val="212529"/>
          <w:highlight w:val="white"/>
        </w:rPr>
        <w:t>Semanario Judicial de la Federación y su Gaceta, tomo XXXIII, año 2011, página 7.</w:t>
      </w:r>
    </w:p>
  </w:footnote>
  <w:footnote w:id="8">
    <w:p w14:paraId="7A3A06EF" w14:textId="77777777" w:rsidR="006C1DC5" w:rsidRDefault="00781BFC">
      <w:pPr>
        <w:jc w:val="both"/>
        <w:rPr>
          <w:rFonts w:ascii="Arial" w:eastAsia="Arial" w:hAnsi="Arial" w:cs="Arial"/>
        </w:rPr>
      </w:pPr>
      <w:r>
        <w:rPr>
          <w:vertAlign w:val="superscript"/>
        </w:rPr>
        <w:footnoteRef/>
      </w:r>
      <w:r>
        <w:rPr>
          <w:rFonts w:ascii="Arial" w:eastAsia="Arial" w:hAnsi="Arial" w:cs="Arial"/>
        </w:rPr>
        <w:t xml:space="preserve"> Tesis P. III/2011, de rubro: </w:t>
      </w:r>
      <w:r>
        <w:rPr>
          <w:rFonts w:ascii="Arial" w:eastAsia="Arial" w:hAnsi="Arial" w:cs="Arial"/>
          <w:i/>
        </w:rPr>
        <w:t>“INVIOLABILIDAD PARLAMENTARIA. LA CALIFICACIÓN Y LA CONSECUENTE SANCIÓN POR LAS OPINIONES QUE PUDIERAN CONSIDERARSE OFENSIVAS O INFAMANTES, O DE CUALQUIER FORMA INADMISIBLES, EMITIDAS POR LOS LEGISLADORES EN EL EJERCICIO DE LA FUNCIÓN PARLAMENTARIA, CORRESPONDEN AL PRESIDENTE DEL ÓRGANO LEGISLATIVO RESPECTIVO”</w:t>
      </w:r>
      <w:r>
        <w:rPr>
          <w:rFonts w:ascii="Arial" w:eastAsia="Arial" w:hAnsi="Arial" w:cs="Arial"/>
        </w:rPr>
        <w:t xml:space="preserve">, visible en el </w:t>
      </w:r>
      <w:r>
        <w:rPr>
          <w:rFonts w:ascii="Arial" w:eastAsia="Arial" w:hAnsi="Arial" w:cs="Arial"/>
          <w:color w:val="212529"/>
          <w:highlight w:val="white"/>
        </w:rPr>
        <w:t>Semanario Judicial de la Federación y su Gaceta, tomo XXXIII, año 2011, página 5.</w:t>
      </w:r>
    </w:p>
  </w:footnote>
  <w:footnote w:id="9">
    <w:p w14:paraId="1F28F3DD" w14:textId="77777777" w:rsidR="006C1DC5" w:rsidRDefault="00781BFC">
      <w:pPr>
        <w:jc w:val="both"/>
        <w:rPr>
          <w:rFonts w:ascii="Arial" w:eastAsia="Arial" w:hAnsi="Arial" w:cs="Arial"/>
        </w:rPr>
      </w:pPr>
      <w:r>
        <w:rPr>
          <w:vertAlign w:val="superscript"/>
        </w:rPr>
        <w:footnoteRef/>
      </w:r>
      <w:r>
        <w:t xml:space="preserve"> </w:t>
      </w:r>
      <w:r>
        <w:rPr>
          <w:rFonts w:ascii="Arial" w:eastAsia="Arial" w:hAnsi="Arial" w:cs="Arial"/>
        </w:rPr>
        <w:t>Artículo 87 1. Los debates en el Pleno inician con la presentación de dictámenes, proposiciones, mociones, informes, temas de agenda política o demás asuntos, que se someten a la deliberación y, en su caso, a votación.</w:t>
      </w:r>
    </w:p>
  </w:footnote>
  <w:footnote w:id="10">
    <w:p w14:paraId="0EB2733E" w14:textId="77777777" w:rsidR="002F0F05" w:rsidRDefault="00781BFC">
      <w:pPr>
        <w:jc w:val="both"/>
        <w:rPr>
          <w:rFonts w:ascii="Arial" w:eastAsia="Arial" w:hAnsi="Arial" w:cs="Arial"/>
        </w:rPr>
      </w:pPr>
      <w:r>
        <w:rPr>
          <w:vertAlign w:val="superscript"/>
        </w:rPr>
        <w:footnoteRef/>
      </w:r>
      <w:r>
        <w:t xml:space="preserve"> </w:t>
      </w:r>
      <w:r>
        <w:rPr>
          <w:rFonts w:ascii="Arial" w:eastAsia="Arial" w:hAnsi="Arial" w:cs="Arial"/>
        </w:rPr>
        <w:t>Artículo 8. 1. Son derechos de los senadores: [...]</w:t>
      </w:r>
      <w:r w:rsidR="002F0F05">
        <w:rPr>
          <w:rFonts w:ascii="Arial" w:eastAsia="Arial" w:hAnsi="Arial" w:cs="Arial"/>
        </w:rPr>
        <w:t xml:space="preserve"> </w:t>
      </w:r>
    </w:p>
    <w:p w14:paraId="4B901267" w14:textId="0B59CA4C" w:rsidR="006C1DC5" w:rsidRDefault="00781BFC">
      <w:pPr>
        <w:jc w:val="both"/>
        <w:rPr>
          <w:rFonts w:ascii="Arial" w:eastAsia="Arial" w:hAnsi="Arial" w:cs="Arial"/>
        </w:rPr>
      </w:pPr>
      <w:r>
        <w:rPr>
          <w:rFonts w:ascii="Arial" w:eastAsia="Arial" w:hAnsi="Arial" w:cs="Arial"/>
        </w:rPr>
        <w:t>II. Presentar proposiciones ante el Senado o la Comisión Permanente</w:t>
      </w:r>
    </w:p>
  </w:footnote>
  <w:footnote w:id="11">
    <w:p w14:paraId="711ED44E" w14:textId="77777777" w:rsidR="006C1DC5" w:rsidRDefault="00781BFC">
      <w:pPr>
        <w:jc w:val="both"/>
        <w:rPr>
          <w:rFonts w:ascii="Arial" w:eastAsia="Arial" w:hAnsi="Arial" w:cs="Arial"/>
        </w:rPr>
      </w:pPr>
      <w:r>
        <w:rPr>
          <w:vertAlign w:val="superscript"/>
        </w:rPr>
        <w:footnoteRef/>
      </w:r>
      <w:r>
        <w:t xml:space="preserve"> </w:t>
      </w:r>
      <w:r>
        <w:rPr>
          <w:rFonts w:ascii="Arial" w:eastAsia="Arial" w:hAnsi="Arial" w:cs="Arial"/>
        </w:rPr>
        <w:t>Artículo 276 1. Los senadores y los grupos parlamentarios también presentan proposiciones con punto de acuerdo con el objeto de atender asuntos que no constituyen iniciativas de ley o decreto. Se entiende por proposición con punto de acuerdo a toda petición o declaración formal que el Pleno del Senado de la República realiza para asumir una postura institucional respecto a asuntos de diversas índoles y sin carácter vinculante [...]</w:t>
      </w:r>
    </w:p>
  </w:footnote>
  <w:footnote w:id="12">
    <w:p w14:paraId="46C3A64D" w14:textId="77777777" w:rsidR="006C1DC5" w:rsidRDefault="00781BFC">
      <w:pPr>
        <w:jc w:val="both"/>
        <w:rPr>
          <w:rFonts w:ascii="Arial" w:eastAsia="Arial" w:hAnsi="Arial" w:cs="Arial"/>
        </w:rPr>
      </w:pPr>
      <w:r>
        <w:rPr>
          <w:vertAlign w:val="superscript"/>
        </w:rPr>
        <w:footnoteRef/>
      </w:r>
      <w:r>
        <w:rPr>
          <w:rFonts w:ascii="Arial" w:eastAsia="Arial" w:hAnsi="Arial" w:cs="Arial"/>
        </w:rPr>
        <w:t xml:space="preserve"> Consúltese asunto SUP-REP-68/2022.</w:t>
      </w:r>
    </w:p>
  </w:footnote>
  <w:footnote w:id="13">
    <w:p w14:paraId="5E6C75A9" w14:textId="4F5099AD" w:rsidR="006C1DC5" w:rsidRDefault="00781BFC">
      <w:pPr>
        <w:jc w:val="both"/>
        <w:rPr>
          <w:rFonts w:ascii="Arial" w:eastAsia="Arial" w:hAnsi="Arial" w:cs="Arial"/>
        </w:rPr>
      </w:pPr>
      <w:r>
        <w:rPr>
          <w:vertAlign w:val="superscript"/>
        </w:rPr>
        <w:footnoteRef/>
      </w:r>
      <w:r>
        <w:t xml:space="preserve"> </w:t>
      </w:r>
      <w:r>
        <w:rPr>
          <w:rFonts w:ascii="Arial" w:eastAsia="Arial" w:hAnsi="Arial" w:cs="Arial"/>
        </w:rPr>
        <w:t xml:space="preserve">ARTÍCULO 275.- Las sentencias que resuelvan el procedimiento especial sancionador, podrán tener los efectos siguientes: I. Declarar la inexistencia de la violación objeto de la queja o denuncia y, en su caso, revocar las medidas cautelares que se hubieren impuesto, o II. Declarar la existencia de la violación objeto de la queja o denuncia y, en su caso, imponer las sanciones que resulten procedentes en términos de lo dispuesto en este Código.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93C7" w14:textId="6137934B" w:rsidR="006C1DC5" w:rsidRDefault="00AC1509">
    <w:pPr>
      <w:pBdr>
        <w:top w:val="nil"/>
        <w:left w:val="nil"/>
        <w:bottom w:val="nil"/>
        <w:right w:val="nil"/>
        <w:between w:val="nil"/>
      </w:pBdr>
      <w:tabs>
        <w:tab w:val="center" w:pos="4419"/>
        <w:tab w:val="right" w:pos="8838"/>
      </w:tabs>
      <w:rPr>
        <w:color w:val="000000"/>
      </w:rPr>
    </w:pPr>
    <w:r>
      <w:rPr>
        <w:noProof/>
      </w:rPr>
      <w:pict w14:anchorId="5775E7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0404704"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781BFC">
      <w:rPr>
        <w:noProof/>
        <w:color w:val="000000"/>
      </w:rPr>
      <mc:AlternateContent>
        <mc:Choice Requires="wps">
          <w:drawing>
            <wp:anchor distT="0" distB="0" distL="0" distR="0" simplePos="0" relativeHeight="251658240" behindDoc="1" locked="0" layoutInCell="1" hidden="0" allowOverlap="1" wp14:anchorId="69652E97" wp14:editId="69B9333D">
              <wp:simplePos x="0" y="0"/>
              <wp:positionH relativeFrom="margin">
                <wp:align>center</wp:align>
              </wp:positionH>
              <wp:positionV relativeFrom="margin">
                <wp:align>center</wp:align>
              </wp:positionV>
              <wp:extent cx="15921757" cy="15921757"/>
              <wp:effectExtent l="0" t="0" r="0" b="0"/>
              <wp:wrapNone/>
              <wp:docPr id="56" name="Rectángulo 56"/>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23A97FC8" w14:textId="77777777" w:rsidR="006C1DC5" w:rsidRDefault="00781BFC">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69652E97" id="Rectángulo 56" o:spid="_x0000_s1026" style="position:absolute;margin-left:0;margin-top:0;width:1253.7pt;height:1253.7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" filled="f" stroked="f">
              <v:textbox inset="2.53958mm,2.53958mm,2.53958mm,2.53958mm">
                <w:txbxContent>
                  <w:p w14:paraId="23A97FC8" w14:textId="77777777" w:rsidR="006C1DC5" w:rsidRDefault="00781BFC">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FF222" w14:textId="519B98A7" w:rsidR="006C1DC5" w:rsidRDefault="00AC1509">
    <w:pPr>
      <w:pBdr>
        <w:top w:val="nil"/>
        <w:left w:val="nil"/>
        <w:bottom w:val="nil"/>
        <w:right w:val="nil"/>
        <w:between w:val="nil"/>
      </w:pBdr>
      <w:tabs>
        <w:tab w:val="center" w:pos="4419"/>
        <w:tab w:val="right" w:pos="8838"/>
      </w:tabs>
    </w:pPr>
    <w:r>
      <w:rPr>
        <w:noProof/>
      </w:rPr>
      <w:pict w14:anchorId="0909A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0404705"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502195423"/>
      <w:docPartObj>
        <w:docPartGallery w:val="Page Numbers (Margins)"/>
        <w:docPartUnique/>
      </w:docPartObj>
    </w:sdtPr>
    <w:sdtEndPr/>
    <w:sdtContent>
      <w:p w14:paraId="7A340EC0" w14:textId="77777777" w:rsidR="006C1DC5" w:rsidRDefault="00F42EE6">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00B57CBB" wp14:editId="42417C3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D7EB872" w14:textId="77777777" w:rsidR="00F42EE6" w:rsidRDefault="00F42EE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57CBB" id="Rectángulo 1" o:spid="_x0000_s1027"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D7EB872" w14:textId="77777777" w:rsidR="00F42EE6" w:rsidRDefault="00F42EE6">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5FD8C88F" w14:textId="77777777" w:rsidR="006C1DC5" w:rsidRDefault="006C1DC5">
    <w:pPr>
      <w:pBdr>
        <w:top w:val="nil"/>
        <w:left w:val="nil"/>
        <w:bottom w:val="nil"/>
        <w:right w:val="nil"/>
        <w:between w:val="nil"/>
      </w:pBdr>
      <w:tabs>
        <w:tab w:val="center" w:pos="4419"/>
        <w:tab w:val="right" w:pos="8838"/>
      </w:tabs>
    </w:pPr>
  </w:p>
  <w:p w14:paraId="1A92F75C" w14:textId="77777777" w:rsidR="006C1DC5" w:rsidRDefault="00781BFC">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00EFA9F1" wp14:editId="055742EB">
          <wp:extent cx="995527" cy="1154534"/>
          <wp:effectExtent l="0" t="0" r="0" b="0"/>
          <wp:docPr id="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6293" w14:textId="529C5E68" w:rsidR="006C1DC5" w:rsidRDefault="00AC1509">
    <w:pPr>
      <w:pBdr>
        <w:top w:val="nil"/>
        <w:left w:val="nil"/>
        <w:bottom w:val="nil"/>
        <w:right w:val="nil"/>
        <w:between w:val="nil"/>
      </w:pBdr>
      <w:tabs>
        <w:tab w:val="center" w:pos="4419"/>
        <w:tab w:val="right" w:pos="8838"/>
      </w:tabs>
      <w:rPr>
        <w:color w:val="000000"/>
      </w:rPr>
    </w:pPr>
    <w:r>
      <w:rPr>
        <w:noProof/>
      </w:rPr>
      <w:pict w14:anchorId="0CC091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0404703"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37D3"/>
    <w:multiLevelType w:val="hybridMultilevel"/>
    <w:tmpl w:val="377280B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DC5"/>
    <w:rsid w:val="0002697D"/>
    <w:rsid w:val="000C346D"/>
    <w:rsid w:val="00173CF0"/>
    <w:rsid w:val="001A2C1D"/>
    <w:rsid w:val="001D0540"/>
    <w:rsid w:val="002E474E"/>
    <w:rsid w:val="002F0F05"/>
    <w:rsid w:val="006C1DC5"/>
    <w:rsid w:val="00781BFC"/>
    <w:rsid w:val="007874DB"/>
    <w:rsid w:val="008032C8"/>
    <w:rsid w:val="008115E5"/>
    <w:rsid w:val="0087045B"/>
    <w:rsid w:val="0087210C"/>
    <w:rsid w:val="00A810C3"/>
    <w:rsid w:val="00AC1509"/>
    <w:rsid w:val="00B16E54"/>
    <w:rsid w:val="00B52956"/>
    <w:rsid w:val="00C50429"/>
    <w:rsid w:val="00DC0EDA"/>
    <w:rsid w:val="00EC771E"/>
    <w:rsid w:val="00F42E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FCEDE"/>
  <w15:docId w15:val="{9BAC227C-6286-47F6-8789-BC735289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93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uiPriority w:val="1"/>
    <w:qFormat/>
    <w:rsid w:val="00C96933"/>
  </w:style>
  <w:style w:type="table" w:customStyle="1" w:styleId="Tabladecuadrcula4-nfasis31">
    <w:name w:val="Tabla de cuadrícula 4 - Énfasis 31"/>
    <w:basedOn w:val="Tablanormal"/>
    <w:next w:val="Tablaconcuadrcula4-nfasis3"/>
    <w:uiPriority w:val="49"/>
    <w:rsid w:val="00C9693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ipervnculo">
    <w:name w:val="Hyperlink"/>
    <w:basedOn w:val="Fuentedeprrafopredeter"/>
    <w:uiPriority w:val="99"/>
    <w:unhideWhenUsed/>
    <w:rsid w:val="00C96933"/>
    <w:rPr>
      <w:color w:val="0563C1" w:themeColor="hyperlink"/>
      <w:u w:val="single"/>
    </w:rPr>
  </w:style>
  <w:style w:type="paragraph" w:styleId="Piedepgina">
    <w:name w:val="footer"/>
    <w:basedOn w:val="Normal"/>
    <w:link w:val="PiedepginaCar"/>
    <w:uiPriority w:val="99"/>
    <w:unhideWhenUsed/>
    <w:rsid w:val="00C96933"/>
    <w:pPr>
      <w:tabs>
        <w:tab w:val="center" w:pos="4419"/>
        <w:tab w:val="right" w:pos="8838"/>
      </w:tabs>
    </w:pPr>
  </w:style>
  <w:style w:type="character" w:customStyle="1" w:styleId="PiedepginaCar">
    <w:name w:val="Pie de página Car"/>
    <w:basedOn w:val="Fuentedeprrafopredeter"/>
    <w:link w:val="Piedepgina"/>
    <w:uiPriority w:val="99"/>
    <w:rsid w:val="00C96933"/>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C96933"/>
    <w:pPr>
      <w:tabs>
        <w:tab w:val="center" w:pos="4419"/>
        <w:tab w:val="right" w:pos="8838"/>
      </w:tabs>
    </w:pPr>
  </w:style>
  <w:style w:type="character" w:customStyle="1" w:styleId="EncabezadoCar">
    <w:name w:val="Encabezado Car"/>
    <w:basedOn w:val="Fuentedeprrafopredeter"/>
    <w:link w:val="Encabezado"/>
    <w:uiPriority w:val="99"/>
    <w:rsid w:val="00C96933"/>
    <w:rPr>
      <w:rFonts w:ascii="Times New Roman" w:eastAsia="Times New Roman" w:hAnsi="Times New Roman" w:cs="Times New Roman"/>
      <w:sz w:val="20"/>
      <w:szCs w:val="20"/>
      <w:lang w:eastAsia="es-MX"/>
    </w:rPr>
  </w:style>
  <w:style w:type="table" w:styleId="Tablaconcuadrcula4-nfasis3">
    <w:name w:val="Grid Table 4 Accent 3"/>
    <w:basedOn w:val="Tablanormal"/>
    <w:uiPriority w:val="49"/>
    <w:rsid w:val="00C9693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B16E54"/>
    <w:rPr>
      <w:sz w:val="16"/>
      <w:szCs w:val="16"/>
    </w:rPr>
  </w:style>
  <w:style w:type="paragraph" w:styleId="Textocomentario">
    <w:name w:val="annotation text"/>
    <w:basedOn w:val="Normal"/>
    <w:link w:val="TextocomentarioCar"/>
    <w:uiPriority w:val="99"/>
    <w:semiHidden/>
    <w:unhideWhenUsed/>
    <w:rsid w:val="00B16E54"/>
  </w:style>
  <w:style w:type="character" w:customStyle="1" w:styleId="TextocomentarioCar">
    <w:name w:val="Texto comentario Car"/>
    <w:basedOn w:val="Fuentedeprrafopredeter"/>
    <w:link w:val="Textocomentario"/>
    <w:uiPriority w:val="99"/>
    <w:semiHidden/>
    <w:rsid w:val="00B16E54"/>
  </w:style>
  <w:style w:type="paragraph" w:styleId="Asuntodelcomentario">
    <w:name w:val="annotation subject"/>
    <w:basedOn w:val="Textocomentario"/>
    <w:next w:val="Textocomentario"/>
    <w:link w:val="AsuntodelcomentarioCar"/>
    <w:uiPriority w:val="99"/>
    <w:semiHidden/>
    <w:unhideWhenUsed/>
    <w:rsid w:val="00B16E54"/>
    <w:rPr>
      <w:b/>
      <w:bCs/>
    </w:rPr>
  </w:style>
  <w:style w:type="character" w:customStyle="1" w:styleId="AsuntodelcomentarioCar">
    <w:name w:val="Asunto del comentario Car"/>
    <w:basedOn w:val="TextocomentarioCar"/>
    <w:link w:val="Asuntodelcomentario"/>
    <w:uiPriority w:val="99"/>
    <w:semiHidden/>
    <w:rsid w:val="00B16E54"/>
    <w:rPr>
      <w:b/>
      <w:bCs/>
    </w:rPr>
  </w:style>
  <w:style w:type="paragraph" w:styleId="Prrafodelista">
    <w:name w:val="List Paragraph"/>
    <w:basedOn w:val="Normal"/>
    <w:uiPriority w:val="34"/>
    <w:qFormat/>
    <w:rsid w:val="00870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Pr7Bu6OFx1pz+OQOwI+fVWUYQ==">AMUW2mWFZ5nbEQ+yKHqqXkgITUHD6HVoK69zL3W/w4fHXeknJpF7ALzdOg9f+e6kFPZQkisLBEMLJGukJHB3haor1436sFGQ3I9CgY7puCfjS26mqeSgotZNyhk7el/0VL294Wj6cBXPZFodPIk0+DbkLwQnCeWe4OfB9BJjdYvx5hqbHLPtxUZkvCBMXcPamXUEPnoXjZgPX0NQfwd2zcIZlVikmrjAxQ==</go:docsCustomData>
</go:gDocsCustomXmlDataStorage>
</file>

<file path=customXml/itemProps1.xml><?xml version="1.0" encoding="utf-8"?>
<ds:datastoreItem xmlns:ds="http://schemas.openxmlformats.org/officeDocument/2006/customXml" ds:itemID="{08331B7B-29EC-4FD3-9CD5-03F251ECCA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3047</Words>
  <Characters>16763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TEEA-LAP-ONE</dc:creator>
  <cp:lastModifiedBy>Secretario Gral</cp:lastModifiedBy>
  <cp:revision>2</cp:revision>
  <cp:lastPrinted>2022-03-18T18:01:00Z</cp:lastPrinted>
  <dcterms:created xsi:type="dcterms:W3CDTF">2022-03-18T18:18:00Z</dcterms:created>
  <dcterms:modified xsi:type="dcterms:W3CDTF">2022-03-18T18:18:00Z</dcterms:modified>
</cp:coreProperties>
</file>