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14891" w14:textId="77777777" w:rsidR="00104FC3" w:rsidRDefault="00BA48A8">
      <w:pPr>
        <w:ind w:left="3544"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3D69C282" w14:textId="77777777" w:rsidR="00104FC3" w:rsidRDefault="00104FC3">
      <w:pPr>
        <w:pBdr>
          <w:top w:val="nil"/>
          <w:left w:val="nil"/>
          <w:bottom w:val="nil"/>
          <w:right w:val="nil"/>
          <w:between w:val="nil"/>
        </w:pBdr>
        <w:ind w:left="3544"/>
        <w:rPr>
          <w:rFonts w:ascii="Arial" w:eastAsia="Arial" w:hAnsi="Arial" w:cs="Arial"/>
          <w:color w:val="000000"/>
          <w:sz w:val="14"/>
          <w:szCs w:val="14"/>
        </w:rPr>
      </w:pPr>
    </w:p>
    <w:p w14:paraId="1D57DB48" w14:textId="77777777" w:rsidR="00104FC3" w:rsidRDefault="00BA48A8">
      <w:pPr>
        <w:ind w:left="3544"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TEEA-PES-005/2022.</w:t>
      </w:r>
      <w:r>
        <w:rPr>
          <w:rFonts w:ascii="Arial" w:eastAsia="Arial" w:hAnsi="Arial" w:cs="Arial"/>
          <w:b/>
          <w:sz w:val="24"/>
          <w:szCs w:val="24"/>
        </w:rPr>
        <w:t xml:space="preserve"> </w:t>
      </w:r>
    </w:p>
    <w:p w14:paraId="4E841BC4" w14:textId="77777777" w:rsidR="00104FC3" w:rsidRDefault="00104FC3">
      <w:pPr>
        <w:ind w:left="3544" w:right="36"/>
        <w:jc w:val="both"/>
        <w:rPr>
          <w:rFonts w:ascii="Arial" w:eastAsia="Arial" w:hAnsi="Arial" w:cs="Arial"/>
          <w:b/>
          <w:sz w:val="14"/>
          <w:szCs w:val="14"/>
        </w:rPr>
      </w:pPr>
    </w:p>
    <w:p w14:paraId="3D2A1A66" w14:textId="77777777" w:rsidR="00104FC3" w:rsidRDefault="00BA48A8">
      <w:pPr>
        <w:ind w:left="3544"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MORENA.</w:t>
      </w:r>
    </w:p>
    <w:p w14:paraId="13439FFC" w14:textId="77777777" w:rsidR="00104FC3" w:rsidRDefault="00104FC3">
      <w:pPr>
        <w:pBdr>
          <w:top w:val="nil"/>
          <w:left w:val="nil"/>
          <w:bottom w:val="nil"/>
          <w:right w:val="nil"/>
          <w:between w:val="nil"/>
        </w:pBdr>
        <w:ind w:left="3544"/>
        <w:rPr>
          <w:rFonts w:ascii="Arial" w:eastAsia="Arial" w:hAnsi="Arial" w:cs="Arial"/>
          <w:color w:val="000000"/>
          <w:sz w:val="14"/>
          <w:szCs w:val="14"/>
        </w:rPr>
      </w:pPr>
    </w:p>
    <w:p w14:paraId="245D53BA" w14:textId="77777777" w:rsidR="00104FC3" w:rsidRDefault="00BA48A8">
      <w:pPr>
        <w:ind w:left="3544"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MARÍA TERESA JIMÉNEZ ESQUIVEL, PRECANDIDATA DEL PAN A LA GUBERNATURA DEL ESTADO. </w:t>
      </w:r>
    </w:p>
    <w:p w14:paraId="2B61BD7F" w14:textId="77777777" w:rsidR="00104FC3" w:rsidRDefault="00104FC3">
      <w:pPr>
        <w:pBdr>
          <w:top w:val="nil"/>
          <w:left w:val="nil"/>
          <w:bottom w:val="nil"/>
          <w:right w:val="nil"/>
          <w:between w:val="nil"/>
        </w:pBdr>
        <w:ind w:left="3544"/>
        <w:rPr>
          <w:rFonts w:ascii="Arial" w:eastAsia="Arial" w:hAnsi="Arial" w:cs="Arial"/>
          <w:color w:val="000000"/>
          <w:sz w:val="14"/>
          <w:szCs w:val="14"/>
        </w:rPr>
      </w:pPr>
    </w:p>
    <w:p w14:paraId="5FAF6A15" w14:textId="77777777" w:rsidR="00104FC3" w:rsidRDefault="00BA48A8">
      <w:pPr>
        <w:ind w:left="3544"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67858344" w14:textId="77777777" w:rsidR="00104FC3" w:rsidRDefault="00104FC3">
      <w:pPr>
        <w:pBdr>
          <w:top w:val="nil"/>
          <w:left w:val="nil"/>
          <w:bottom w:val="nil"/>
          <w:right w:val="nil"/>
          <w:between w:val="nil"/>
        </w:pBdr>
        <w:ind w:left="3544"/>
        <w:rPr>
          <w:rFonts w:ascii="Arial" w:eastAsia="Arial" w:hAnsi="Arial" w:cs="Arial"/>
          <w:color w:val="000000"/>
          <w:sz w:val="14"/>
          <w:szCs w:val="14"/>
        </w:rPr>
      </w:pPr>
    </w:p>
    <w:p w14:paraId="0809A72A" w14:textId="77777777" w:rsidR="00104FC3" w:rsidRDefault="00BA48A8">
      <w:pPr>
        <w:ind w:left="3544"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755EB977" w14:textId="77777777" w:rsidR="00104FC3" w:rsidRDefault="00104FC3">
      <w:pPr>
        <w:ind w:left="3544" w:right="36"/>
        <w:jc w:val="both"/>
        <w:rPr>
          <w:rFonts w:ascii="Arial" w:eastAsia="Arial" w:hAnsi="Arial" w:cs="Arial"/>
          <w:sz w:val="14"/>
          <w:szCs w:val="14"/>
        </w:rPr>
      </w:pPr>
    </w:p>
    <w:p w14:paraId="4DFE07CF" w14:textId="77777777" w:rsidR="00104FC3" w:rsidRDefault="00BA48A8">
      <w:pPr>
        <w:ind w:left="3544"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257E7A86" w14:textId="77777777" w:rsidR="00104FC3" w:rsidRDefault="00104FC3">
      <w:pPr>
        <w:pBdr>
          <w:top w:val="nil"/>
          <w:left w:val="nil"/>
          <w:bottom w:val="nil"/>
          <w:right w:val="nil"/>
          <w:between w:val="nil"/>
        </w:pBdr>
        <w:rPr>
          <w:color w:val="000000"/>
        </w:rPr>
      </w:pPr>
    </w:p>
    <w:p w14:paraId="002F36DB" w14:textId="77777777" w:rsidR="00104FC3" w:rsidRDefault="00BA48A8">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Pr>
          <w:rFonts w:ascii="Arial" w:eastAsia="Arial" w:hAnsi="Arial" w:cs="Arial"/>
          <w:sz w:val="24"/>
          <w:szCs w:val="24"/>
        </w:rPr>
        <w:t>10</w:t>
      </w:r>
      <w:r>
        <w:rPr>
          <w:rFonts w:ascii="Arial" w:eastAsia="Arial" w:hAnsi="Arial" w:cs="Arial"/>
          <w:color w:val="000000"/>
          <w:sz w:val="24"/>
          <w:szCs w:val="24"/>
        </w:rPr>
        <w:t xml:space="preserve"> de marzo de 2022</w:t>
      </w:r>
      <w:r>
        <w:rPr>
          <w:rFonts w:ascii="Arial" w:eastAsia="Arial" w:hAnsi="Arial" w:cs="Arial"/>
          <w:sz w:val="24"/>
          <w:szCs w:val="24"/>
        </w:rPr>
        <w:t>.</w:t>
      </w:r>
    </w:p>
    <w:p w14:paraId="2E5830AC" w14:textId="77777777" w:rsidR="00104FC3" w:rsidRDefault="00104FC3">
      <w:pPr>
        <w:pBdr>
          <w:top w:val="nil"/>
          <w:left w:val="nil"/>
          <w:bottom w:val="nil"/>
          <w:right w:val="nil"/>
          <w:between w:val="nil"/>
        </w:pBdr>
        <w:rPr>
          <w:color w:val="000000"/>
          <w:sz w:val="14"/>
          <w:szCs w:val="14"/>
        </w:rPr>
      </w:pPr>
    </w:p>
    <w:p w14:paraId="7A4251BD" w14:textId="77777777" w:rsidR="00640F6D" w:rsidRDefault="00BA48A8">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 </w:t>
      </w:r>
      <w:r>
        <w:rPr>
          <w:rFonts w:ascii="Arial" w:eastAsia="Arial" w:hAnsi="Arial" w:cs="Arial"/>
          <w:b/>
          <w:i/>
          <w:sz w:val="24"/>
          <w:szCs w:val="24"/>
        </w:rPr>
        <w:t>a)</w:t>
      </w:r>
      <w:r>
        <w:rPr>
          <w:rFonts w:ascii="Arial" w:eastAsia="Arial" w:hAnsi="Arial" w:cs="Arial"/>
          <w:sz w:val="24"/>
          <w:szCs w:val="24"/>
        </w:rPr>
        <w:t xml:space="preserve"> María Teresa Jiménez Esquivel, precandidata del PAN a la gubernatura del estado, </w:t>
      </w:r>
      <w:r>
        <w:rPr>
          <w:rFonts w:ascii="Arial" w:eastAsia="Arial" w:hAnsi="Arial" w:cs="Arial"/>
          <w:b/>
          <w:i/>
          <w:sz w:val="24"/>
          <w:szCs w:val="24"/>
        </w:rPr>
        <w:t xml:space="preserve">b) </w:t>
      </w:r>
      <w:r>
        <w:rPr>
          <w:rFonts w:ascii="Arial" w:eastAsia="Arial" w:hAnsi="Arial" w:cs="Arial"/>
          <w:sz w:val="24"/>
          <w:szCs w:val="24"/>
        </w:rPr>
        <w:t>así como al propio instituto político, derivado de la colocación de diversos espectaculares en distintos puntos del Estado</w:t>
      </w:r>
      <w:r w:rsidR="00640F6D">
        <w:rPr>
          <w:rFonts w:ascii="Arial" w:eastAsia="Arial" w:hAnsi="Arial" w:cs="Arial"/>
          <w:sz w:val="24"/>
          <w:szCs w:val="24"/>
        </w:rPr>
        <w:t xml:space="preserve">. </w:t>
      </w:r>
    </w:p>
    <w:p w14:paraId="7CD12353" w14:textId="77777777" w:rsidR="00640F6D" w:rsidRPr="004F6579" w:rsidRDefault="00640F6D" w:rsidP="004F6579">
      <w:pPr>
        <w:pStyle w:val="Sinespaciado"/>
        <w:rPr>
          <w:rFonts w:eastAsia="Arial"/>
        </w:rPr>
      </w:pPr>
    </w:p>
    <w:p w14:paraId="08500A69" w14:textId="2FE66E2A" w:rsidR="00104FC3" w:rsidRDefault="00640F6D">
      <w:pPr>
        <w:spacing w:line="360" w:lineRule="auto"/>
        <w:jc w:val="both"/>
        <w:rPr>
          <w:rFonts w:ascii="Arial" w:eastAsia="Arial" w:hAnsi="Arial" w:cs="Arial"/>
          <w:sz w:val="24"/>
          <w:szCs w:val="24"/>
        </w:rPr>
      </w:pPr>
      <w:r>
        <w:rPr>
          <w:rFonts w:ascii="Arial" w:eastAsia="Arial" w:hAnsi="Arial" w:cs="Arial"/>
          <w:sz w:val="24"/>
          <w:szCs w:val="24"/>
        </w:rPr>
        <w:t>E</w:t>
      </w:r>
      <w:r w:rsidR="00BA48A8">
        <w:rPr>
          <w:rFonts w:ascii="Arial" w:eastAsia="Arial" w:hAnsi="Arial" w:cs="Arial"/>
          <w:sz w:val="24"/>
          <w:szCs w:val="24"/>
        </w:rPr>
        <w:t>llo</w:t>
      </w:r>
      <w:r>
        <w:rPr>
          <w:rFonts w:ascii="Arial" w:eastAsia="Arial" w:hAnsi="Arial" w:cs="Arial"/>
          <w:sz w:val="24"/>
          <w:szCs w:val="24"/>
        </w:rPr>
        <w:t>,</w:t>
      </w:r>
      <w:r w:rsidR="00BA48A8">
        <w:rPr>
          <w:rFonts w:ascii="Arial" w:eastAsia="Arial" w:hAnsi="Arial" w:cs="Arial"/>
          <w:sz w:val="24"/>
          <w:szCs w:val="24"/>
        </w:rPr>
        <w:t xml:space="preserve"> porque </w:t>
      </w:r>
      <w:r w:rsidR="00BA48A8">
        <w:rPr>
          <w:rFonts w:ascii="Arial" w:eastAsia="Arial" w:hAnsi="Arial" w:cs="Arial"/>
          <w:b/>
          <w:sz w:val="24"/>
          <w:szCs w:val="24"/>
        </w:rPr>
        <w:t>este órgano jurisdiccional considera</w:t>
      </w:r>
      <w:r w:rsidR="00BA48A8">
        <w:rPr>
          <w:rFonts w:ascii="Arial" w:eastAsia="Arial" w:hAnsi="Arial" w:cs="Arial"/>
          <w:sz w:val="24"/>
          <w:szCs w:val="24"/>
        </w:rPr>
        <w:t xml:space="preserve"> que </w:t>
      </w:r>
      <w:r w:rsidR="00BA48A8">
        <w:rPr>
          <w:rFonts w:ascii="Arial" w:eastAsia="Arial" w:hAnsi="Arial" w:cs="Arial"/>
          <w:b/>
          <w:sz w:val="24"/>
          <w:szCs w:val="24"/>
        </w:rPr>
        <w:t xml:space="preserve">no fue posible actualizar el elemento subjetivo </w:t>
      </w:r>
      <w:r w:rsidR="00BA48A8">
        <w:rPr>
          <w:rFonts w:ascii="Arial" w:eastAsia="Arial" w:hAnsi="Arial" w:cs="Arial"/>
          <w:sz w:val="24"/>
          <w:szCs w:val="24"/>
        </w:rPr>
        <w:t xml:space="preserve">que exige que el mensaje contenga un llamado expreso al voto ni se advierte que existan elementos que demuestren un </w:t>
      </w:r>
      <w:r w:rsidR="00BA48A8">
        <w:rPr>
          <w:rFonts w:ascii="Arial" w:eastAsia="Arial" w:hAnsi="Arial" w:cs="Arial"/>
          <w:b/>
          <w:sz w:val="24"/>
          <w:szCs w:val="24"/>
        </w:rPr>
        <w:t>mensaje funcionalmente equivalente</w:t>
      </w:r>
      <w:r w:rsidR="00BA48A8">
        <w:rPr>
          <w:rFonts w:ascii="Arial" w:eastAsia="Arial" w:hAnsi="Arial" w:cs="Arial"/>
          <w:sz w:val="24"/>
          <w:szCs w:val="24"/>
        </w:rPr>
        <w:t xml:space="preserve"> a un llamado al voto en favor de alguno de los sujetos denunciados, </w:t>
      </w:r>
      <w:r>
        <w:rPr>
          <w:rFonts w:ascii="Arial" w:eastAsia="Arial" w:hAnsi="Arial" w:cs="Arial"/>
          <w:sz w:val="24"/>
          <w:szCs w:val="24"/>
        </w:rPr>
        <w:t>ya que</w:t>
      </w:r>
      <w:r w:rsidR="00BA48A8">
        <w:rPr>
          <w:rFonts w:ascii="Arial" w:eastAsia="Arial" w:hAnsi="Arial" w:cs="Arial"/>
          <w:sz w:val="24"/>
          <w:szCs w:val="24"/>
        </w:rPr>
        <w:t xml:space="preserve"> la propaganda cuestionada contiene </w:t>
      </w:r>
      <w:r w:rsidR="00BA48A8">
        <w:rPr>
          <w:rFonts w:ascii="Arial" w:eastAsia="Arial" w:hAnsi="Arial" w:cs="Arial"/>
          <w:b/>
          <w:sz w:val="24"/>
          <w:szCs w:val="24"/>
        </w:rPr>
        <w:t>expresiones de carácter genérico</w:t>
      </w:r>
      <w:r w:rsidR="00BA48A8">
        <w:rPr>
          <w:rFonts w:ascii="Arial" w:eastAsia="Arial" w:hAnsi="Arial" w:cs="Arial"/>
          <w:sz w:val="24"/>
          <w:szCs w:val="24"/>
        </w:rPr>
        <w:t>, que se encuentran dentro de los parámetros permitidos durante la etapa de precampañas en favor de los institutos políticos</w:t>
      </w:r>
      <w:r>
        <w:rPr>
          <w:rFonts w:ascii="Arial" w:eastAsia="Arial" w:hAnsi="Arial" w:cs="Arial"/>
          <w:sz w:val="24"/>
          <w:szCs w:val="24"/>
        </w:rPr>
        <w:t xml:space="preserve">, de ahí que el hecho de no se acreditara uno de los tres elementos -personal, temporal y subjetivo-, que exige la infracción denunciada, implicó que se desestimara. </w:t>
      </w:r>
    </w:p>
    <w:p w14:paraId="01AC0A6E" w14:textId="77777777" w:rsidR="00104FC3" w:rsidRDefault="00104FC3">
      <w:pPr>
        <w:pBdr>
          <w:top w:val="nil"/>
          <w:left w:val="nil"/>
          <w:bottom w:val="nil"/>
          <w:right w:val="nil"/>
          <w:between w:val="nil"/>
        </w:pBdr>
        <w:rPr>
          <w:color w:val="000000"/>
          <w:sz w:val="4"/>
          <w:szCs w:val="4"/>
        </w:rPr>
      </w:pPr>
      <w:bookmarkStart w:id="2" w:name="_heading=h.1y2fehvkjzhp" w:colFirst="0" w:colLast="0"/>
      <w:bookmarkEnd w:id="2"/>
    </w:p>
    <w:p w14:paraId="4018DED9" w14:textId="77777777" w:rsidR="00104FC3" w:rsidRDefault="00BA48A8">
      <w:pPr>
        <w:spacing w:line="360" w:lineRule="auto"/>
        <w:jc w:val="center"/>
        <w:rPr>
          <w:rFonts w:ascii="Arial" w:eastAsia="Arial" w:hAnsi="Arial" w:cs="Arial"/>
          <w:b/>
          <w:color w:val="000000"/>
          <w:sz w:val="16"/>
          <w:szCs w:val="16"/>
        </w:rPr>
      </w:pPr>
      <w:bookmarkStart w:id="3" w:name="_heading=h.timsro24bvei" w:colFirst="0" w:colLast="0"/>
      <w:bookmarkEnd w:id="3"/>
      <w:r>
        <w:rPr>
          <w:rFonts w:ascii="Arial" w:eastAsia="Arial" w:hAnsi="Arial" w:cs="Arial"/>
          <w:b/>
          <w:color w:val="000000"/>
          <w:sz w:val="16"/>
          <w:szCs w:val="16"/>
        </w:rPr>
        <w:t>Índice</w:t>
      </w:r>
    </w:p>
    <w:p w14:paraId="152A1037" w14:textId="16CF3FBC" w:rsidR="00104FC3" w:rsidRDefault="00BA48A8">
      <w:pPr>
        <w:ind w:left="851" w:right="474"/>
        <w:rPr>
          <w:rFonts w:ascii="Arial" w:eastAsia="Arial" w:hAnsi="Arial" w:cs="Arial"/>
          <w:sz w:val="16"/>
          <w:szCs w:val="16"/>
        </w:rPr>
      </w:pPr>
      <w:r>
        <w:rPr>
          <w:rFonts w:ascii="Arial" w:eastAsia="Arial" w:hAnsi="Arial" w:cs="Arial"/>
          <w:sz w:val="16"/>
          <w:szCs w:val="16"/>
        </w:rPr>
        <w:t>Contexto del caso …………………………………………………………………………………</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sz w:val="4"/>
          <w:szCs w:val="4"/>
        </w:rPr>
        <w:t>.....</w:t>
      </w:r>
      <w:r>
        <w:rPr>
          <w:rFonts w:ascii="Arial" w:eastAsia="Arial" w:hAnsi="Arial" w:cs="Arial"/>
          <w:sz w:val="16"/>
          <w:szCs w:val="16"/>
        </w:rPr>
        <w:t>2</w:t>
      </w:r>
    </w:p>
    <w:p w14:paraId="09BCCF3F" w14:textId="77777777" w:rsidR="00104FC3" w:rsidRDefault="00BA48A8">
      <w:pPr>
        <w:ind w:left="851" w:right="474"/>
        <w:rPr>
          <w:rFonts w:ascii="Arial" w:eastAsia="Arial" w:hAnsi="Arial" w:cs="Arial"/>
          <w:sz w:val="16"/>
          <w:szCs w:val="16"/>
        </w:rPr>
      </w:pPr>
      <w:r>
        <w:rPr>
          <w:rFonts w:ascii="Arial" w:eastAsia="Arial" w:hAnsi="Arial" w:cs="Arial"/>
          <w:sz w:val="16"/>
          <w:szCs w:val="16"/>
        </w:rPr>
        <w:t>Competencia …………………………………………………………………………………………</w:t>
      </w:r>
      <w:proofErr w:type="gramStart"/>
      <w:r>
        <w:rPr>
          <w:rFonts w:ascii="Arial" w:eastAsia="Arial" w:hAnsi="Arial" w:cs="Arial"/>
          <w:sz w:val="16"/>
          <w:szCs w:val="16"/>
        </w:rPr>
        <w:t>…….</w:t>
      </w:r>
      <w:proofErr w:type="gramEnd"/>
      <w:r>
        <w:rPr>
          <w:rFonts w:ascii="Arial" w:eastAsia="Arial" w:hAnsi="Arial" w:cs="Arial"/>
          <w:sz w:val="16"/>
          <w:szCs w:val="16"/>
        </w:rPr>
        <w:t>…..…….2</w:t>
      </w:r>
    </w:p>
    <w:p w14:paraId="2B675F62" w14:textId="77777777" w:rsidR="00104FC3" w:rsidRDefault="00BA48A8">
      <w:pPr>
        <w:ind w:left="851" w:right="474"/>
        <w:rPr>
          <w:rFonts w:ascii="Arial" w:eastAsia="Arial" w:hAnsi="Arial" w:cs="Arial"/>
          <w:sz w:val="16"/>
          <w:szCs w:val="16"/>
        </w:rPr>
      </w:pPr>
      <w:r>
        <w:rPr>
          <w:rFonts w:ascii="Arial" w:eastAsia="Arial" w:hAnsi="Arial" w:cs="Arial"/>
          <w:sz w:val="16"/>
          <w:szCs w:val="16"/>
        </w:rPr>
        <w:t>Personería …………………………………………………………………………………………</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sz w:val="12"/>
          <w:szCs w:val="12"/>
        </w:rPr>
        <w:t>...</w:t>
      </w:r>
      <w:r w:rsidRPr="004F6579">
        <w:rPr>
          <w:rFonts w:ascii="Arial" w:eastAsia="Arial" w:hAnsi="Arial" w:cs="Arial"/>
          <w:sz w:val="8"/>
          <w:szCs w:val="8"/>
        </w:rPr>
        <w:t>.</w:t>
      </w:r>
      <w:r>
        <w:rPr>
          <w:rFonts w:ascii="Arial" w:eastAsia="Arial" w:hAnsi="Arial" w:cs="Arial"/>
          <w:sz w:val="16"/>
          <w:szCs w:val="16"/>
        </w:rPr>
        <w:t>3</w:t>
      </w:r>
    </w:p>
    <w:p w14:paraId="37C2EE9F" w14:textId="77777777" w:rsidR="00104FC3" w:rsidRDefault="00BA48A8">
      <w:pPr>
        <w:ind w:left="851" w:right="474"/>
        <w:rPr>
          <w:rFonts w:ascii="Arial" w:eastAsia="Arial" w:hAnsi="Arial" w:cs="Arial"/>
          <w:sz w:val="16"/>
          <w:szCs w:val="16"/>
        </w:rPr>
      </w:pPr>
      <w:r>
        <w:rPr>
          <w:rFonts w:ascii="Arial" w:eastAsia="Arial" w:hAnsi="Arial" w:cs="Arial"/>
          <w:sz w:val="16"/>
          <w:szCs w:val="16"/>
        </w:rPr>
        <w:t xml:space="preserve">Causales de </w:t>
      </w:r>
      <w:proofErr w:type="gramStart"/>
      <w:r>
        <w:rPr>
          <w:rFonts w:ascii="Arial" w:eastAsia="Arial" w:hAnsi="Arial" w:cs="Arial"/>
          <w:sz w:val="16"/>
          <w:szCs w:val="16"/>
        </w:rPr>
        <w:t>improcedencia.…</w:t>
      </w:r>
      <w:proofErr w:type="gramEnd"/>
      <w:r>
        <w:rPr>
          <w:rFonts w:ascii="Arial" w:eastAsia="Arial" w:hAnsi="Arial" w:cs="Arial"/>
          <w:sz w:val="16"/>
          <w:szCs w:val="16"/>
        </w:rPr>
        <w:t>…………………………………………………………………………….………</w:t>
      </w:r>
      <w:r>
        <w:rPr>
          <w:rFonts w:ascii="Arial" w:eastAsia="Arial" w:hAnsi="Arial" w:cs="Arial"/>
          <w:sz w:val="12"/>
          <w:szCs w:val="12"/>
        </w:rPr>
        <w:t>..</w:t>
      </w:r>
      <w:r>
        <w:rPr>
          <w:rFonts w:ascii="Arial" w:eastAsia="Arial" w:hAnsi="Arial" w:cs="Arial"/>
          <w:sz w:val="16"/>
          <w:szCs w:val="16"/>
        </w:rPr>
        <w:t>3</w:t>
      </w:r>
    </w:p>
    <w:p w14:paraId="4C491032" w14:textId="77777777" w:rsidR="00104FC3" w:rsidRDefault="00BA48A8">
      <w:pPr>
        <w:ind w:left="851" w:right="474"/>
        <w:rPr>
          <w:rFonts w:ascii="Arial" w:eastAsia="Arial" w:hAnsi="Arial" w:cs="Arial"/>
          <w:sz w:val="16"/>
          <w:szCs w:val="16"/>
        </w:rPr>
      </w:pPr>
      <w:r>
        <w:rPr>
          <w:rFonts w:ascii="Arial" w:eastAsia="Arial" w:hAnsi="Arial" w:cs="Arial"/>
          <w:sz w:val="16"/>
          <w:szCs w:val="16"/>
        </w:rPr>
        <w:t>Estudio de fondo……………………………………………………………………………</w:t>
      </w:r>
      <w:proofErr w:type="gramStart"/>
      <w:r>
        <w:rPr>
          <w:rFonts w:ascii="Arial" w:eastAsia="Arial" w:hAnsi="Arial" w:cs="Arial"/>
          <w:sz w:val="16"/>
          <w:szCs w:val="16"/>
        </w:rPr>
        <w:t>…....</w:t>
      </w:r>
      <w:proofErr w:type="gramEnd"/>
      <w:r>
        <w:rPr>
          <w:rFonts w:ascii="Arial" w:eastAsia="Arial" w:hAnsi="Arial" w:cs="Arial"/>
          <w:sz w:val="16"/>
          <w:szCs w:val="16"/>
        </w:rPr>
        <w:t>.…………….........4</w:t>
      </w:r>
    </w:p>
    <w:p w14:paraId="29FF1E1D" w14:textId="77777777" w:rsidR="00104FC3" w:rsidRDefault="00BA48A8">
      <w:pPr>
        <w:ind w:left="851" w:right="474"/>
        <w:rPr>
          <w:rFonts w:ascii="Arial" w:eastAsia="Arial" w:hAnsi="Arial" w:cs="Arial"/>
          <w:sz w:val="16"/>
          <w:szCs w:val="16"/>
        </w:rPr>
      </w:pPr>
      <w:r>
        <w:rPr>
          <w:rFonts w:ascii="Arial" w:eastAsia="Arial" w:hAnsi="Arial" w:cs="Arial"/>
          <w:sz w:val="16"/>
          <w:szCs w:val="16"/>
        </w:rPr>
        <w:t xml:space="preserve">Análisis de </w:t>
      </w:r>
      <w:proofErr w:type="gramStart"/>
      <w:r>
        <w:rPr>
          <w:rFonts w:ascii="Arial" w:eastAsia="Arial" w:hAnsi="Arial" w:cs="Arial"/>
          <w:sz w:val="16"/>
          <w:szCs w:val="16"/>
        </w:rPr>
        <w:t>fondo.…</w:t>
      </w:r>
      <w:proofErr w:type="gramEnd"/>
      <w:r>
        <w:rPr>
          <w:rFonts w:ascii="Arial" w:eastAsia="Arial" w:hAnsi="Arial" w:cs="Arial"/>
          <w:sz w:val="16"/>
          <w:szCs w:val="16"/>
        </w:rPr>
        <w:t>…</w:t>
      </w:r>
      <w:r>
        <w:rPr>
          <w:rFonts w:ascii="Arial" w:eastAsia="Arial" w:hAnsi="Arial" w:cs="Arial"/>
          <w:sz w:val="14"/>
          <w:szCs w:val="14"/>
        </w:rPr>
        <w:t>…..…</w:t>
      </w:r>
      <w:r>
        <w:rPr>
          <w:rFonts w:ascii="Arial" w:eastAsia="Arial" w:hAnsi="Arial" w:cs="Arial"/>
          <w:sz w:val="16"/>
          <w:szCs w:val="16"/>
        </w:rPr>
        <w:t>…………………………………………………………………………………..........</w:t>
      </w:r>
      <w:r>
        <w:rPr>
          <w:rFonts w:ascii="Arial" w:eastAsia="Arial" w:hAnsi="Arial" w:cs="Arial"/>
          <w:sz w:val="14"/>
          <w:szCs w:val="14"/>
        </w:rPr>
        <w:t>..</w:t>
      </w:r>
      <w:r>
        <w:rPr>
          <w:rFonts w:ascii="Arial" w:eastAsia="Arial" w:hAnsi="Arial" w:cs="Arial"/>
          <w:sz w:val="16"/>
          <w:szCs w:val="16"/>
        </w:rPr>
        <w:t>7</w:t>
      </w:r>
    </w:p>
    <w:p w14:paraId="3B33111B" w14:textId="77777777" w:rsidR="00104FC3" w:rsidRDefault="00BA48A8">
      <w:pPr>
        <w:tabs>
          <w:tab w:val="right" w:pos="8263"/>
          <w:tab w:val="left" w:pos="8789"/>
        </w:tabs>
        <w:ind w:left="851" w:right="474"/>
        <w:rPr>
          <w:rFonts w:ascii="Arial" w:eastAsia="Arial" w:hAnsi="Arial" w:cs="Arial"/>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sz w:val="14"/>
          <w:szCs w:val="14"/>
        </w:rPr>
        <w:t>......</w:t>
      </w:r>
      <w:r>
        <w:rPr>
          <w:rFonts w:ascii="Arial" w:eastAsia="Arial" w:hAnsi="Arial" w:cs="Arial"/>
          <w:sz w:val="16"/>
          <w:szCs w:val="16"/>
        </w:rPr>
        <w:t>.</w:t>
      </w:r>
      <w:r>
        <w:rPr>
          <w:rFonts w:ascii="Arial" w:eastAsia="Arial" w:hAnsi="Arial" w:cs="Arial"/>
          <w:sz w:val="14"/>
          <w:szCs w:val="14"/>
        </w:rPr>
        <w:t>.</w:t>
      </w:r>
      <w:r>
        <w:rPr>
          <w:rFonts w:ascii="Arial" w:eastAsia="Arial" w:hAnsi="Arial" w:cs="Arial"/>
          <w:sz w:val="16"/>
          <w:szCs w:val="16"/>
        </w:rPr>
        <w:t>.14</w:t>
      </w:r>
    </w:p>
    <w:p w14:paraId="31241918" w14:textId="77777777" w:rsidR="00104FC3" w:rsidRDefault="00BA48A8">
      <w:pPr>
        <w:tabs>
          <w:tab w:val="right" w:pos="8263"/>
        </w:tabs>
        <w:ind w:left="851" w:right="474"/>
        <w:rPr>
          <w:rFonts w:ascii="Arial" w:eastAsia="Arial" w:hAnsi="Arial" w:cs="Arial"/>
          <w:b/>
          <w:sz w:val="16"/>
          <w:szCs w:val="16"/>
        </w:rPr>
      </w:pPr>
      <w:proofErr w:type="gramStart"/>
      <w:r>
        <w:rPr>
          <w:rFonts w:ascii="Arial" w:eastAsia="Arial" w:hAnsi="Arial" w:cs="Arial"/>
          <w:sz w:val="16"/>
          <w:szCs w:val="16"/>
        </w:rPr>
        <w:t>Resolutivos.…</w:t>
      </w:r>
      <w:proofErr w:type="gramEnd"/>
      <w:r>
        <w:rPr>
          <w:rFonts w:ascii="Arial" w:eastAsia="Arial" w:hAnsi="Arial" w:cs="Arial"/>
          <w:sz w:val="16"/>
          <w:szCs w:val="16"/>
        </w:rPr>
        <w:t>………………………………………………………………………………….....………………...</w:t>
      </w:r>
      <w:r>
        <w:rPr>
          <w:rFonts w:ascii="Arial" w:eastAsia="Arial" w:hAnsi="Arial" w:cs="Arial"/>
          <w:sz w:val="6"/>
          <w:szCs w:val="6"/>
        </w:rPr>
        <w:t>.</w:t>
      </w:r>
      <w:r>
        <w:rPr>
          <w:rFonts w:ascii="Arial" w:eastAsia="Arial" w:hAnsi="Arial" w:cs="Arial"/>
          <w:sz w:val="16"/>
          <w:szCs w:val="16"/>
        </w:rPr>
        <w:t>15</w:t>
      </w:r>
    </w:p>
    <w:p w14:paraId="50E370DB" w14:textId="77777777" w:rsidR="00104FC3" w:rsidRDefault="00104FC3">
      <w:pPr>
        <w:spacing w:line="360" w:lineRule="auto"/>
        <w:ind w:left="2465" w:right="616" w:hanging="140"/>
        <w:jc w:val="center"/>
        <w:rPr>
          <w:rFonts w:ascii="Arial" w:eastAsia="Arial" w:hAnsi="Arial" w:cs="Arial"/>
          <w:b/>
          <w:sz w:val="8"/>
          <w:szCs w:val="8"/>
        </w:rPr>
      </w:pPr>
    </w:p>
    <w:p w14:paraId="406D51CF" w14:textId="77777777" w:rsidR="00104FC3" w:rsidRDefault="00BA48A8">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TableNormal5"/>
        <w:tblW w:w="7998" w:type="dxa"/>
        <w:tblInd w:w="851" w:type="dxa"/>
        <w:tblLayout w:type="fixed"/>
        <w:tblLook w:val="0400" w:firstRow="0" w:lastRow="0" w:firstColumn="0" w:lastColumn="0" w:noHBand="0" w:noVBand="1"/>
      </w:tblPr>
      <w:tblGrid>
        <w:gridCol w:w="1843"/>
        <w:gridCol w:w="6155"/>
      </w:tblGrid>
      <w:tr w:rsidR="00104FC3" w14:paraId="32D6139A" w14:textId="77777777" w:rsidTr="004F6579">
        <w:trPr>
          <w:trHeight w:val="578"/>
        </w:trPr>
        <w:tc>
          <w:tcPr>
            <w:tcW w:w="1843" w:type="dxa"/>
          </w:tcPr>
          <w:p w14:paraId="3CE83A48"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Denunciante:</w:t>
            </w:r>
          </w:p>
          <w:p w14:paraId="3410ABF5"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7EA19AA2" w14:textId="77777777" w:rsidR="00104FC3" w:rsidRDefault="00104FC3">
            <w:pPr>
              <w:spacing w:line="276" w:lineRule="auto"/>
              <w:jc w:val="both"/>
              <w:rPr>
                <w:rFonts w:ascii="Arial" w:eastAsia="Arial" w:hAnsi="Arial" w:cs="Arial"/>
                <w:b/>
                <w:sz w:val="16"/>
                <w:szCs w:val="16"/>
              </w:rPr>
            </w:pPr>
          </w:p>
          <w:p w14:paraId="18B647BE"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Código Electoral:</w:t>
            </w:r>
          </w:p>
          <w:p w14:paraId="23EB067D"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0A64A14F"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Instituto Local:</w:t>
            </w:r>
          </w:p>
        </w:tc>
        <w:tc>
          <w:tcPr>
            <w:tcW w:w="6155" w:type="dxa"/>
          </w:tcPr>
          <w:p w14:paraId="518D1A81" w14:textId="77777777" w:rsidR="00104FC3" w:rsidRDefault="00BA48A8">
            <w:pPr>
              <w:spacing w:line="276" w:lineRule="auto"/>
              <w:ind w:right="518"/>
              <w:jc w:val="both"/>
              <w:rPr>
                <w:rFonts w:ascii="Arial" w:eastAsia="Arial" w:hAnsi="Arial" w:cs="Arial"/>
                <w:sz w:val="16"/>
                <w:szCs w:val="16"/>
              </w:rPr>
            </w:pPr>
            <w:r>
              <w:rPr>
                <w:rFonts w:ascii="Arial" w:eastAsia="Arial" w:hAnsi="Arial" w:cs="Arial"/>
                <w:sz w:val="16"/>
                <w:szCs w:val="16"/>
              </w:rPr>
              <w:t>Partido Político MORENA.</w:t>
            </w:r>
          </w:p>
          <w:p w14:paraId="2D3EB9A8" w14:textId="77777777" w:rsidR="00104FC3" w:rsidRDefault="00BA48A8">
            <w:pPr>
              <w:spacing w:line="276" w:lineRule="auto"/>
              <w:ind w:right="518"/>
              <w:jc w:val="both"/>
              <w:rPr>
                <w:rFonts w:ascii="Arial" w:eastAsia="Arial" w:hAnsi="Arial" w:cs="Arial"/>
                <w:sz w:val="16"/>
                <w:szCs w:val="16"/>
              </w:rPr>
            </w:pPr>
            <w:r>
              <w:rPr>
                <w:rFonts w:ascii="Arial" w:eastAsia="Arial" w:hAnsi="Arial" w:cs="Arial"/>
                <w:sz w:val="16"/>
                <w:szCs w:val="16"/>
              </w:rPr>
              <w:t xml:space="preserve">María Teresa Jiménez Esquivel, precandidata del PAN a la gubernatura del estado, y </w:t>
            </w:r>
            <w:proofErr w:type="spellStart"/>
            <w:r>
              <w:rPr>
                <w:rFonts w:ascii="Arial" w:eastAsia="Arial" w:hAnsi="Arial" w:cs="Arial"/>
                <w:sz w:val="16"/>
                <w:szCs w:val="16"/>
              </w:rPr>
              <w:t>Marko</w:t>
            </w:r>
            <w:proofErr w:type="spellEnd"/>
            <w:r>
              <w:rPr>
                <w:rFonts w:ascii="Arial" w:eastAsia="Arial" w:hAnsi="Arial" w:cs="Arial"/>
                <w:sz w:val="16"/>
                <w:szCs w:val="16"/>
              </w:rPr>
              <w:t xml:space="preserve"> Antonio Cortés Mendoza, dirigente nacional del PAN. </w:t>
            </w:r>
          </w:p>
          <w:p w14:paraId="5A651FFF"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Código Electoral del Estado de Aguascalientes.</w:t>
            </w:r>
          </w:p>
          <w:p w14:paraId="74895BCA"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549352A3"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tc>
      </w:tr>
      <w:tr w:rsidR="00104FC3" w14:paraId="091ACB97" w14:textId="77777777" w:rsidTr="004F6579">
        <w:trPr>
          <w:trHeight w:val="578"/>
        </w:trPr>
        <w:tc>
          <w:tcPr>
            <w:tcW w:w="1843" w:type="dxa"/>
          </w:tcPr>
          <w:p w14:paraId="59BAD35C"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lastRenderedPageBreak/>
              <w:t xml:space="preserve">LEGIPE: </w:t>
            </w:r>
          </w:p>
          <w:p w14:paraId="6F4B5725"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MORENA:</w:t>
            </w:r>
          </w:p>
          <w:p w14:paraId="385B27C5"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Secretario Ejecutivo:</w:t>
            </w:r>
          </w:p>
          <w:p w14:paraId="1C1177D3"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PAN:</w:t>
            </w:r>
          </w:p>
          <w:p w14:paraId="652EA986"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PEL:</w:t>
            </w:r>
          </w:p>
          <w:p w14:paraId="4A2A6BA5"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PES:</w:t>
            </w:r>
          </w:p>
          <w:p w14:paraId="58707D58" w14:textId="77777777" w:rsidR="00104FC3" w:rsidRDefault="00BA48A8">
            <w:pPr>
              <w:spacing w:line="276" w:lineRule="auto"/>
              <w:jc w:val="both"/>
              <w:rPr>
                <w:rFonts w:ascii="Arial" w:eastAsia="Arial" w:hAnsi="Arial" w:cs="Arial"/>
                <w:b/>
                <w:sz w:val="16"/>
                <w:szCs w:val="16"/>
              </w:rPr>
            </w:pPr>
            <w:r>
              <w:rPr>
                <w:rFonts w:ascii="Arial" w:eastAsia="Arial" w:hAnsi="Arial" w:cs="Arial"/>
                <w:b/>
                <w:sz w:val="16"/>
                <w:szCs w:val="16"/>
              </w:rPr>
              <w:t>Tribunal Electoral:</w:t>
            </w:r>
          </w:p>
        </w:tc>
        <w:tc>
          <w:tcPr>
            <w:tcW w:w="6155" w:type="dxa"/>
          </w:tcPr>
          <w:p w14:paraId="6E858217"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12DCA67E"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 xml:space="preserve">Movimiento de Regeneración Nacional. </w:t>
            </w:r>
          </w:p>
          <w:p w14:paraId="35EBE63F"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 xml:space="preserve">Secretario Ejecutivo del Instituto Estatal Electoral. </w:t>
            </w:r>
          </w:p>
          <w:p w14:paraId="35ECDAC0"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Partido Acción Nacional.</w:t>
            </w:r>
          </w:p>
          <w:p w14:paraId="5A90C5C0"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 xml:space="preserve">Procedimiento Electoral Local. </w:t>
            </w:r>
          </w:p>
          <w:p w14:paraId="7EFF33F5"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Procedimiento Especial Sancionador.</w:t>
            </w:r>
          </w:p>
          <w:p w14:paraId="1F793CB6" w14:textId="77777777" w:rsidR="00104FC3" w:rsidRDefault="00BA48A8">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tc>
      </w:tr>
    </w:tbl>
    <w:p w14:paraId="64011F8B" w14:textId="77777777" w:rsidR="00104FC3" w:rsidRDefault="00104FC3">
      <w:pPr>
        <w:pBdr>
          <w:top w:val="nil"/>
          <w:left w:val="nil"/>
          <w:bottom w:val="nil"/>
          <w:right w:val="nil"/>
          <w:between w:val="nil"/>
        </w:pBdr>
        <w:rPr>
          <w:color w:val="000000"/>
        </w:rPr>
      </w:pPr>
    </w:p>
    <w:p w14:paraId="1A240079" w14:textId="77777777" w:rsidR="00104FC3" w:rsidRDefault="00BA48A8">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7232E7CA" w14:textId="77777777" w:rsidR="00104FC3" w:rsidRDefault="00104FC3">
      <w:pPr>
        <w:pBdr>
          <w:top w:val="nil"/>
          <w:left w:val="nil"/>
          <w:bottom w:val="nil"/>
          <w:right w:val="nil"/>
          <w:between w:val="nil"/>
        </w:pBdr>
        <w:rPr>
          <w:color w:val="000000"/>
        </w:rPr>
      </w:pPr>
    </w:p>
    <w:p w14:paraId="25F31550" w14:textId="77777777" w:rsidR="00104FC3" w:rsidRDefault="00BA48A8">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79856B4F" w14:textId="77777777" w:rsidR="00104FC3" w:rsidRDefault="00BA48A8">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 xml:space="preserve">2. Registro de la precandidata. </w:t>
      </w:r>
      <w:r>
        <w:rPr>
          <w:rFonts w:ascii="Arial" w:eastAsia="Arial" w:hAnsi="Arial" w:cs="Arial"/>
          <w:sz w:val="24"/>
          <w:szCs w:val="24"/>
        </w:rPr>
        <w:t>El 10 de diciembre del mismo año, el PAN emitió la convocatoria para participar en el proceso interno de designación de candidatura a la gubernatura del estado. El 30 siguiente, la ciudadana María Teresa Jiménez Esquivel realizó su registro.</w:t>
      </w:r>
    </w:p>
    <w:p w14:paraId="0E72C052" w14:textId="77777777" w:rsidR="00104FC3" w:rsidRDefault="00104FC3">
      <w:pPr>
        <w:pBdr>
          <w:top w:val="nil"/>
          <w:left w:val="nil"/>
          <w:bottom w:val="nil"/>
          <w:right w:val="nil"/>
          <w:between w:val="nil"/>
        </w:pBdr>
        <w:rPr>
          <w:color w:val="000000"/>
        </w:rPr>
      </w:pPr>
    </w:p>
    <w:p w14:paraId="6348BEC3" w14:textId="77777777" w:rsidR="00104FC3" w:rsidRDefault="00BA48A8">
      <w:pPr>
        <w:tabs>
          <w:tab w:val="left" w:pos="284"/>
        </w:tabs>
        <w:spacing w:after="240" w:line="360" w:lineRule="auto"/>
        <w:ind w:right="40"/>
        <w:jc w:val="both"/>
        <w:rPr>
          <w:rFonts w:ascii="Arial" w:eastAsia="Arial" w:hAnsi="Arial" w:cs="Arial"/>
          <w:sz w:val="24"/>
          <w:szCs w:val="24"/>
        </w:rPr>
      </w:pPr>
      <w:r>
        <w:rPr>
          <w:rFonts w:ascii="Arial" w:eastAsia="Arial" w:hAnsi="Arial" w:cs="Arial"/>
          <w:b/>
          <w:sz w:val="24"/>
          <w:szCs w:val="24"/>
        </w:rPr>
        <w:t>3. Denuncia.</w:t>
      </w:r>
      <w:r>
        <w:rPr>
          <w:rFonts w:ascii="Arial" w:eastAsia="Arial" w:hAnsi="Arial" w:cs="Arial"/>
          <w:sz w:val="24"/>
          <w:szCs w:val="24"/>
        </w:rPr>
        <w:t xml:space="preserve"> El 10 de febrero, el ciudadano Jesús Ricardo Barba Parra, representante de MORENA ante el Consejo General del Instituto Local, presentó una queja en contra de: </w:t>
      </w:r>
      <w:r>
        <w:rPr>
          <w:rFonts w:ascii="Arial" w:eastAsia="Arial" w:hAnsi="Arial" w:cs="Arial"/>
          <w:b/>
          <w:i/>
          <w:sz w:val="24"/>
          <w:szCs w:val="24"/>
        </w:rPr>
        <w:t>a)</w:t>
      </w:r>
      <w:r>
        <w:rPr>
          <w:rFonts w:ascii="Arial" w:eastAsia="Arial" w:hAnsi="Arial" w:cs="Arial"/>
          <w:sz w:val="24"/>
          <w:szCs w:val="24"/>
        </w:rPr>
        <w:t xml:space="preserve"> María Teresa Jiménez Esquivel, precandidata del PAN a la gubernatura del estado y, </w:t>
      </w:r>
      <w:r>
        <w:rPr>
          <w:rFonts w:ascii="Arial" w:eastAsia="Arial" w:hAnsi="Arial" w:cs="Arial"/>
          <w:b/>
          <w:i/>
          <w:sz w:val="24"/>
          <w:szCs w:val="24"/>
        </w:rPr>
        <w:t>b)</w:t>
      </w:r>
      <w:r>
        <w:rPr>
          <w:rFonts w:ascii="Arial" w:eastAsia="Arial" w:hAnsi="Arial" w:cs="Arial"/>
          <w:sz w:val="24"/>
          <w:szCs w:val="24"/>
        </w:rPr>
        <w:t xml:space="preserve"> de </w:t>
      </w:r>
      <w:proofErr w:type="spellStart"/>
      <w:r>
        <w:rPr>
          <w:rFonts w:ascii="Arial" w:eastAsia="Arial" w:hAnsi="Arial" w:cs="Arial"/>
          <w:sz w:val="24"/>
          <w:szCs w:val="24"/>
        </w:rPr>
        <w:t>Marko</w:t>
      </w:r>
      <w:proofErr w:type="spellEnd"/>
      <w:r>
        <w:rPr>
          <w:rFonts w:ascii="Arial" w:eastAsia="Arial" w:hAnsi="Arial" w:cs="Arial"/>
          <w:sz w:val="24"/>
          <w:szCs w:val="24"/>
        </w:rPr>
        <w:t xml:space="preserve"> Antonio Cortés Mendoza, dirigente nacional del PAN, por la colocación y exposición de 7 espectaculares con diversos mensajes que, a su criterio, constituyen actos anticipados de campaña. A su vez, solicitó la adopción de medidas cautelares.</w:t>
      </w:r>
    </w:p>
    <w:p w14:paraId="78CB28C9" w14:textId="77777777" w:rsidR="00104FC3" w:rsidRDefault="00BA48A8">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4. Medidas cautelares. </w:t>
      </w:r>
      <w:r>
        <w:rPr>
          <w:rFonts w:ascii="Arial" w:eastAsia="Arial" w:hAnsi="Arial" w:cs="Arial"/>
          <w:sz w:val="24"/>
          <w:szCs w:val="24"/>
        </w:rPr>
        <w:t xml:space="preserve">El 19 siguiente, la autoridad administrativa determinó </w:t>
      </w:r>
      <w:r>
        <w:rPr>
          <w:rFonts w:ascii="Arial" w:eastAsia="Arial" w:hAnsi="Arial" w:cs="Arial"/>
          <w:b/>
          <w:sz w:val="24"/>
          <w:szCs w:val="24"/>
        </w:rPr>
        <w:t xml:space="preserve">improcedente </w:t>
      </w:r>
      <w:r>
        <w:rPr>
          <w:rFonts w:ascii="Arial" w:eastAsia="Arial" w:hAnsi="Arial" w:cs="Arial"/>
          <w:sz w:val="24"/>
          <w:szCs w:val="24"/>
        </w:rPr>
        <w:t>la adopción de las medidas cautelares solicitadas por el denunciante, al considerar que, en atención a la oficialía electoral IEE/OE/010/2022, no existe indicio alguno sobre la existencia de los hechos denunciados.</w:t>
      </w:r>
    </w:p>
    <w:p w14:paraId="24E8A114" w14:textId="77777777" w:rsidR="00104FC3" w:rsidRDefault="00BA48A8">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Admisión, audiencia de alegatos y remisión del expediente.</w:t>
      </w:r>
      <w:r>
        <w:rPr>
          <w:rFonts w:ascii="Arial" w:eastAsia="Arial" w:hAnsi="Arial" w:cs="Arial"/>
          <w:sz w:val="24"/>
          <w:szCs w:val="24"/>
        </w:rPr>
        <w:t xml:space="preserve"> El 12 de febrero,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admitió a trámite la denuncia y le asignó el número de expediente IEE/PES/009/2022. El 2 de marzo, se celebró la audiencia de pruebas y alegatos y, posteriormente,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rindió el informe circunstanciado y remitió el expediente a este Tribunal. </w:t>
      </w:r>
    </w:p>
    <w:p w14:paraId="21F0E277" w14:textId="0D8F4A32" w:rsidR="00104FC3" w:rsidRPr="004F6579" w:rsidRDefault="00BA48A8" w:rsidP="004F6579">
      <w:pPr>
        <w:tabs>
          <w:tab w:val="left" w:pos="284"/>
        </w:tabs>
        <w:spacing w:before="240" w:line="360" w:lineRule="auto"/>
        <w:ind w:right="40"/>
        <w:jc w:val="both"/>
        <w:rPr>
          <w:rFonts w:ascii="Arial" w:eastAsia="Arial" w:hAnsi="Arial" w:cs="Arial"/>
          <w:b/>
          <w:sz w:val="24"/>
          <w:szCs w:val="24"/>
        </w:rPr>
      </w:pPr>
      <w:r>
        <w:rPr>
          <w:rFonts w:ascii="Arial" w:eastAsia="Arial" w:hAnsi="Arial" w:cs="Arial"/>
          <w:b/>
          <w:sz w:val="24"/>
          <w:szCs w:val="24"/>
        </w:rPr>
        <w:t xml:space="preserve">6. Turno, radicación y formulación del proyecto de resolución TEEA-PES-002/2022. </w:t>
      </w:r>
      <w:r>
        <w:rPr>
          <w:rFonts w:ascii="Arial" w:eastAsia="Arial" w:hAnsi="Arial" w:cs="Arial"/>
          <w:sz w:val="24"/>
          <w:szCs w:val="24"/>
        </w:rPr>
        <w:t xml:space="preserve">El 3 de marzo,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TEEA-PES-005/2022 y lo turnó a la ponencia de la </w:t>
      </w:r>
      <w:r>
        <w:rPr>
          <w:rFonts w:ascii="Arial" w:eastAsia="Arial" w:hAnsi="Arial" w:cs="Arial"/>
          <w:sz w:val="24"/>
          <w:szCs w:val="24"/>
        </w:rPr>
        <w:lastRenderedPageBreak/>
        <w:t>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312CC0FA" w14:textId="77777777" w:rsidR="00104FC3" w:rsidRDefault="00BA48A8">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VI, del Código Electoral, derivado de </w:t>
      </w:r>
      <w:r>
        <w:rPr>
          <w:rFonts w:ascii="Arial" w:eastAsia="Arial" w:hAnsi="Arial" w:cs="Arial"/>
          <w:sz w:val="24"/>
          <w:szCs w:val="24"/>
        </w:rPr>
        <w:t xml:space="preserve">expresiones </w:t>
      </w:r>
      <w:r>
        <w:rPr>
          <w:rFonts w:ascii="Arial" w:eastAsia="Arial" w:hAnsi="Arial" w:cs="Arial"/>
          <w:color w:val="000000"/>
          <w:sz w:val="24"/>
          <w:szCs w:val="24"/>
        </w:rPr>
        <w:t xml:space="preserve">que presuntamente constituyen actos anticipados de campaña, atribuidos a </w:t>
      </w:r>
      <w:r>
        <w:rPr>
          <w:rFonts w:ascii="Arial" w:eastAsia="Arial" w:hAnsi="Arial" w:cs="Arial"/>
          <w:sz w:val="24"/>
          <w:szCs w:val="24"/>
        </w:rPr>
        <w:t xml:space="preserve">la ciudadana </w:t>
      </w:r>
      <w:r>
        <w:rPr>
          <w:rFonts w:ascii="Arial" w:eastAsia="Arial" w:hAnsi="Arial" w:cs="Arial"/>
          <w:color w:val="000000"/>
          <w:sz w:val="24"/>
          <w:szCs w:val="24"/>
        </w:rPr>
        <w:t xml:space="preserve">María Teresa Jiménez Esquivel,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precandidata a la gubernatura de esta entidad</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1CF4172E" w14:textId="77777777" w:rsidR="00104FC3" w:rsidRDefault="00104FC3">
      <w:pPr>
        <w:pBdr>
          <w:top w:val="nil"/>
          <w:left w:val="nil"/>
          <w:bottom w:val="nil"/>
          <w:right w:val="nil"/>
          <w:between w:val="nil"/>
        </w:pBdr>
        <w:rPr>
          <w:color w:val="000000"/>
        </w:rPr>
      </w:pPr>
    </w:p>
    <w:p w14:paraId="5B2A09D0"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w:t>
      </w:r>
      <w:r>
        <w:rPr>
          <w:rFonts w:ascii="Arial" w:eastAsia="Arial" w:hAnsi="Arial" w:cs="Arial"/>
          <w:color w:val="000000"/>
          <w:sz w:val="24"/>
          <w:szCs w:val="24"/>
        </w:rPr>
        <w:t xml:space="preserve"> </w:t>
      </w:r>
      <w:r>
        <w:rPr>
          <w:rFonts w:ascii="Arial" w:eastAsia="Arial" w:hAnsi="Arial" w:cs="Arial"/>
          <w:sz w:val="24"/>
          <w:szCs w:val="24"/>
        </w:rPr>
        <w:t>parte</w:t>
      </w:r>
      <w:r>
        <w:rPr>
          <w:rFonts w:ascii="Arial" w:eastAsia="Arial" w:hAnsi="Arial" w:cs="Arial"/>
          <w:color w:val="000000"/>
          <w:sz w:val="24"/>
          <w:szCs w:val="24"/>
        </w:rPr>
        <w:t xml:space="preserve"> denunciad</w:t>
      </w:r>
      <w:r>
        <w:rPr>
          <w:rFonts w:ascii="Arial" w:eastAsia="Arial" w:hAnsi="Arial" w:cs="Arial"/>
          <w:sz w:val="24"/>
          <w:szCs w:val="24"/>
        </w:rPr>
        <w:t>a, respectivamente</w:t>
      </w:r>
      <w:r>
        <w:rPr>
          <w:rFonts w:ascii="Arial" w:eastAsia="Arial" w:hAnsi="Arial" w:cs="Arial"/>
          <w:color w:val="000000"/>
          <w:sz w:val="24"/>
          <w:szCs w:val="24"/>
        </w:rPr>
        <w:t>.</w:t>
      </w:r>
    </w:p>
    <w:p w14:paraId="76C7630D" w14:textId="77777777" w:rsidR="00104FC3" w:rsidRDefault="00104FC3">
      <w:pPr>
        <w:pBdr>
          <w:top w:val="nil"/>
          <w:left w:val="nil"/>
          <w:bottom w:val="nil"/>
          <w:right w:val="nil"/>
          <w:between w:val="nil"/>
        </w:pBdr>
        <w:rPr>
          <w:color w:val="000000"/>
        </w:rPr>
      </w:pPr>
    </w:p>
    <w:p w14:paraId="5A2FD88A"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María Teresa Jiménez Esquivel, en su escrito de alegatos, refiere que la denuncia presentada en su contra es </w:t>
      </w:r>
      <w:r>
        <w:rPr>
          <w:rFonts w:ascii="Arial" w:eastAsia="Arial" w:hAnsi="Arial" w:cs="Arial"/>
          <w:b/>
          <w:sz w:val="24"/>
          <w:szCs w:val="24"/>
        </w:rPr>
        <w:t>frívola</w:t>
      </w:r>
      <w:r>
        <w:rPr>
          <w:rFonts w:ascii="Arial" w:eastAsia="Arial" w:hAnsi="Arial" w:cs="Arial"/>
          <w:sz w:val="24"/>
          <w:szCs w:val="24"/>
        </w:rPr>
        <w:t>, ya que no se ofrecieron elementos de prueba que permitan acreditar los hechos denunciados.</w:t>
      </w:r>
    </w:p>
    <w:p w14:paraId="789318D8" w14:textId="77777777" w:rsidR="00104FC3" w:rsidRDefault="00104FC3">
      <w:pPr>
        <w:pBdr>
          <w:top w:val="nil"/>
          <w:left w:val="nil"/>
          <w:bottom w:val="nil"/>
          <w:right w:val="nil"/>
          <w:between w:val="nil"/>
        </w:pBdr>
        <w:rPr>
          <w:color w:val="000000"/>
        </w:rPr>
      </w:pPr>
    </w:p>
    <w:p w14:paraId="3E2D1A31"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6352B03A" w14:textId="77777777" w:rsidR="00104FC3" w:rsidRDefault="00BA48A8">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Al respecto, este Tribunal considera que del escrito de la denuncia y de las constancias del expediente, se advierte que el denunciante señaló los hechos y las infracciones que, a su criterio se acreditan, por tanto, no es posible actualizar tal causal de improcedencia, pues el quejoso ofreció las pruebas que consideró necesarias para la acreditación de los hechos denunciados. Así que la posible actualización de la infracción, en todo caso, es materia de análisis en el estudio de fondo de la presente resolución.</w:t>
      </w:r>
    </w:p>
    <w:p w14:paraId="763F8685" w14:textId="77777777" w:rsidR="00104FC3" w:rsidRDefault="00104FC3">
      <w:pPr>
        <w:pBdr>
          <w:top w:val="nil"/>
          <w:left w:val="nil"/>
          <w:bottom w:val="nil"/>
          <w:right w:val="nil"/>
          <w:between w:val="nil"/>
        </w:pBdr>
        <w:rPr>
          <w:color w:val="000000"/>
        </w:rPr>
      </w:pPr>
    </w:p>
    <w:p w14:paraId="7E189A44"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el ciudadano Javier Soto Reyes, en su carácter de representante propietario del PAN ante el Consejo General, señaló en su escrito de alegatos que </w:t>
      </w:r>
      <w:r>
        <w:rPr>
          <w:rFonts w:ascii="Arial" w:eastAsia="Arial" w:hAnsi="Arial" w:cs="Arial"/>
          <w:sz w:val="24"/>
          <w:szCs w:val="24"/>
        </w:rPr>
        <w:lastRenderedPageBreak/>
        <w:t xml:space="preserve">la autoridad que sustanció el procedimiento especial sancionador, carecía de competencia para ello, ya que debió ser el Consejo Distrital respectivo y no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quien tramitara y sustanciara la denuncia por tratarse de propaganda política electoral impresa.</w:t>
      </w:r>
    </w:p>
    <w:p w14:paraId="10E32FF2" w14:textId="77777777" w:rsidR="00104FC3" w:rsidRDefault="00104FC3">
      <w:pPr>
        <w:pBdr>
          <w:top w:val="nil"/>
          <w:left w:val="nil"/>
          <w:bottom w:val="nil"/>
          <w:right w:val="nil"/>
          <w:between w:val="nil"/>
        </w:pBdr>
        <w:rPr>
          <w:color w:val="000000"/>
        </w:rPr>
      </w:pPr>
    </w:p>
    <w:p w14:paraId="76B31986"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Este Tribunal Electoral considera que no le asiste la razón, ya que el hecho de que los espectaculares estuvieran colocados en diversos puntos del Estado y, por tanto, no se encontraran en determinada demarcación territorial, implicó que la competencia para conocer tal denuncia escapara del ámbito de facultades de algún Consejo Distrital en particular, de ahí que, bajo el principio de economía procesal, fue correcto que la Secretaría Ejecutiva del Instituto Local sustanciara el procedimiento especial sancionador en cuestión, dadas las particularidades del caso. </w:t>
      </w:r>
    </w:p>
    <w:p w14:paraId="4FE715E0" w14:textId="77777777" w:rsidR="00104FC3" w:rsidRDefault="00104FC3">
      <w:pPr>
        <w:pBdr>
          <w:top w:val="nil"/>
          <w:left w:val="nil"/>
          <w:bottom w:val="nil"/>
          <w:right w:val="nil"/>
          <w:between w:val="nil"/>
        </w:pBdr>
        <w:rPr>
          <w:color w:val="000000"/>
        </w:rPr>
      </w:pPr>
    </w:p>
    <w:p w14:paraId="6F3F174D"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IV. Estudio de fondo</w:t>
      </w:r>
    </w:p>
    <w:p w14:paraId="626DD883" w14:textId="77777777" w:rsidR="00104FC3" w:rsidRDefault="00104FC3">
      <w:pPr>
        <w:pBdr>
          <w:top w:val="nil"/>
          <w:left w:val="nil"/>
          <w:bottom w:val="nil"/>
          <w:right w:val="nil"/>
          <w:between w:val="nil"/>
        </w:pBdr>
        <w:rPr>
          <w:color w:val="000000"/>
          <w:sz w:val="16"/>
          <w:szCs w:val="16"/>
        </w:rPr>
      </w:pPr>
    </w:p>
    <w:p w14:paraId="2B17F707"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516C8E6D" w14:textId="77777777" w:rsidR="00104FC3" w:rsidRDefault="00104FC3">
      <w:pPr>
        <w:pBdr>
          <w:top w:val="nil"/>
          <w:left w:val="nil"/>
          <w:bottom w:val="nil"/>
          <w:right w:val="nil"/>
          <w:between w:val="nil"/>
        </w:pBdr>
        <w:rPr>
          <w:color w:val="000000"/>
        </w:rPr>
      </w:pPr>
    </w:p>
    <w:p w14:paraId="4CA0BEFE" w14:textId="77777777" w:rsidR="00104FC3" w:rsidRDefault="00BA48A8">
      <w:pPr>
        <w:numPr>
          <w:ilvl w:val="1"/>
          <w:numId w:val="2"/>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4" w:name="_heading=h.1fob9te" w:colFirst="0" w:colLast="0"/>
      <w:bookmarkEnd w:id="4"/>
      <w:r>
        <w:rPr>
          <w:rFonts w:ascii="Arial" w:eastAsia="Arial" w:hAnsi="Arial" w:cs="Arial"/>
          <w:b/>
          <w:color w:val="000000"/>
          <w:sz w:val="24"/>
          <w:szCs w:val="24"/>
        </w:rPr>
        <w:t>En contra de María Teresa Jiménez Esquivel</w:t>
      </w:r>
      <w:r>
        <w:rPr>
          <w:rFonts w:ascii="Arial" w:eastAsia="Arial" w:hAnsi="Arial" w:cs="Arial"/>
          <w:b/>
          <w:sz w:val="24"/>
          <w:szCs w:val="24"/>
        </w:rPr>
        <w:t xml:space="preserve"> y </w:t>
      </w:r>
      <w:proofErr w:type="spellStart"/>
      <w:r>
        <w:rPr>
          <w:rFonts w:ascii="Arial" w:eastAsia="Arial" w:hAnsi="Arial" w:cs="Arial"/>
          <w:b/>
          <w:sz w:val="24"/>
          <w:szCs w:val="24"/>
        </w:rPr>
        <w:t>Marko</w:t>
      </w:r>
      <w:proofErr w:type="spellEnd"/>
      <w:r>
        <w:rPr>
          <w:rFonts w:ascii="Arial" w:eastAsia="Arial" w:hAnsi="Arial" w:cs="Arial"/>
          <w:b/>
          <w:sz w:val="24"/>
          <w:szCs w:val="24"/>
        </w:rPr>
        <w:t xml:space="preserve"> Antonio Cortez Mendoza</w:t>
      </w:r>
      <w:r>
        <w:rPr>
          <w:rFonts w:ascii="Arial" w:eastAsia="Arial" w:hAnsi="Arial" w:cs="Arial"/>
          <w:b/>
          <w:color w:val="000000"/>
          <w:sz w:val="24"/>
          <w:szCs w:val="24"/>
        </w:rPr>
        <w:t xml:space="preserve">. </w:t>
      </w:r>
      <w:r>
        <w:rPr>
          <w:rFonts w:ascii="Arial" w:eastAsia="Arial" w:hAnsi="Arial" w:cs="Arial"/>
          <w:color w:val="000000"/>
          <w:sz w:val="24"/>
          <w:szCs w:val="24"/>
        </w:rPr>
        <w:t>MORENA refiere que l</w:t>
      </w:r>
      <w:r>
        <w:rPr>
          <w:rFonts w:ascii="Arial" w:eastAsia="Arial" w:hAnsi="Arial" w:cs="Arial"/>
          <w:sz w:val="24"/>
          <w:szCs w:val="24"/>
        </w:rPr>
        <w:t>os</w:t>
      </w:r>
      <w:r>
        <w:rPr>
          <w:rFonts w:ascii="Arial" w:eastAsia="Arial" w:hAnsi="Arial" w:cs="Arial"/>
          <w:color w:val="000000"/>
          <w:sz w:val="24"/>
          <w:szCs w:val="24"/>
        </w:rPr>
        <w:t xml:space="preserve"> denunciad</w:t>
      </w:r>
      <w:r>
        <w:rPr>
          <w:rFonts w:ascii="Arial" w:eastAsia="Arial" w:hAnsi="Arial" w:cs="Arial"/>
          <w:sz w:val="24"/>
          <w:szCs w:val="24"/>
        </w:rPr>
        <w:t>os</w:t>
      </w:r>
      <w:r>
        <w:rPr>
          <w:rFonts w:ascii="Arial" w:eastAsia="Arial" w:hAnsi="Arial" w:cs="Arial"/>
          <w:color w:val="000000"/>
          <w:sz w:val="24"/>
          <w:szCs w:val="24"/>
        </w:rPr>
        <w:t xml:space="preserve"> </w:t>
      </w:r>
      <w:r>
        <w:rPr>
          <w:rFonts w:ascii="Arial" w:eastAsia="Arial" w:hAnsi="Arial" w:cs="Arial"/>
          <w:b/>
          <w:sz w:val="24"/>
          <w:szCs w:val="24"/>
        </w:rPr>
        <w:t>realizaron</w:t>
      </w:r>
      <w:r>
        <w:rPr>
          <w:rFonts w:ascii="Arial" w:eastAsia="Arial" w:hAnsi="Arial" w:cs="Arial"/>
          <w:b/>
          <w:color w:val="000000"/>
          <w:sz w:val="24"/>
          <w:szCs w:val="24"/>
        </w:rPr>
        <w:t xml:space="preserve"> actos anticipados de campaña </w:t>
      </w:r>
      <w:r>
        <w:rPr>
          <w:rFonts w:ascii="Arial" w:eastAsia="Arial" w:hAnsi="Arial" w:cs="Arial"/>
          <w:color w:val="000000"/>
          <w:sz w:val="24"/>
          <w:szCs w:val="24"/>
        </w:rPr>
        <w:t>con el objetivo de generar una ventaja y posicionamiento indebido frente al electorado, ello a partir de la colocación y exposición de varios espectaculares</w:t>
      </w:r>
      <w:r>
        <w:rPr>
          <w:rFonts w:ascii="Arial" w:eastAsia="Arial" w:hAnsi="Arial" w:cs="Arial"/>
          <w:sz w:val="24"/>
          <w:szCs w:val="24"/>
        </w:rPr>
        <w:t>, de los cuales advirtió su existencia el 5 de febrero. El contenido de los materiales denunciado es el siguiente</w:t>
      </w:r>
      <w:r>
        <w:rPr>
          <w:rFonts w:ascii="Arial" w:eastAsia="Arial" w:hAnsi="Arial" w:cs="Arial"/>
          <w:color w:val="000000"/>
          <w:sz w:val="24"/>
          <w:szCs w:val="24"/>
        </w:rPr>
        <w:t xml:space="preserve">: </w:t>
      </w:r>
    </w:p>
    <w:p w14:paraId="4DCBF67B" w14:textId="77777777" w:rsidR="00104FC3" w:rsidRDefault="00104FC3">
      <w:pPr>
        <w:pBdr>
          <w:top w:val="nil"/>
          <w:left w:val="nil"/>
          <w:bottom w:val="nil"/>
          <w:right w:val="nil"/>
          <w:between w:val="nil"/>
        </w:pBdr>
        <w:rPr>
          <w:color w:val="000000"/>
        </w:rPr>
      </w:pPr>
    </w:p>
    <w:tbl>
      <w:tblPr>
        <w:tblStyle w:val="Tabladecuadrcula4-nfasis31"/>
        <w:tblW w:w="8828" w:type="dxa"/>
        <w:tblLayout w:type="fixed"/>
        <w:tblLook w:val="0400" w:firstRow="0" w:lastRow="0" w:firstColumn="0" w:lastColumn="0" w:noHBand="0" w:noVBand="1"/>
      </w:tblPr>
      <w:tblGrid>
        <w:gridCol w:w="420"/>
        <w:gridCol w:w="3973"/>
        <w:gridCol w:w="4435"/>
      </w:tblGrid>
      <w:tr w:rsidR="00104FC3" w14:paraId="2EF683BD" w14:textId="77777777" w:rsidTr="004F6579">
        <w:trPr>
          <w:cnfStyle w:val="000000100000" w:firstRow="0" w:lastRow="0" w:firstColumn="0" w:lastColumn="0" w:oddVBand="0" w:evenVBand="0" w:oddHBand="1" w:evenHBand="0" w:firstRowFirstColumn="0" w:firstRowLastColumn="0" w:lastRowFirstColumn="0" w:lastRowLastColumn="0"/>
          <w:trHeight w:val="301"/>
        </w:trPr>
        <w:tc>
          <w:tcPr>
            <w:tcW w:w="420" w:type="dxa"/>
          </w:tcPr>
          <w:p w14:paraId="24BBAF37" w14:textId="77777777" w:rsidR="00104FC3" w:rsidRDefault="00BA48A8">
            <w:pPr>
              <w:tabs>
                <w:tab w:val="left" w:pos="426"/>
              </w:tabs>
              <w:ind w:right="36"/>
              <w:jc w:val="both"/>
              <w:rPr>
                <w:rFonts w:ascii="Arial" w:eastAsia="Arial" w:hAnsi="Arial" w:cs="Arial"/>
                <w:b/>
                <w:sz w:val="20"/>
                <w:szCs w:val="20"/>
              </w:rPr>
            </w:pPr>
            <w:r>
              <w:rPr>
                <w:rFonts w:ascii="Arial" w:eastAsia="Arial" w:hAnsi="Arial" w:cs="Arial"/>
                <w:b/>
                <w:sz w:val="20"/>
                <w:szCs w:val="20"/>
              </w:rPr>
              <w:t>#</w:t>
            </w:r>
          </w:p>
        </w:tc>
        <w:tc>
          <w:tcPr>
            <w:tcW w:w="3973" w:type="dxa"/>
          </w:tcPr>
          <w:p w14:paraId="4F3DA559" w14:textId="77777777" w:rsidR="00104FC3" w:rsidRDefault="00BA48A8">
            <w:pPr>
              <w:tabs>
                <w:tab w:val="left" w:pos="426"/>
              </w:tabs>
              <w:ind w:right="36"/>
              <w:jc w:val="center"/>
              <w:rPr>
                <w:rFonts w:ascii="Arial" w:eastAsia="Arial" w:hAnsi="Arial" w:cs="Arial"/>
                <w:b/>
                <w:sz w:val="20"/>
                <w:szCs w:val="20"/>
              </w:rPr>
            </w:pPr>
            <w:r>
              <w:rPr>
                <w:rFonts w:ascii="Arial" w:eastAsia="Arial" w:hAnsi="Arial" w:cs="Arial"/>
                <w:b/>
                <w:sz w:val="20"/>
                <w:szCs w:val="20"/>
              </w:rPr>
              <w:t>Espectacular</w:t>
            </w:r>
          </w:p>
        </w:tc>
        <w:tc>
          <w:tcPr>
            <w:tcW w:w="4435" w:type="dxa"/>
          </w:tcPr>
          <w:p w14:paraId="0AFD3568" w14:textId="77777777" w:rsidR="00104FC3" w:rsidRDefault="00BA48A8">
            <w:pPr>
              <w:tabs>
                <w:tab w:val="left" w:pos="426"/>
              </w:tabs>
              <w:ind w:right="36"/>
              <w:jc w:val="center"/>
              <w:rPr>
                <w:rFonts w:ascii="Arial" w:eastAsia="Arial" w:hAnsi="Arial" w:cs="Arial"/>
                <w:b/>
                <w:sz w:val="20"/>
                <w:szCs w:val="20"/>
              </w:rPr>
            </w:pPr>
            <w:r>
              <w:rPr>
                <w:rFonts w:ascii="Arial" w:eastAsia="Arial" w:hAnsi="Arial" w:cs="Arial"/>
                <w:b/>
                <w:sz w:val="20"/>
                <w:szCs w:val="20"/>
              </w:rPr>
              <w:t>Mensaje y ubicación</w:t>
            </w:r>
          </w:p>
        </w:tc>
      </w:tr>
      <w:tr w:rsidR="00104FC3" w14:paraId="79803580" w14:textId="77777777" w:rsidTr="004F6579">
        <w:trPr>
          <w:trHeight w:val="2150"/>
        </w:trPr>
        <w:tc>
          <w:tcPr>
            <w:tcW w:w="420" w:type="dxa"/>
          </w:tcPr>
          <w:p w14:paraId="4228C2E6"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1</w:t>
            </w:r>
          </w:p>
        </w:tc>
        <w:tc>
          <w:tcPr>
            <w:tcW w:w="3973" w:type="dxa"/>
          </w:tcPr>
          <w:p w14:paraId="30C9D835" w14:textId="77777777" w:rsidR="00104FC3" w:rsidRDefault="00BA48A8">
            <w:pPr>
              <w:tabs>
                <w:tab w:val="left" w:pos="426"/>
              </w:tabs>
              <w:ind w:right="36"/>
              <w:jc w:val="center"/>
              <w:rPr>
                <w:rFonts w:ascii="Arial" w:eastAsia="Arial" w:hAnsi="Arial" w:cs="Arial"/>
                <w:sz w:val="20"/>
                <w:szCs w:val="20"/>
              </w:rPr>
            </w:pPr>
            <w:r>
              <w:rPr>
                <w:rFonts w:ascii="Arial" w:eastAsia="Arial" w:hAnsi="Arial" w:cs="Arial"/>
                <w:noProof/>
              </w:rPr>
              <w:drawing>
                <wp:inline distT="0" distB="0" distL="0" distR="0" wp14:anchorId="42317F62" wp14:editId="4FBA25B9">
                  <wp:extent cx="2111977" cy="1258214"/>
                  <wp:effectExtent l="0" t="0" r="3175" b="0"/>
                  <wp:docPr id="7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121688" cy="1263999"/>
                          </a:xfrm>
                          <a:prstGeom prst="rect">
                            <a:avLst/>
                          </a:prstGeom>
                          <a:ln/>
                        </pic:spPr>
                      </pic:pic>
                    </a:graphicData>
                  </a:graphic>
                </wp:inline>
              </w:drawing>
            </w:r>
          </w:p>
        </w:tc>
        <w:tc>
          <w:tcPr>
            <w:tcW w:w="4435" w:type="dxa"/>
          </w:tcPr>
          <w:p w14:paraId="4A783D40"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“La que nos une… ¡es la fuerza del PAN Aguascalientes!</w:t>
            </w:r>
          </w:p>
          <w:p w14:paraId="01D28B7B"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 xml:space="preserve">Dirigido a miembros del Partido Acción Nacional” </w:t>
            </w:r>
          </w:p>
          <w:p w14:paraId="053DAF40" w14:textId="77777777" w:rsidR="00104FC3" w:rsidRDefault="00104FC3">
            <w:pPr>
              <w:tabs>
                <w:tab w:val="left" w:pos="426"/>
              </w:tabs>
              <w:ind w:right="36"/>
              <w:jc w:val="both"/>
              <w:rPr>
                <w:rFonts w:ascii="Arial" w:eastAsia="Arial" w:hAnsi="Arial" w:cs="Arial"/>
                <w:sz w:val="20"/>
                <w:szCs w:val="20"/>
              </w:rPr>
            </w:pPr>
          </w:p>
          <w:p w14:paraId="2A78DB42"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Avenida Convención de 1914 Poniente, número 1402, colonia Panorama, C.P. 20040, Aguascalientes, Ags.</w:t>
            </w:r>
          </w:p>
        </w:tc>
      </w:tr>
      <w:tr w:rsidR="00104FC3" w14:paraId="14D3AA53" w14:textId="77777777" w:rsidTr="004F6579">
        <w:trPr>
          <w:cnfStyle w:val="000000100000" w:firstRow="0" w:lastRow="0" w:firstColumn="0" w:lastColumn="0" w:oddVBand="0" w:evenVBand="0" w:oddHBand="1" w:evenHBand="0" w:firstRowFirstColumn="0" w:firstRowLastColumn="0" w:lastRowFirstColumn="0" w:lastRowLastColumn="0"/>
        </w:trPr>
        <w:tc>
          <w:tcPr>
            <w:tcW w:w="420" w:type="dxa"/>
          </w:tcPr>
          <w:p w14:paraId="46916BD8"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2</w:t>
            </w:r>
          </w:p>
        </w:tc>
        <w:tc>
          <w:tcPr>
            <w:tcW w:w="3973" w:type="dxa"/>
          </w:tcPr>
          <w:p w14:paraId="53E314C2" w14:textId="77777777" w:rsidR="00104FC3" w:rsidRDefault="00BA48A8">
            <w:pPr>
              <w:tabs>
                <w:tab w:val="left" w:pos="426"/>
              </w:tabs>
              <w:ind w:right="36"/>
              <w:jc w:val="both"/>
              <w:rPr>
                <w:rFonts w:ascii="Arial" w:eastAsia="Arial" w:hAnsi="Arial" w:cs="Arial"/>
                <w:sz w:val="20"/>
                <w:szCs w:val="20"/>
              </w:rPr>
            </w:pPr>
            <w:r>
              <w:rPr>
                <w:noProof/>
              </w:rPr>
              <w:drawing>
                <wp:anchor distT="0" distB="0" distL="114300" distR="114300" simplePos="0" relativeHeight="251658240" behindDoc="0" locked="0" layoutInCell="1" hidden="0" allowOverlap="1" wp14:anchorId="4E98A248" wp14:editId="30A937DD">
                  <wp:simplePos x="0" y="0"/>
                  <wp:positionH relativeFrom="column">
                    <wp:posOffset>132080</wp:posOffset>
                  </wp:positionH>
                  <wp:positionV relativeFrom="paragraph">
                    <wp:posOffset>0</wp:posOffset>
                  </wp:positionV>
                  <wp:extent cx="2103120" cy="1272540"/>
                  <wp:effectExtent l="0" t="0" r="0" b="3810"/>
                  <wp:wrapSquare wrapText="bothSides" distT="0" distB="0" distL="114300" distR="114300"/>
                  <wp:docPr id="7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2103120" cy="1272540"/>
                          </a:xfrm>
                          <a:prstGeom prst="rect">
                            <a:avLst/>
                          </a:prstGeom>
                          <a:ln/>
                        </pic:spPr>
                      </pic:pic>
                    </a:graphicData>
                  </a:graphic>
                  <wp14:sizeRelV relativeFrom="margin">
                    <wp14:pctHeight>0</wp14:pctHeight>
                  </wp14:sizeRelV>
                </wp:anchor>
              </w:drawing>
            </w:r>
          </w:p>
        </w:tc>
        <w:tc>
          <w:tcPr>
            <w:tcW w:w="4435" w:type="dxa"/>
          </w:tcPr>
          <w:p w14:paraId="49A047C5"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“¡La fuerza del PAN Aguascalientes!</w:t>
            </w:r>
          </w:p>
          <w:p w14:paraId="24EE1C9F"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Dirigido a miembros del Partido Acción Nacional”</w:t>
            </w:r>
          </w:p>
          <w:p w14:paraId="5DCCC13F" w14:textId="77777777" w:rsidR="00104FC3" w:rsidRDefault="00104FC3">
            <w:pPr>
              <w:tabs>
                <w:tab w:val="left" w:pos="426"/>
              </w:tabs>
              <w:ind w:right="36"/>
              <w:jc w:val="both"/>
              <w:rPr>
                <w:rFonts w:ascii="Arial" w:eastAsia="Arial" w:hAnsi="Arial" w:cs="Arial"/>
                <w:sz w:val="20"/>
                <w:szCs w:val="20"/>
              </w:rPr>
            </w:pPr>
          </w:p>
          <w:p w14:paraId="131E84A7"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Avenida Paso Blanco, número 101, colonia Providencia, C.P. 20900, Jesús María, Ags.</w:t>
            </w:r>
          </w:p>
        </w:tc>
      </w:tr>
      <w:tr w:rsidR="00104FC3" w14:paraId="6D6B6E83" w14:textId="77777777" w:rsidTr="004F6579">
        <w:tc>
          <w:tcPr>
            <w:tcW w:w="420" w:type="dxa"/>
          </w:tcPr>
          <w:p w14:paraId="1739F9B6"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lastRenderedPageBreak/>
              <w:t>3</w:t>
            </w:r>
          </w:p>
        </w:tc>
        <w:tc>
          <w:tcPr>
            <w:tcW w:w="3973" w:type="dxa"/>
          </w:tcPr>
          <w:p w14:paraId="262D8081" w14:textId="77777777" w:rsidR="00104FC3" w:rsidRDefault="00BA48A8">
            <w:pPr>
              <w:tabs>
                <w:tab w:val="left" w:pos="426"/>
              </w:tabs>
              <w:ind w:right="36"/>
              <w:jc w:val="both"/>
              <w:rPr>
                <w:rFonts w:ascii="Arial" w:eastAsia="Arial" w:hAnsi="Arial" w:cs="Arial"/>
                <w:sz w:val="20"/>
                <w:szCs w:val="20"/>
              </w:rPr>
            </w:pPr>
            <w:r>
              <w:rPr>
                <w:noProof/>
              </w:rPr>
              <w:drawing>
                <wp:anchor distT="0" distB="0" distL="114300" distR="114300" simplePos="0" relativeHeight="251659264" behindDoc="0" locked="0" layoutInCell="1" hidden="0" allowOverlap="1" wp14:anchorId="3BED48F6" wp14:editId="39B9FCDA">
                  <wp:simplePos x="0" y="0"/>
                  <wp:positionH relativeFrom="column">
                    <wp:posOffset>132080</wp:posOffset>
                  </wp:positionH>
                  <wp:positionV relativeFrom="paragraph">
                    <wp:posOffset>2540</wp:posOffset>
                  </wp:positionV>
                  <wp:extent cx="2105025" cy="1367790"/>
                  <wp:effectExtent l="0" t="0" r="9525" b="3810"/>
                  <wp:wrapSquare wrapText="bothSides" distT="0" distB="0" distL="114300" distR="11430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105025" cy="1367790"/>
                          </a:xfrm>
                          <a:prstGeom prst="rect">
                            <a:avLst/>
                          </a:prstGeom>
                          <a:ln/>
                        </pic:spPr>
                      </pic:pic>
                    </a:graphicData>
                  </a:graphic>
                  <wp14:sizeRelV relativeFrom="margin">
                    <wp14:pctHeight>0</wp14:pctHeight>
                  </wp14:sizeRelV>
                </wp:anchor>
              </w:drawing>
            </w:r>
          </w:p>
        </w:tc>
        <w:tc>
          <w:tcPr>
            <w:tcW w:w="4435" w:type="dxa"/>
          </w:tcPr>
          <w:p w14:paraId="3AA78FFB"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“La que nos une… ¡es la fuerza del PAN Aguascalientes!</w:t>
            </w:r>
          </w:p>
          <w:p w14:paraId="494B7616"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 xml:space="preserve">Dirigido a miembros del Partido Acción Nacional” </w:t>
            </w:r>
          </w:p>
          <w:p w14:paraId="6EFE0507" w14:textId="77777777" w:rsidR="00104FC3" w:rsidRDefault="00104FC3">
            <w:pPr>
              <w:tabs>
                <w:tab w:val="left" w:pos="426"/>
              </w:tabs>
              <w:ind w:right="36"/>
              <w:jc w:val="both"/>
              <w:rPr>
                <w:rFonts w:ascii="Arial" w:eastAsia="Arial" w:hAnsi="Arial" w:cs="Arial"/>
                <w:sz w:val="20"/>
                <w:szCs w:val="20"/>
              </w:rPr>
            </w:pPr>
          </w:p>
          <w:p w14:paraId="2213D1FC"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Colonia Bosques del Prado Sur, C.P. 20130, Aguascalientes, Ags.</w:t>
            </w:r>
          </w:p>
        </w:tc>
      </w:tr>
      <w:tr w:rsidR="00104FC3" w14:paraId="2406E834" w14:textId="77777777" w:rsidTr="004F6579">
        <w:trPr>
          <w:cnfStyle w:val="000000100000" w:firstRow="0" w:lastRow="0" w:firstColumn="0" w:lastColumn="0" w:oddVBand="0" w:evenVBand="0" w:oddHBand="1" w:evenHBand="0" w:firstRowFirstColumn="0" w:firstRowLastColumn="0" w:lastRowFirstColumn="0" w:lastRowLastColumn="0"/>
        </w:trPr>
        <w:tc>
          <w:tcPr>
            <w:tcW w:w="420" w:type="dxa"/>
          </w:tcPr>
          <w:p w14:paraId="4D7B79BF"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4</w:t>
            </w:r>
          </w:p>
        </w:tc>
        <w:tc>
          <w:tcPr>
            <w:tcW w:w="3973" w:type="dxa"/>
          </w:tcPr>
          <w:p w14:paraId="14FA6C6E" w14:textId="77777777" w:rsidR="00104FC3" w:rsidRDefault="00104FC3">
            <w:pPr>
              <w:tabs>
                <w:tab w:val="left" w:pos="426"/>
              </w:tabs>
              <w:ind w:right="36"/>
              <w:jc w:val="both"/>
              <w:rPr>
                <w:sz w:val="12"/>
                <w:szCs w:val="12"/>
              </w:rPr>
            </w:pPr>
          </w:p>
          <w:p w14:paraId="661E7BD8" w14:textId="77777777" w:rsidR="00104FC3" w:rsidRDefault="00BA48A8">
            <w:pPr>
              <w:tabs>
                <w:tab w:val="left" w:pos="426"/>
              </w:tabs>
              <w:ind w:right="36"/>
              <w:jc w:val="both"/>
              <w:rPr>
                <w:rFonts w:ascii="Arial" w:eastAsia="Arial" w:hAnsi="Arial" w:cs="Arial"/>
                <w:sz w:val="20"/>
                <w:szCs w:val="20"/>
              </w:rPr>
            </w:pPr>
            <w:r>
              <w:rPr>
                <w:noProof/>
              </w:rPr>
              <w:drawing>
                <wp:anchor distT="0" distB="0" distL="114300" distR="114300" simplePos="0" relativeHeight="251660288" behindDoc="0" locked="0" layoutInCell="1" hidden="0" allowOverlap="1" wp14:anchorId="4DBBA8D8" wp14:editId="33494002">
                  <wp:simplePos x="0" y="0"/>
                  <wp:positionH relativeFrom="column">
                    <wp:posOffset>130175</wp:posOffset>
                  </wp:positionH>
                  <wp:positionV relativeFrom="paragraph">
                    <wp:posOffset>5715</wp:posOffset>
                  </wp:positionV>
                  <wp:extent cx="2103120" cy="1098550"/>
                  <wp:effectExtent l="0" t="0" r="0" b="0"/>
                  <wp:wrapSquare wrapText="bothSides" distT="0" distB="0" distL="114300" distR="114300"/>
                  <wp:docPr id="8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b="25101"/>
                          <a:stretch>
                            <a:fillRect/>
                          </a:stretch>
                        </pic:blipFill>
                        <pic:spPr>
                          <a:xfrm>
                            <a:off x="0" y="0"/>
                            <a:ext cx="2103120" cy="1098550"/>
                          </a:xfrm>
                          <a:prstGeom prst="rect">
                            <a:avLst/>
                          </a:prstGeom>
                          <a:ln/>
                        </pic:spPr>
                      </pic:pic>
                    </a:graphicData>
                  </a:graphic>
                </wp:anchor>
              </w:drawing>
            </w:r>
          </w:p>
        </w:tc>
        <w:tc>
          <w:tcPr>
            <w:tcW w:w="4435" w:type="dxa"/>
          </w:tcPr>
          <w:p w14:paraId="3A81FD0A"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sz w:val="20"/>
                <w:szCs w:val="20"/>
              </w:rPr>
              <w:t>“</w:t>
            </w:r>
            <w:r>
              <w:rPr>
                <w:rFonts w:ascii="Arial" w:eastAsia="Arial" w:hAnsi="Arial" w:cs="Arial"/>
                <w:i/>
                <w:sz w:val="20"/>
                <w:szCs w:val="20"/>
              </w:rPr>
              <w:t>La que nos impulsa… ¡Es la fuerza del PAN Aguascalientes!</w:t>
            </w:r>
          </w:p>
          <w:p w14:paraId="27D52DDE"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Dirigido a miembros del Partido Acción Nacional”</w:t>
            </w:r>
          </w:p>
          <w:p w14:paraId="384D7132" w14:textId="77777777" w:rsidR="00104FC3" w:rsidRDefault="00104FC3">
            <w:pPr>
              <w:tabs>
                <w:tab w:val="left" w:pos="426"/>
              </w:tabs>
              <w:ind w:right="36"/>
              <w:jc w:val="both"/>
              <w:rPr>
                <w:rFonts w:ascii="Arial" w:eastAsia="Arial" w:hAnsi="Arial" w:cs="Arial"/>
                <w:sz w:val="20"/>
                <w:szCs w:val="20"/>
              </w:rPr>
            </w:pPr>
          </w:p>
          <w:p w14:paraId="0DFC52F3"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Avenida Aguascalientes, colonia Barranca de Guadalupe, C.P. 20210, Aguascalientes, Ags.</w:t>
            </w:r>
          </w:p>
        </w:tc>
      </w:tr>
      <w:tr w:rsidR="00104FC3" w14:paraId="027C6D30" w14:textId="77777777" w:rsidTr="004F6579">
        <w:tc>
          <w:tcPr>
            <w:tcW w:w="420" w:type="dxa"/>
          </w:tcPr>
          <w:p w14:paraId="3806E803"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5</w:t>
            </w:r>
          </w:p>
        </w:tc>
        <w:tc>
          <w:tcPr>
            <w:tcW w:w="3973" w:type="dxa"/>
          </w:tcPr>
          <w:p w14:paraId="7BFF7BC0" w14:textId="77777777" w:rsidR="00104FC3" w:rsidRDefault="00BA48A8">
            <w:pPr>
              <w:tabs>
                <w:tab w:val="left" w:pos="426"/>
              </w:tabs>
              <w:ind w:right="36"/>
              <w:jc w:val="both"/>
              <w:rPr>
                <w:rFonts w:ascii="Arial" w:eastAsia="Arial" w:hAnsi="Arial" w:cs="Arial"/>
                <w:sz w:val="20"/>
                <w:szCs w:val="20"/>
              </w:rPr>
            </w:pPr>
            <w:r>
              <w:rPr>
                <w:noProof/>
              </w:rPr>
              <w:drawing>
                <wp:anchor distT="0" distB="0" distL="114300" distR="114300" simplePos="0" relativeHeight="251661312" behindDoc="0" locked="0" layoutInCell="1" hidden="0" allowOverlap="1" wp14:anchorId="1C2968E4" wp14:editId="7BA9B656">
                  <wp:simplePos x="0" y="0"/>
                  <wp:positionH relativeFrom="column">
                    <wp:posOffset>130175</wp:posOffset>
                  </wp:positionH>
                  <wp:positionV relativeFrom="paragraph">
                    <wp:posOffset>0</wp:posOffset>
                  </wp:positionV>
                  <wp:extent cx="2103120" cy="1036955"/>
                  <wp:effectExtent l="0" t="0" r="0" b="0"/>
                  <wp:wrapSquare wrapText="bothSides" distT="0" distB="0" distL="114300" distR="114300"/>
                  <wp:docPr id="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103120" cy="1036955"/>
                          </a:xfrm>
                          <a:prstGeom prst="rect">
                            <a:avLst/>
                          </a:prstGeom>
                          <a:ln/>
                        </pic:spPr>
                      </pic:pic>
                    </a:graphicData>
                  </a:graphic>
                </wp:anchor>
              </w:drawing>
            </w:r>
          </w:p>
        </w:tc>
        <w:tc>
          <w:tcPr>
            <w:tcW w:w="4435" w:type="dxa"/>
          </w:tcPr>
          <w:p w14:paraId="133B6B97"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“La que nos motiva… ¡Es la fuerza del PAN Aguascalientes!</w:t>
            </w:r>
          </w:p>
          <w:p w14:paraId="699B36A0"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Dirigido a miembros del Partido Acción Nacional”</w:t>
            </w:r>
          </w:p>
          <w:p w14:paraId="028B8FDD" w14:textId="77777777" w:rsidR="00104FC3" w:rsidRDefault="00104FC3">
            <w:pPr>
              <w:tabs>
                <w:tab w:val="left" w:pos="426"/>
              </w:tabs>
              <w:ind w:right="36"/>
              <w:jc w:val="both"/>
              <w:rPr>
                <w:rFonts w:ascii="Arial" w:eastAsia="Arial" w:hAnsi="Arial" w:cs="Arial"/>
                <w:sz w:val="20"/>
                <w:szCs w:val="20"/>
              </w:rPr>
            </w:pPr>
          </w:p>
          <w:p w14:paraId="3F1ACECD"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Avenida Ayuntamiento, Aguascalientes, Ags.</w:t>
            </w:r>
          </w:p>
        </w:tc>
      </w:tr>
      <w:tr w:rsidR="00104FC3" w14:paraId="061509AD" w14:textId="77777777" w:rsidTr="004F6579">
        <w:trPr>
          <w:cnfStyle w:val="000000100000" w:firstRow="0" w:lastRow="0" w:firstColumn="0" w:lastColumn="0" w:oddVBand="0" w:evenVBand="0" w:oddHBand="1" w:evenHBand="0" w:firstRowFirstColumn="0" w:firstRowLastColumn="0" w:lastRowFirstColumn="0" w:lastRowLastColumn="0"/>
        </w:trPr>
        <w:tc>
          <w:tcPr>
            <w:tcW w:w="420" w:type="dxa"/>
          </w:tcPr>
          <w:p w14:paraId="7A758554"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6</w:t>
            </w:r>
          </w:p>
        </w:tc>
        <w:tc>
          <w:tcPr>
            <w:tcW w:w="3973" w:type="dxa"/>
          </w:tcPr>
          <w:p w14:paraId="0988DEE2" w14:textId="77777777" w:rsidR="00104FC3" w:rsidRDefault="00BA48A8">
            <w:pPr>
              <w:tabs>
                <w:tab w:val="left" w:pos="426"/>
              </w:tabs>
              <w:ind w:right="36"/>
              <w:jc w:val="both"/>
              <w:rPr>
                <w:rFonts w:ascii="Arial" w:eastAsia="Arial" w:hAnsi="Arial" w:cs="Arial"/>
                <w:sz w:val="20"/>
                <w:szCs w:val="20"/>
              </w:rPr>
            </w:pPr>
            <w:r>
              <w:rPr>
                <w:noProof/>
              </w:rPr>
              <w:drawing>
                <wp:anchor distT="0" distB="0" distL="114300" distR="114300" simplePos="0" relativeHeight="251662336" behindDoc="0" locked="0" layoutInCell="1" hidden="0" allowOverlap="1" wp14:anchorId="38C4F455" wp14:editId="76DE3AB7">
                  <wp:simplePos x="0" y="0"/>
                  <wp:positionH relativeFrom="column">
                    <wp:posOffset>143510</wp:posOffset>
                  </wp:positionH>
                  <wp:positionV relativeFrom="paragraph">
                    <wp:posOffset>1905</wp:posOffset>
                  </wp:positionV>
                  <wp:extent cx="2118360" cy="1139190"/>
                  <wp:effectExtent l="0" t="0" r="0" b="0"/>
                  <wp:wrapSquare wrapText="bothSides" distT="0" distB="0" distL="114300" distR="114300"/>
                  <wp:docPr id="8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118360" cy="1139190"/>
                          </a:xfrm>
                          <a:prstGeom prst="rect">
                            <a:avLst/>
                          </a:prstGeom>
                          <a:ln/>
                        </pic:spPr>
                      </pic:pic>
                    </a:graphicData>
                  </a:graphic>
                </wp:anchor>
              </w:drawing>
            </w:r>
          </w:p>
        </w:tc>
        <w:tc>
          <w:tcPr>
            <w:tcW w:w="4435" w:type="dxa"/>
          </w:tcPr>
          <w:p w14:paraId="62DB35C7"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“La que nos motiva… ¡Es la fuerza del PAN Aguascalientes!</w:t>
            </w:r>
          </w:p>
          <w:p w14:paraId="0EAAFD8B"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Dirigido a miembros del Partido Acción Nacional”</w:t>
            </w:r>
          </w:p>
          <w:p w14:paraId="50CD86B3" w14:textId="77777777" w:rsidR="00104FC3" w:rsidRDefault="00104FC3">
            <w:pPr>
              <w:tabs>
                <w:tab w:val="left" w:pos="426"/>
              </w:tabs>
              <w:ind w:right="36"/>
              <w:jc w:val="both"/>
              <w:rPr>
                <w:rFonts w:ascii="Arial" w:eastAsia="Arial" w:hAnsi="Arial" w:cs="Arial"/>
                <w:sz w:val="20"/>
                <w:szCs w:val="20"/>
              </w:rPr>
            </w:pPr>
          </w:p>
          <w:p w14:paraId="77B56C9F"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Avenida de la Convención de 1914 Sur, número 305, colonia Las Américas, C.P. 20230, Aguascalientes, Ags.</w:t>
            </w:r>
          </w:p>
        </w:tc>
      </w:tr>
      <w:tr w:rsidR="00104FC3" w14:paraId="27D63ACD" w14:textId="77777777" w:rsidTr="004F6579">
        <w:tc>
          <w:tcPr>
            <w:tcW w:w="420" w:type="dxa"/>
          </w:tcPr>
          <w:p w14:paraId="7020D357"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7</w:t>
            </w:r>
          </w:p>
        </w:tc>
        <w:tc>
          <w:tcPr>
            <w:tcW w:w="3973" w:type="dxa"/>
          </w:tcPr>
          <w:p w14:paraId="365891DD" w14:textId="77777777" w:rsidR="00104FC3" w:rsidRDefault="00BA48A8">
            <w:pPr>
              <w:tabs>
                <w:tab w:val="left" w:pos="426"/>
              </w:tabs>
              <w:ind w:right="36"/>
              <w:jc w:val="both"/>
              <w:rPr>
                <w:rFonts w:ascii="Arial" w:eastAsia="Arial" w:hAnsi="Arial" w:cs="Arial"/>
                <w:sz w:val="20"/>
                <w:szCs w:val="20"/>
              </w:rPr>
            </w:pPr>
            <w:r>
              <w:rPr>
                <w:noProof/>
              </w:rPr>
              <w:drawing>
                <wp:anchor distT="0" distB="0" distL="114300" distR="114300" simplePos="0" relativeHeight="251663360" behindDoc="0" locked="0" layoutInCell="1" hidden="0" allowOverlap="1" wp14:anchorId="467F7684" wp14:editId="22F27F7F">
                  <wp:simplePos x="0" y="0"/>
                  <wp:positionH relativeFrom="column">
                    <wp:posOffset>143510</wp:posOffset>
                  </wp:positionH>
                  <wp:positionV relativeFrom="paragraph">
                    <wp:posOffset>1270</wp:posOffset>
                  </wp:positionV>
                  <wp:extent cx="2117725" cy="1125855"/>
                  <wp:effectExtent l="0" t="0" r="0" b="0"/>
                  <wp:wrapSquare wrapText="bothSides" distT="0" distB="0" distL="114300" distR="114300"/>
                  <wp:docPr id="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117725" cy="1125855"/>
                          </a:xfrm>
                          <a:prstGeom prst="rect">
                            <a:avLst/>
                          </a:prstGeom>
                          <a:ln/>
                        </pic:spPr>
                      </pic:pic>
                    </a:graphicData>
                  </a:graphic>
                </wp:anchor>
              </w:drawing>
            </w:r>
          </w:p>
        </w:tc>
        <w:tc>
          <w:tcPr>
            <w:tcW w:w="4435" w:type="dxa"/>
          </w:tcPr>
          <w:p w14:paraId="7EE09C6E"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“La que nos impulsa… ¡Es la fuerza del PAN Aguascalientes!</w:t>
            </w:r>
          </w:p>
          <w:p w14:paraId="09DE1D4D" w14:textId="77777777" w:rsidR="00104FC3" w:rsidRDefault="00BA48A8">
            <w:pPr>
              <w:tabs>
                <w:tab w:val="left" w:pos="426"/>
              </w:tabs>
              <w:ind w:right="36"/>
              <w:jc w:val="both"/>
              <w:rPr>
                <w:rFonts w:ascii="Arial" w:eastAsia="Arial" w:hAnsi="Arial" w:cs="Arial"/>
                <w:i/>
                <w:sz w:val="20"/>
                <w:szCs w:val="20"/>
              </w:rPr>
            </w:pPr>
            <w:r>
              <w:rPr>
                <w:rFonts w:ascii="Arial" w:eastAsia="Arial" w:hAnsi="Arial" w:cs="Arial"/>
                <w:i/>
                <w:sz w:val="20"/>
                <w:szCs w:val="20"/>
              </w:rPr>
              <w:t>Dirigido a miembros del Partido Acción Nacional”</w:t>
            </w:r>
          </w:p>
          <w:p w14:paraId="2916D7D5" w14:textId="77777777" w:rsidR="00104FC3" w:rsidRDefault="00104FC3">
            <w:pPr>
              <w:tabs>
                <w:tab w:val="left" w:pos="426"/>
              </w:tabs>
              <w:ind w:right="36"/>
              <w:jc w:val="both"/>
              <w:rPr>
                <w:rFonts w:ascii="Arial" w:eastAsia="Arial" w:hAnsi="Arial" w:cs="Arial"/>
                <w:sz w:val="20"/>
                <w:szCs w:val="20"/>
              </w:rPr>
            </w:pPr>
          </w:p>
          <w:p w14:paraId="6C62DD71" w14:textId="77777777" w:rsidR="00104FC3" w:rsidRDefault="00BA48A8">
            <w:pPr>
              <w:tabs>
                <w:tab w:val="left" w:pos="426"/>
              </w:tabs>
              <w:ind w:right="36"/>
              <w:jc w:val="both"/>
              <w:rPr>
                <w:rFonts w:ascii="Arial" w:eastAsia="Arial" w:hAnsi="Arial" w:cs="Arial"/>
                <w:sz w:val="20"/>
                <w:szCs w:val="20"/>
              </w:rPr>
            </w:pPr>
            <w:r>
              <w:rPr>
                <w:rFonts w:ascii="Arial" w:eastAsia="Arial" w:hAnsi="Arial" w:cs="Arial"/>
                <w:sz w:val="20"/>
                <w:szCs w:val="20"/>
              </w:rPr>
              <w:t>Avenida de la Convención de 1914 Sur, número 305, colonia Las Américas, C.P. 20230, Aguascalientes, Ags.</w:t>
            </w:r>
          </w:p>
        </w:tc>
      </w:tr>
    </w:tbl>
    <w:p w14:paraId="609AA2F6" w14:textId="77777777" w:rsidR="00104FC3" w:rsidRDefault="00104FC3">
      <w:pPr>
        <w:pBdr>
          <w:top w:val="nil"/>
          <w:left w:val="nil"/>
          <w:bottom w:val="nil"/>
          <w:right w:val="nil"/>
          <w:between w:val="nil"/>
        </w:pBdr>
        <w:rPr>
          <w:color w:val="000000"/>
        </w:rPr>
      </w:pPr>
    </w:p>
    <w:p w14:paraId="276AA510" w14:textId="77777777" w:rsidR="00104FC3" w:rsidRDefault="00104FC3">
      <w:pPr>
        <w:pBdr>
          <w:top w:val="nil"/>
          <w:left w:val="nil"/>
          <w:bottom w:val="nil"/>
          <w:right w:val="nil"/>
          <w:between w:val="nil"/>
        </w:pBdr>
        <w:rPr>
          <w:color w:val="000000"/>
        </w:rPr>
      </w:pPr>
    </w:p>
    <w:p w14:paraId="414B2DA8" w14:textId="77777777" w:rsidR="00104FC3" w:rsidRDefault="00BA48A8">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sz w:val="24"/>
          <w:szCs w:val="24"/>
        </w:rPr>
        <w:t>Al respecto, e</w:t>
      </w:r>
      <w:r>
        <w:rPr>
          <w:rFonts w:ascii="Arial" w:eastAsia="Arial" w:hAnsi="Arial" w:cs="Arial"/>
          <w:color w:val="000000"/>
          <w:sz w:val="24"/>
          <w:szCs w:val="24"/>
        </w:rPr>
        <w:t xml:space="preserve">l partido denunciante manifiesta que los mensajes expuestos a través de los diversos espectaculares, contienen expresiones que constituyen actos anticipados de campaña, pues estos posicionan </w:t>
      </w:r>
      <w:r>
        <w:rPr>
          <w:rFonts w:ascii="Arial" w:eastAsia="Arial" w:hAnsi="Arial" w:cs="Arial"/>
          <w:sz w:val="24"/>
          <w:szCs w:val="24"/>
        </w:rPr>
        <w:t>de manera anticipada</w:t>
      </w:r>
      <w:r>
        <w:rPr>
          <w:rFonts w:ascii="Arial" w:eastAsia="Arial" w:hAnsi="Arial" w:cs="Arial"/>
          <w:color w:val="000000"/>
          <w:sz w:val="24"/>
          <w:szCs w:val="24"/>
        </w:rPr>
        <w:t xml:space="preserve"> al PAN y, por tanto, a la precandidata denunciada, incentivando fotos a su favor. </w:t>
      </w:r>
    </w:p>
    <w:p w14:paraId="7C234D82" w14:textId="77777777" w:rsidR="00104FC3" w:rsidRDefault="00104FC3">
      <w:pPr>
        <w:pBdr>
          <w:top w:val="nil"/>
          <w:left w:val="nil"/>
          <w:bottom w:val="nil"/>
          <w:right w:val="nil"/>
          <w:between w:val="nil"/>
        </w:pBdr>
        <w:rPr>
          <w:color w:val="000000"/>
          <w:sz w:val="18"/>
          <w:szCs w:val="18"/>
        </w:rPr>
      </w:pPr>
    </w:p>
    <w:p w14:paraId="71617F5E" w14:textId="77777777" w:rsidR="00104FC3" w:rsidRDefault="00BA48A8">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w:t>
      </w:r>
      <w:proofErr w:type="spellStart"/>
      <w:r>
        <w:rPr>
          <w:rFonts w:ascii="Arial" w:eastAsia="Arial" w:hAnsi="Arial" w:cs="Arial"/>
          <w:b/>
          <w:color w:val="000000"/>
          <w:sz w:val="24"/>
          <w:szCs w:val="24"/>
        </w:rPr>
        <w:t>Marko</w:t>
      </w:r>
      <w:proofErr w:type="spellEnd"/>
      <w:r>
        <w:rPr>
          <w:rFonts w:ascii="Arial" w:eastAsia="Arial" w:hAnsi="Arial" w:cs="Arial"/>
          <w:b/>
          <w:color w:val="000000"/>
          <w:sz w:val="24"/>
          <w:szCs w:val="24"/>
        </w:rPr>
        <w:t xml:space="preserve"> Antonio Cortez Mendoza. </w:t>
      </w:r>
      <w:r>
        <w:rPr>
          <w:rFonts w:ascii="Arial" w:eastAsia="Arial" w:hAnsi="Arial" w:cs="Arial"/>
          <w:color w:val="000000"/>
          <w:sz w:val="24"/>
          <w:szCs w:val="24"/>
        </w:rPr>
        <w:t xml:space="preserve">El denunciante menciona que el PAN </w:t>
      </w:r>
      <w:r>
        <w:rPr>
          <w:rFonts w:ascii="Arial" w:eastAsia="Arial" w:hAnsi="Arial" w:cs="Arial"/>
          <w:b/>
          <w:color w:val="000000"/>
          <w:sz w:val="24"/>
          <w:szCs w:val="24"/>
        </w:rPr>
        <w:t xml:space="preserve">incumplió su deber de cuidar </w:t>
      </w:r>
      <w:r>
        <w:rPr>
          <w:rFonts w:ascii="Arial" w:eastAsia="Arial" w:hAnsi="Arial" w:cs="Arial"/>
          <w:color w:val="000000"/>
          <w:sz w:val="24"/>
          <w:szCs w:val="24"/>
        </w:rPr>
        <w:t>que la precandidata no incumpliera la normativa electoral.</w:t>
      </w:r>
    </w:p>
    <w:p w14:paraId="44601ED4" w14:textId="77777777" w:rsidR="00104FC3" w:rsidRDefault="00104FC3">
      <w:pPr>
        <w:pBdr>
          <w:top w:val="nil"/>
          <w:left w:val="nil"/>
          <w:bottom w:val="nil"/>
          <w:right w:val="nil"/>
          <w:between w:val="nil"/>
        </w:pBdr>
        <w:rPr>
          <w:color w:val="000000"/>
        </w:rPr>
      </w:pPr>
    </w:p>
    <w:p w14:paraId="368B7139" w14:textId="77777777" w:rsidR="00104FC3" w:rsidRDefault="00BA48A8">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p>
    <w:p w14:paraId="1E83791E" w14:textId="77777777" w:rsidR="00104FC3" w:rsidRDefault="00104FC3">
      <w:pPr>
        <w:pBdr>
          <w:top w:val="nil"/>
          <w:left w:val="nil"/>
          <w:bottom w:val="nil"/>
          <w:right w:val="nil"/>
          <w:between w:val="nil"/>
        </w:pBdr>
        <w:rPr>
          <w:color w:val="000000"/>
        </w:rPr>
      </w:pPr>
    </w:p>
    <w:p w14:paraId="34CA2C78" w14:textId="77777777" w:rsidR="00104FC3" w:rsidRDefault="00BA48A8">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b/>
          <w:color w:val="000000"/>
          <w:sz w:val="24"/>
          <w:szCs w:val="24"/>
        </w:rPr>
        <w:t xml:space="preserve">2.1. </w:t>
      </w:r>
      <w:r>
        <w:rPr>
          <w:rFonts w:ascii="Arial" w:eastAsia="Arial" w:hAnsi="Arial" w:cs="Arial"/>
          <w:b/>
          <w:sz w:val="24"/>
          <w:szCs w:val="24"/>
        </w:rPr>
        <w:t xml:space="preserve"> La precandidata denunciada manifestó lo siguiente: </w:t>
      </w:r>
    </w:p>
    <w:p w14:paraId="4B18D6C1" w14:textId="77777777" w:rsidR="00104FC3" w:rsidRDefault="00BA48A8">
      <w:pPr>
        <w:numPr>
          <w:ilvl w:val="0"/>
          <w:numId w:val="3"/>
        </w:numPr>
        <w:tabs>
          <w:tab w:val="left" w:pos="284"/>
        </w:tabs>
        <w:spacing w:line="360" w:lineRule="auto"/>
        <w:ind w:left="0" w:firstLine="0"/>
        <w:jc w:val="both"/>
        <w:rPr>
          <w:rFonts w:ascii="Arial" w:eastAsia="Arial" w:hAnsi="Arial" w:cs="Arial"/>
          <w:sz w:val="24"/>
          <w:szCs w:val="24"/>
        </w:rPr>
      </w:pPr>
      <w:r>
        <w:rPr>
          <w:rFonts w:ascii="Arial" w:eastAsia="Arial" w:hAnsi="Arial" w:cs="Arial"/>
          <w:sz w:val="24"/>
          <w:szCs w:val="24"/>
        </w:rPr>
        <w:t>Solicita que la denuncia sea desechada al actualizarse la causal de frivolidad.</w:t>
      </w:r>
    </w:p>
    <w:p w14:paraId="12F377D1" w14:textId="2F260ABE" w:rsidR="00104FC3" w:rsidRDefault="00BA48A8">
      <w:pPr>
        <w:numPr>
          <w:ilvl w:val="0"/>
          <w:numId w:val="3"/>
        </w:numPr>
        <w:tabs>
          <w:tab w:val="left" w:pos="284"/>
        </w:tabs>
        <w:spacing w:line="360" w:lineRule="auto"/>
        <w:ind w:left="0" w:firstLine="0"/>
        <w:jc w:val="both"/>
        <w:rPr>
          <w:rFonts w:ascii="Arial" w:eastAsia="Arial" w:hAnsi="Arial" w:cs="Arial"/>
          <w:sz w:val="24"/>
          <w:szCs w:val="24"/>
        </w:rPr>
      </w:pPr>
      <w:r>
        <w:rPr>
          <w:rFonts w:ascii="Arial" w:eastAsia="Arial" w:hAnsi="Arial" w:cs="Arial"/>
          <w:sz w:val="24"/>
          <w:szCs w:val="24"/>
        </w:rPr>
        <w:lastRenderedPageBreak/>
        <w:t xml:space="preserve">Precisa que las acciones denunciadas no guardan autoría o vinculación con su persona.  </w:t>
      </w:r>
    </w:p>
    <w:p w14:paraId="6176EE44" w14:textId="77777777" w:rsidR="004F6579" w:rsidRDefault="004F6579" w:rsidP="004F6579">
      <w:pPr>
        <w:pStyle w:val="Sinespaciado"/>
        <w:rPr>
          <w:rFonts w:eastAsia="Arial"/>
        </w:rPr>
      </w:pPr>
    </w:p>
    <w:p w14:paraId="21484E44" w14:textId="48B09104" w:rsidR="00104FC3" w:rsidRDefault="00BA48A8">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b/>
          <w:color w:val="000000"/>
          <w:sz w:val="24"/>
          <w:szCs w:val="24"/>
        </w:rPr>
        <w:t xml:space="preserve">2.2. </w:t>
      </w:r>
      <w:r>
        <w:rPr>
          <w:rFonts w:ascii="Arial" w:eastAsia="Arial" w:hAnsi="Arial" w:cs="Arial"/>
          <w:b/>
          <w:sz w:val="24"/>
          <w:szCs w:val="24"/>
        </w:rPr>
        <w:t xml:space="preserve">El partido político local denunciado, manifestó lo siguiente: </w:t>
      </w:r>
      <w:r>
        <w:rPr>
          <w:rFonts w:ascii="Arial" w:eastAsia="Arial" w:hAnsi="Arial" w:cs="Arial"/>
          <w:sz w:val="24"/>
          <w:szCs w:val="24"/>
        </w:rPr>
        <w:t xml:space="preserve">Niega que los mensajes denunciados configuren una infracción, ya que </w:t>
      </w:r>
      <w:r w:rsidR="004F6579">
        <w:rPr>
          <w:rFonts w:ascii="Arial" w:eastAsia="Arial" w:hAnsi="Arial" w:cs="Arial"/>
          <w:sz w:val="24"/>
          <w:szCs w:val="24"/>
        </w:rPr>
        <w:t>el contenido de los espectaculares no vulneró</w:t>
      </w:r>
      <w:r>
        <w:rPr>
          <w:rFonts w:ascii="Arial" w:eastAsia="Arial" w:hAnsi="Arial" w:cs="Arial"/>
          <w:sz w:val="24"/>
          <w:szCs w:val="24"/>
        </w:rPr>
        <w:t xml:space="preserve"> las reglas de propaganda electoral. </w:t>
      </w:r>
    </w:p>
    <w:p w14:paraId="6DEF4929" w14:textId="77777777" w:rsidR="00104FC3" w:rsidRDefault="00104FC3">
      <w:pPr>
        <w:pBdr>
          <w:top w:val="nil"/>
          <w:left w:val="nil"/>
          <w:bottom w:val="nil"/>
          <w:right w:val="nil"/>
          <w:between w:val="nil"/>
        </w:pBdr>
        <w:rPr>
          <w:color w:val="000000"/>
        </w:rPr>
      </w:pPr>
    </w:p>
    <w:p w14:paraId="0FD6AE85" w14:textId="77777777" w:rsidR="00104FC3" w:rsidRDefault="00BA48A8">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sz w:val="24"/>
          <w:szCs w:val="24"/>
        </w:rPr>
        <w:t xml:space="preserve"> </w:t>
      </w:r>
    </w:p>
    <w:p w14:paraId="39F1EB46" w14:textId="77777777" w:rsidR="00104FC3" w:rsidRDefault="00104FC3">
      <w:pPr>
        <w:pBdr>
          <w:top w:val="nil"/>
          <w:left w:val="nil"/>
          <w:bottom w:val="nil"/>
          <w:right w:val="nil"/>
          <w:between w:val="nil"/>
        </w:pBdr>
        <w:rPr>
          <w:color w:val="000000"/>
          <w:sz w:val="12"/>
          <w:szCs w:val="12"/>
        </w:rPr>
      </w:pPr>
    </w:p>
    <w:p w14:paraId="10DBB6CC" w14:textId="77777777" w:rsidR="00104FC3" w:rsidRDefault="00104FC3">
      <w:pPr>
        <w:tabs>
          <w:tab w:val="left" w:pos="567"/>
        </w:tabs>
        <w:spacing w:line="360" w:lineRule="auto"/>
        <w:jc w:val="both"/>
        <w:rPr>
          <w:rFonts w:ascii="Arial" w:eastAsia="Arial" w:hAnsi="Arial" w:cs="Arial"/>
          <w:b/>
          <w:sz w:val="6"/>
          <w:szCs w:val="6"/>
        </w:rPr>
      </w:pPr>
    </w:p>
    <w:p w14:paraId="580065D5" w14:textId="77777777" w:rsidR="00104FC3" w:rsidRDefault="00BA48A8">
      <w:pPr>
        <w:pBdr>
          <w:top w:val="nil"/>
          <w:left w:val="nil"/>
          <w:bottom w:val="nil"/>
          <w:right w:val="nil"/>
          <w:between w:val="nil"/>
        </w:pBd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3.1. Pruebas aportadas por la parte denunciante: </w:t>
      </w:r>
    </w:p>
    <w:tbl>
      <w:tblPr>
        <w:tblStyle w:val="Tabladecuadrcula4-nfasis31"/>
        <w:tblW w:w="8931" w:type="dxa"/>
        <w:tblLayout w:type="fixed"/>
        <w:tblLook w:val="04A0" w:firstRow="1" w:lastRow="0" w:firstColumn="1" w:lastColumn="0" w:noHBand="0" w:noVBand="1"/>
      </w:tblPr>
      <w:tblGrid>
        <w:gridCol w:w="499"/>
        <w:gridCol w:w="2615"/>
        <w:gridCol w:w="5817"/>
      </w:tblGrid>
      <w:tr w:rsidR="00104FC3" w14:paraId="3550333B" w14:textId="77777777" w:rsidTr="004F6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224F7F49" w14:textId="77777777" w:rsidR="00104FC3" w:rsidRDefault="00BA48A8">
            <w:pPr>
              <w:jc w:val="center"/>
              <w:rPr>
                <w:rFonts w:ascii="Arial" w:eastAsia="Arial" w:hAnsi="Arial" w:cs="Arial"/>
                <w:sz w:val="18"/>
                <w:szCs w:val="18"/>
              </w:rPr>
            </w:pPr>
            <w:r>
              <w:rPr>
                <w:rFonts w:ascii="Arial" w:eastAsia="Arial" w:hAnsi="Arial" w:cs="Arial"/>
                <w:color w:val="000000"/>
                <w:sz w:val="18"/>
                <w:szCs w:val="18"/>
              </w:rPr>
              <w:t>#</w:t>
            </w:r>
          </w:p>
        </w:tc>
        <w:tc>
          <w:tcPr>
            <w:tcW w:w="2615" w:type="dxa"/>
          </w:tcPr>
          <w:p w14:paraId="5ED2E45E" w14:textId="77777777" w:rsidR="00104FC3" w:rsidRDefault="00BA48A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Prueba</w:t>
            </w:r>
          </w:p>
        </w:tc>
        <w:tc>
          <w:tcPr>
            <w:tcW w:w="5817" w:type="dxa"/>
          </w:tcPr>
          <w:p w14:paraId="5B8FC39D" w14:textId="77777777" w:rsidR="00104FC3" w:rsidRDefault="00BA48A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Consistente en</w:t>
            </w:r>
          </w:p>
        </w:tc>
      </w:tr>
      <w:tr w:rsidR="00104FC3" w14:paraId="3E58E3B2" w14:textId="77777777" w:rsidTr="004F657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0CA2610" w14:textId="77777777" w:rsidR="00104FC3" w:rsidRDefault="00BA48A8">
            <w:pPr>
              <w:jc w:val="center"/>
              <w:rPr>
                <w:rFonts w:ascii="Arial" w:eastAsia="Arial" w:hAnsi="Arial" w:cs="Arial"/>
                <w:sz w:val="18"/>
                <w:szCs w:val="18"/>
              </w:rPr>
            </w:pPr>
            <w:r>
              <w:rPr>
                <w:rFonts w:ascii="Arial" w:eastAsia="Arial" w:hAnsi="Arial" w:cs="Arial"/>
                <w:b w:val="0"/>
                <w:sz w:val="18"/>
                <w:szCs w:val="18"/>
              </w:rPr>
              <w:t>1</w:t>
            </w:r>
          </w:p>
        </w:tc>
        <w:tc>
          <w:tcPr>
            <w:tcW w:w="2615" w:type="dxa"/>
          </w:tcPr>
          <w:p w14:paraId="46232687" w14:textId="77777777" w:rsidR="00104FC3" w:rsidRDefault="00BA48A8">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privada</w:t>
            </w:r>
            <w:proofErr w:type="gramEnd"/>
          </w:p>
        </w:tc>
        <w:tc>
          <w:tcPr>
            <w:tcW w:w="5817" w:type="dxa"/>
          </w:tcPr>
          <w:p w14:paraId="4D89E667" w14:textId="77777777" w:rsidR="00104FC3" w:rsidRDefault="00BA48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Quince imágenes que contienen los espectaculares exhibidos en vía pública. </w:t>
            </w:r>
          </w:p>
        </w:tc>
      </w:tr>
      <w:tr w:rsidR="00104FC3" w14:paraId="4B0620B4" w14:textId="77777777" w:rsidTr="004F6579">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7323FB2D" w14:textId="77777777" w:rsidR="00104FC3" w:rsidRDefault="00BA48A8">
            <w:pPr>
              <w:jc w:val="center"/>
              <w:rPr>
                <w:rFonts w:ascii="Arial" w:eastAsia="Arial" w:hAnsi="Arial" w:cs="Arial"/>
                <w:sz w:val="18"/>
                <w:szCs w:val="18"/>
              </w:rPr>
            </w:pPr>
            <w:r>
              <w:rPr>
                <w:rFonts w:ascii="Arial" w:eastAsia="Arial" w:hAnsi="Arial" w:cs="Arial"/>
                <w:b w:val="0"/>
                <w:sz w:val="18"/>
                <w:szCs w:val="18"/>
              </w:rPr>
              <w:t>2</w:t>
            </w:r>
          </w:p>
        </w:tc>
        <w:tc>
          <w:tcPr>
            <w:tcW w:w="2615" w:type="dxa"/>
          </w:tcPr>
          <w:p w14:paraId="4667F38B" w14:textId="77777777" w:rsidR="00104FC3" w:rsidRDefault="00BA48A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roofErr w:type="gramStart"/>
            <w:r>
              <w:rPr>
                <w:rFonts w:ascii="Arial" w:eastAsia="Arial" w:hAnsi="Arial" w:cs="Arial"/>
                <w:sz w:val="18"/>
                <w:szCs w:val="18"/>
              </w:rPr>
              <w:t>Documental pública</w:t>
            </w:r>
            <w:proofErr w:type="gramEnd"/>
          </w:p>
        </w:tc>
        <w:tc>
          <w:tcPr>
            <w:tcW w:w="5817" w:type="dxa"/>
          </w:tcPr>
          <w:p w14:paraId="1CF701A0" w14:textId="77777777" w:rsidR="00104FC3" w:rsidRDefault="00BA48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Copia certificada del acta de oficialía electoral IEE/OE/010/2022 del Instituto Local. </w:t>
            </w:r>
          </w:p>
        </w:tc>
      </w:tr>
      <w:tr w:rsidR="00104FC3" w14:paraId="021F1A48" w14:textId="77777777" w:rsidTr="004F657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45218177" w14:textId="77777777" w:rsidR="00104FC3" w:rsidRDefault="00BA48A8">
            <w:pPr>
              <w:jc w:val="center"/>
              <w:rPr>
                <w:rFonts w:ascii="Arial" w:eastAsia="Arial" w:hAnsi="Arial" w:cs="Arial"/>
                <w:sz w:val="18"/>
                <w:szCs w:val="18"/>
              </w:rPr>
            </w:pPr>
            <w:r>
              <w:rPr>
                <w:rFonts w:ascii="Arial" w:eastAsia="Arial" w:hAnsi="Arial" w:cs="Arial"/>
                <w:b w:val="0"/>
                <w:sz w:val="18"/>
                <w:szCs w:val="18"/>
              </w:rPr>
              <w:t>3</w:t>
            </w:r>
          </w:p>
        </w:tc>
        <w:tc>
          <w:tcPr>
            <w:tcW w:w="2615" w:type="dxa"/>
          </w:tcPr>
          <w:p w14:paraId="31709789" w14:textId="77777777" w:rsidR="00104FC3" w:rsidRDefault="00BA48A8">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Presuncional legal y humana</w:t>
            </w:r>
          </w:p>
        </w:tc>
        <w:tc>
          <w:tcPr>
            <w:tcW w:w="5817" w:type="dxa"/>
          </w:tcPr>
          <w:p w14:paraId="47722C6D" w14:textId="77777777" w:rsidR="00104FC3" w:rsidRDefault="00BA48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104FC3" w14:paraId="21D585E1" w14:textId="77777777" w:rsidTr="004F6579">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7E3FF6F9" w14:textId="77777777" w:rsidR="00104FC3" w:rsidRDefault="00BA48A8">
            <w:pPr>
              <w:jc w:val="center"/>
              <w:rPr>
                <w:rFonts w:ascii="Arial" w:eastAsia="Arial" w:hAnsi="Arial" w:cs="Arial"/>
                <w:sz w:val="18"/>
                <w:szCs w:val="18"/>
              </w:rPr>
            </w:pPr>
            <w:r>
              <w:rPr>
                <w:rFonts w:ascii="Arial" w:eastAsia="Arial" w:hAnsi="Arial" w:cs="Arial"/>
                <w:b w:val="0"/>
                <w:sz w:val="18"/>
                <w:szCs w:val="18"/>
              </w:rPr>
              <w:t>4</w:t>
            </w:r>
          </w:p>
        </w:tc>
        <w:tc>
          <w:tcPr>
            <w:tcW w:w="2615" w:type="dxa"/>
          </w:tcPr>
          <w:p w14:paraId="76F29ED9" w14:textId="77777777" w:rsidR="00104FC3" w:rsidRDefault="00BA48A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5817" w:type="dxa"/>
          </w:tcPr>
          <w:p w14:paraId="54C4ED6E" w14:textId="77777777" w:rsidR="00104FC3" w:rsidRDefault="00BA48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177DD851" w14:textId="77777777" w:rsidR="00104FC3" w:rsidRDefault="00104FC3">
      <w:pPr>
        <w:pBdr>
          <w:top w:val="nil"/>
          <w:left w:val="nil"/>
          <w:bottom w:val="nil"/>
          <w:right w:val="nil"/>
          <w:between w:val="nil"/>
        </w:pBdr>
        <w:rPr>
          <w:color w:val="000000"/>
        </w:rPr>
      </w:pPr>
    </w:p>
    <w:p w14:paraId="51E04B28" w14:textId="77777777" w:rsidR="00104FC3" w:rsidRDefault="00BA48A8">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precandidata y el partido político local como parte denunciada:</w:t>
      </w:r>
    </w:p>
    <w:tbl>
      <w:tblPr>
        <w:tblStyle w:val="Tabladecuadrcula4-nfasis31"/>
        <w:tblW w:w="8931" w:type="dxa"/>
        <w:tblLayout w:type="fixed"/>
        <w:tblLook w:val="04A0" w:firstRow="1" w:lastRow="0" w:firstColumn="1" w:lastColumn="0" w:noHBand="0" w:noVBand="1"/>
      </w:tblPr>
      <w:tblGrid>
        <w:gridCol w:w="499"/>
        <w:gridCol w:w="2615"/>
        <w:gridCol w:w="5817"/>
      </w:tblGrid>
      <w:tr w:rsidR="00104FC3" w14:paraId="652999D6" w14:textId="77777777" w:rsidTr="004F6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24B00C0F" w14:textId="77777777" w:rsidR="00104FC3" w:rsidRDefault="00BA48A8">
            <w:pPr>
              <w:jc w:val="center"/>
              <w:rPr>
                <w:rFonts w:ascii="Arial" w:eastAsia="Arial" w:hAnsi="Arial" w:cs="Arial"/>
                <w:sz w:val="18"/>
                <w:szCs w:val="18"/>
              </w:rPr>
            </w:pPr>
            <w:r>
              <w:rPr>
                <w:rFonts w:ascii="Arial" w:eastAsia="Arial" w:hAnsi="Arial" w:cs="Arial"/>
                <w:color w:val="000000"/>
                <w:sz w:val="18"/>
                <w:szCs w:val="18"/>
              </w:rPr>
              <w:t>#</w:t>
            </w:r>
          </w:p>
        </w:tc>
        <w:tc>
          <w:tcPr>
            <w:tcW w:w="2615" w:type="dxa"/>
          </w:tcPr>
          <w:p w14:paraId="10CB5CB7" w14:textId="77777777" w:rsidR="00104FC3" w:rsidRDefault="00BA48A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Prueba</w:t>
            </w:r>
          </w:p>
        </w:tc>
        <w:tc>
          <w:tcPr>
            <w:tcW w:w="5817" w:type="dxa"/>
          </w:tcPr>
          <w:p w14:paraId="64B093F9" w14:textId="77777777" w:rsidR="00104FC3" w:rsidRDefault="00BA48A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color w:val="000000"/>
                <w:sz w:val="18"/>
                <w:szCs w:val="18"/>
              </w:rPr>
              <w:t>Consistente en</w:t>
            </w:r>
          </w:p>
        </w:tc>
      </w:tr>
      <w:tr w:rsidR="00104FC3" w14:paraId="53D969F6" w14:textId="77777777" w:rsidTr="004F657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07FF938B" w14:textId="77777777" w:rsidR="00104FC3" w:rsidRDefault="00BA48A8">
            <w:pPr>
              <w:jc w:val="center"/>
              <w:rPr>
                <w:rFonts w:ascii="Arial" w:eastAsia="Arial" w:hAnsi="Arial" w:cs="Arial"/>
                <w:sz w:val="18"/>
                <w:szCs w:val="18"/>
              </w:rPr>
            </w:pPr>
            <w:r>
              <w:rPr>
                <w:rFonts w:ascii="Arial" w:eastAsia="Arial" w:hAnsi="Arial" w:cs="Arial"/>
                <w:b w:val="0"/>
                <w:sz w:val="18"/>
                <w:szCs w:val="18"/>
              </w:rPr>
              <w:t>1</w:t>
            </w:r>
          </w:p>
        </w:tc>
        <w:tc>
          <w:tcPr>
            <w:tcW w:w="2615" w:type="dxa"/>
          </w:tcPr>
          <w:p w14:paraId="72CBE514" w14:textId="77777777" w:rsidR="00104FC3" w:rsidRDefault="00BA48A8">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Presuncional lógica, legal y humana </w:t>
            </w:r>
          </w:p>
        </w:tc>
        <w:tc>
          <w:tcPr>
            <w:tcW w:w="5817" w:type="dxa"/>
          </w:tcPr>
          <w:p w14:paraId="13202934" w14:textId="77777777" w:rsidR="00104FC3" w:rsidRDefault="00BA48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104FC3" w14:paraId="3DD348E9" w14:textId="77777777" w:rsidTr="004F6579">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56C2D370" w14:textId="77777777" w:rsidR="00104FC3" w:rsidRDefault="00BA48A8">
            <w:pPr>
              <w:jc w:val="center"/>
              <w:rPr>
                <w:rFonts w:ascii="Arial" w:eastAsia="Arial" w:hAnsi="Arial" w:cs="Arial"/>
                <w:sz w:val="18"/>
                <w:szCs w:val="18"/>
              </w:rPr>
            </w:pPr>
            <w:r>
              <w:rPr>
                <w:rFonts w:ascii="Arial" w:eastAsia="Arial" w:hAnsi="Arial" w:cs="Arial"/>
                <w:b w:val="0"/>
                <w:sz w:val="18"/>
                <w:szCs w:val="18"/>
              </w:rPr>
              <w:t>2</w:t>
            </w:r>
          </w:p>
        </w:tc>
        <w:tc>
          <w:tcPr>
            <w:tcW w:w="2615" w:type="dxa"/>
          </w:tcPr>
          <w:p w14:paraId="0B365E0F" w14:textId="77777777" w:rsidR="00104FC3" w:rsidRDefault="00BA48A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5817" w:type="dxa"/>
          </w:tcPr>
          <w:p w14:paraId="3FC32E48" w14:textId="77777777" w:rsidR="00104FC3" w:rsidRDefault="00BA48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6DA0FACB" w14:textId="77777777" w:rsidR="00104FC3" w:rsidRDefault="00104FC3">
      <w:pPr>
        <w:pBdr>
          <w:top w:val="nil"/>
          <w:left w:val="nil"/>
          <w:bottom w:val="nil"/>
          <w:right w:val="nil"/>
          <w:between w:val="nil"/>
        </w:pBdr>
        <w:rPr>
          <w:color w:val="000000"/>
        </w:rPr>
      </w:pPr>
    </w:p>
    <w:p w14:paraId="53C22A04" w14:textId="77777777" w:rsidR="00104FC3" w:rsidRDefault="00BA48A8">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w:t>
      </w:r>
      <w:r>
        <w:rPr>
          <w:rFonts w:ascii="Arial" w:eastAsia="Arial" w:hAnsi="Arial" w:cs="Arial"/>
          <w:sz w:val="24"/>
          <w:szCs w:val="24"/>
        </w:rPr>
        <w:t>Electoral.</w:t>
      </w:r>
      <w:r>
        <w:rPr>
          <w:rFonts w:ascii="Arial" w:eastAsia="Arial" w:hAnsi="Arial" w:cs="Arial"/>
          <w:sz w:val="24"/>
          <w:szCs w:val="24"/>
          <w:vertAlign w:val="superscript"/>
        </w:rPr>
        <w:footnoteReference w:id="7"/>
      </w:r>
      <w:r>
        <w:rPr>
          <w:rFonts w:ascii="Arial" w:eastAsia="Arial" w:hAnsi="Arial" w:cs="Arial"/>
          <w:color w:val="000000"/>
          <w:sz w:val="24"/>
          <w:szCs w:val="24"/>
        </w:rPr>
        <w:t xml:space="preserve"> </w:t>
      </w:r>
    </w:p>
    <w:p w14:paraId="5AD2C76C" w14:textId="77777777" w:rsidR="00104FC3" w:rsidRDefault="00104FC3" w:rsidP="004F6579">
      <w:pPr>
        <w:pStyle w:val="Sinespaciado"/>
      </w:pPr>
    </w:p>
    <w:p w14:paraId="6339709F" w14:textId="77777777" w:rsidR="00104FC3" w:rsidRDefault="00BA48A8">
      <w:pPr>
        <w:pBdr>
          <w:top w:val="nil"/>
          <w:left w:val="nil"/>
          <w:bottom w:val="nil"/>
          <w:right w:val="nil"/>
          <w:between w:val="nil"/>
        </w:pBdr>
        <w:tabs>
          <w:tab w:val="left" w:pos="567"/>
        </w:tabs>
        <w:spacing w:line="360" w:lineRule="auto"/>
        <w:jc w:val="both"/>
        <w:rPr>
          <w:rFonts w:ascii="Arial" w:eastAsia="Arial" w:hAnsi="Arial" w:cs="Arial"/>
          <w:sz w:val="24"/>
          <w:szCs w:val="24"/>
        </w:rPr>
      </w:pPr>
      <w:r>
        <w:rPr>
          <w:rFonts w:ascii="Arial" w:eastAsia="Arial" w:hAnsi="Arial" w:cs="Arial"/>
          <w:sz w:val="24"/>
          <w:szCs w:val="24"/>
        </w:rPr>
        <w:t>En lo que respecta a la documental pública ofrecida por la parte denunciante, constante en el acta de la oficialía electoral IEE/OE/010/2022 llevada a cabo por el Instituto Local, esta adquiere valor probatorio pleno respecto a los hechos que en ella se constatan, esto es, que en fecha 16 de febrero y en las direcciones proporcionadas por el denunciante, no se encontró el contenido de los espectaculares denunciados.</w:t>
      </w:r>
    </w:p>
    <w:p w14:paraId="2DA25D4D" w14:textId="77777777" w:rsidR="00104FC3" w:rsidRDefault="00104FC3">
      <w:pPr>
        <w:pBdr>
          <w:top w:val="nil"/>
          <w:left w:val="nil"/>
          <w:bottom w:val="nil"/>
          <w:right w:val="nil"/>
          <w:between w:val="nil"/>
        </w:pBdr>
        <w:rPr>
          <w:color w:val="000000"/>
        </w:rPr>
      </w:pPr>
    </w:p>
    <w:p w14:paraId="48E22F22" w14:textId="77777777" w:rsidR="00104FC3" w:rsidRDefault="00BA48A8">
      <w:pPr>
        <w:pBdr>
          <w:top w:val="nil"/>
          <w:left w:val="nil"/>
          <w:bottom w:val="nil"/>
          <w:right w:val="nil"/>
          <w:between w:val="nil"/>
        </w:pBdr>
        <w:tabs>
          <w:tab w:val="left" w:pos="567"/>
        </w:tabs>
        <w:spacing w:line="360" w:lineRule="auto"/>
        <w:jc w:val="both"/>
        <w:rPr>
          <w:rFonts w:ascii="Arial" w:eastAsia="Arial" w:hAnsi="Arial" w:cs="Arial"/>
          <w:sz w:val="24"/>
          <w:szCs w:val="24"/>
        </w:rPr>
      </w:pPr>
      <w:r>
        <w:rPr>
          <w:rFonts w:ascii="Arial" w:eastAsia="Arial" w:hAnsi="Arial" w:cs="Arial"/>
          <w:sz w:val="24"/>
          <w:szCs w:val="24"/>
        </w:rPr>
        <w:t xml:space="preserve">Ahora bien, en cuanto a las pruebas técnicas que ofrece el quejoso -las imágenes de la propaganda impresa denunciada-, de acuerdo al Código Electoral, estas tienen </w:t>
      </w:r>
      <w:r>
        <w:rPr>
          <w:rFonts w:ascii="Arial" w:eastAsia="Arial" w:hAnsi="Arial" w:cs="Arial"/>
          <w:sz w:val="24"/>
          <w:szCs w:val="24"/>
        </w:rPr>
        <w:lastRenderedPageBreak/>
        <w:t>un valor indiciario respecto de los hechos que pretenden acreditar dada la relativa facilidad con la que pueden manipularse o confeccionarse y, únicamente harán prueba plena cuando, en relación con otros elementos de prueba, generen convicción sobre la veracidad de los hechos afirmados.</w:t>
      </w:r>
    </w:p>
    <w:p w14:paraId="2837153A" w14:textId="0E6796A5" w:rsidR="00104FC3" w:rsidRDefault="00104FC3">
      <w:pPr>
        <w:pBdr>
          <w:top w:val="nil"/>
          <w:left w:val="nil"/>
          <w:bottom w:val="nil"/>
          <w:right w:val="nil"/>
          <w:between w:val="nil"/>
        </w:pBdr>
        <w:tabs>
          <w:tab w:val="left" w:pos="567"/>
        </w:tabs>
        <w:jc w:val="both"/>
        <w:rPr>
          <w:rFonts w:ascii="Arial" w:eastAsia="Arial" w:hAnsi="Arial" w:cs="Arial"/>
          <w:sz w:val="24"/>
          <w:szCs w:val="24"/>
        </w:rPr>
      </w:pPr>
    </w:p>
    <w:p w14:paraId="370AF17D" w14:textId="77777777" w:rsidR="004F6579" w:rsidRDefault="004F6579">
      <w:pPr>
        <w:pBdr>
          <w:top w:val="nil"/>
          <w:left w:val="nil"/>
          <w:bottom w:val="nil"/>
          <w:right w:val="nil"/>
          <w:between w:val="nil"/>
        </w:pBdr>
        <w:tabs>
          <w:tab w:val="left" w:pos="567"/>
        </w:tabs>
        <w:jc w:val="both"/>
        <w:rPr>
          <w:rFonts w:ascii="Arial" w:eastAsia="Arial" w:hAnsi="Arial" w:cs="Arial"/>
          <w:sz w:val="24"/>
          <w:szCs w:val="24"/>
        </w:rPr>
      </w:pPr>
    </w:p>
    <w:p w14:paraId="64361ECC" w14:textId="77777777" w:rsidR="00104FC3" w:rsidRDefault="00BA48A8">
      <w:pPr>
        <w:pBdr>
          <w:top w:val="nil"/>
          <w:left w:val="nil"/>
          <w:bottom w:val="nil"/>
          <w:right w:val="nil"/>
          <w:between w:val="nil"/>
        </w:pBdr>
        <w:tabs>
          <w:tab w:val="left" w:pos="567"/>
        </w:tabs>
        <w:spacing w:line="360" w:lineRule="auto"/>
        <w:jc w:val="both"/>
        <w:rPr>
          <w:rFonts w:ascii="Arial" w:eastAsia="Arial" w:hAnsi="Arial" w:cs="Arial"/>
          <w:sz w:val="24"/>
          <w:szCs w:val="24"/>
        </w:rPr>
      </w:pPr>
      <w:r>
        <w:rPr>
          <w:rFonts w:ascii="Arial" w:eastAsia="Arial" w:hAnsi="Arial" w:cs="Arial"/>
          <w:sz w:val="24"/>
          <w:szCs w:val="24"/>
        </w:rPr>
        <w:t xml:space="preserve">De ahí que, este Tribunal Electoral estime que si bien, las fotografías aportadas por la parte denunciante tienen un valor indiciario, también es que al relacionarlas con otros elementos de prueba que obran en el expediente -el escrito de alegatos del partido denunciado-, </w:t>
      </w:r>
      <w:r>
        <w:rPr>
          <w:rFonts w:ascii="Arial" w:eastAsia="Arial" w:hAnsi="Arial" w:cs="Arial"/>
          <w:b/>
          <w:sz w:val="24"/>
          <w:szCs w:val="24"/>
        </w:rPr>
        <w:t>se genera la convicción sobre la veracidad de los hechos</w:t>
      </w:r>
      <w:r>
        <w:rPr>
          <w:rFonts w:ascii="Arial" w:eastAsia="Arial" w:hAnsi="Arial" w:cs="Arial"/>
          <w:sz w:val="24"/>
          <w:szCs w:val="24"/>
        </w:rPr>
        <w:t xml:space="preserve"> </w:t>
      </w:r>
      <w:r>
        <w:rPr>
          <w:rFonts w:ascii="Arial" w:eastAsia="Arial" w:hAnsi="Arial" w:cs="Arial"/>
          <w:b/>
          <w:sz w:val="24"/>
          <w:szCs w:val="24"/>
        </w:rPr>
        <w:t>denunciados</w:t>
      </w:r>
      <w:r>
        <w:rPr>
          <w:rFonts w:ascii="Arial" w:eastAsia="Arial" w:hAnsi="Arial" w:cs="Arial"/>
          <w:sz w:val="24"/>
          <w:szCs w:val="24"/>
        </w:rPr>
        <w:t xml:space="preserve">, ya que la parte denunciada -PAN- en su escrito, refiere que sí existieron tales espectaculares. </w:t>
      </w:r>
    </w:p>
    <w:p w14:paraId="0B4851F4" w14:textId="77777777" w:rsidR="00104FC3" w:rsidRDefault="00104FC3">
      <w:pPr>
        <w:pBdr>
          <w:top w:val="nil"/>
          <w:left w:val="nil"/>
          <w:bottom w:val="nil"/>
          <w:right w:val="nil"/>
          <w:between w:val="nil"/>
        </w:pBdr>
        <w:rPr>
          <w:color w:val="000000"/>
          <w:highlight w:val="yellow"/>
        </w:rPr>
      </w:pPr>
    </w:p>
    <w:p w14:paraId="707CA8F2"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96A4BAA" w14:textId="77777777" w:rsidR="00104FC3" w:rsidRDefault="00104FC3">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7DE5AD6B" w14:textId="77777777" w:rsidR="00104FC3" w:rsidRDefault="00BA48A8">
      <w:pPr>
        <w:numPr>
          <w:ilvl w:val="0"/>
          <w:numId w:val="4"/>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calidad de</w:t>
      </w:r>
      <w:r>
        <w:rPr>
          <w:rFonts w:ascii="Arial" w:eastAsia="Arial" w:hAnsi="Arial" w:cs="Arial"/>
          <w:sz w:val="24"/>
          <w:szCs w:val="24"/>
        </w:rPr>
        <w:t xml:space="preserve"> Jesús Ricardo Barba Parra, como representante propietario del partido político MORENA ante el Consejo General. </w:t>
      </w:r>
    </w:p>
    <w:p w14:paraId="6F3ADB07" w14:textId="77777777" w:rsidR="00104FC3" w:rsidRDefault="00104FC3">
      <w:pPr>
        <w:pBdr>
          <w:top w:val="nil"/>
          <w:left w:val="nil"/>
          <w:bottom w:val="nil"/>
          <w:right w:val="nil"/>
          <w:between w:val="nil"/>
        </w:pBdr>
        <w:tabs>
          <w:tab w:val="left" w:pos="284"/>
        </w:tabs>
        <w:spacing w:line="360" w:lineRule="auto"/>
        <w:ind w:right="36"/>
        <w:jc w:val="both"/>
        <w:rPr>
          <w:color w:val="000000"/>
          <w:sz w:val="6"/>
          <w:szCs w:val="6"/>
        </w:rPr>
      </w:pPr>
    </w:p>
    <w:p w14:paraId="3FF190CE" w14:textId="77777777" w:rsidR="00104FC3" w:rsidRDefault="00BA48A8">
      <w:pPr>
        <w:numPr>
          <w:ilvl w:val="0"/>
          <w:numId w:val="4"/>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sz w:val="24"/>
          <w:szCs w:val="24"/>
        </w:rPr>
        <w:t>La calidad de María Teresa Jiménez Esquivel, como precandidata del PAN a la gubernatura del estado para el actual proceso electoral.</w:t>
      </w:r>
    </w:p>
    <w:p w14:paraId="314D1304" w14:textId="77777777" w:rsidR="00104FC3" w:rsidRDefault="00BA48A8">
      <w:pPr>
        <w:numPr>
          <w:ilvl w:val="0"/>
          <w:numId w:val="4"/>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 xml:space="preserve">La calidad de Javier Soto Reyes, como representante propietario del PAN ante el Consejo General. </w:t>
      </w:r>
    </w:p>
    <w:p w14:paraId="74DF54AB" w14:textId="77777777" w:rsidR="00104FC3" w:rsidRDefault="00BA48A8">
      <w:pPr>
        <w:numPr>
          <w:ilvl w:val="0"/>
          <w:numId w:val="4"/>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exposición temporal (5 de febrero) de los espectaculares denunciados</w:t>
      </w:r>
      <w:r>
        <w:rPr>
          <w:rFonts w:ascii="Arial" w:eastAsia="Arial" w:hAnsi="Arial" w:cs="Arial"/>
          <w:sz w:val="24"/>
          <w:szCs w:val="24"/>
        </w:rPr>
        <w:t xml:space="preserve">. </w:t>
      </w:r>
      <w:r>
        <w:rPr>
          <w:rFonts w:ascii="Arial" w:eastAsia="Arial" w:hAnsi="Arial" w:cs="Arial"/>
          <w:color w:val="000000"/>
          <w:sz w:val="24"/>
          <w:szCs w:val="24"/>
        </w:rPr>
        <w:t xml:space="preserve"> </w:t>
      </w:r>
    </w:p>
    <w:p w14:paraId="36C02A9E" w14:textId="77777777" w:rsidR="00104FC3" w:rsidRDefault="00104FC3">
      <w:pPr>
        <w:pBdr>
          <w:top w:val="nil"/>
          <w:left w:val="nil"/>
          <w:bottom w:val="nil"/>
          <w:right w:val="nil"/>
          <w:between w:val="nil"/>
        </w:pBdr>
        <w:spacing w:line="360" w:lineRule="auto"/>
        <w:ind w:right="36"/>
        <w:jc w:val="both"/>
        <w:rPr>
          <w:color w:val="000000"/>
          <w:sz w:val="14"/>
          <w:szCs w:val="14"/>
        </w:rPr>
      </w:pPr>
    </w:p>
    <w:p w14:paraId="052FCB0A" w14:textId="77777777" w:rsidR="00104FC3" w:rsidRDefault="00BA48A8">
      <w:pPr>
        <w:pBdr>
          <w:top w:val="nil"/>
          <w:left w:val="nil"/>
          <w:bottom w:val="nil"/>
          <w:right w:val="nil"/>
          <w:between w:val="nil"/>
        </w:pBdr>
        <w:tabs>
          <w:tab w:val="left" w:pos="0"/>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158CF7BB" w14:textId="77777777" w:rsidR="00104FC3" w:rsidRDefault="00104FC3">
      <w:pPr>
        <w:pBdr>
          <w:top w:val="nil"/>
          <w:left w:val="nil"/>
          <w:bottom w:val="nil"/>
          <w:right w:val="nil"/>
          <w:between w:val="nil"/>
        </w:pBdr>
        <w:rPr>
          <w:color w:val="000000"/>
          <w:sz w:val="14"/>
          <w:szCs w:val="14"/>
        </w:rPr>
      </w:pPr>
    </w:p>
    <w:p w14:paraId="5C088425" w14:textId="77777777" w:rsidR="00104FC3" w:rsidRDefault="00BA48A8">
      <w:pPr>
        <w:numPr>
          <w:ilvl w:val="0"/>
          <w:numId w:val="7"/>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4DC256A8" w14:textId="77777777" w:rsidR="00104FC3" w:rsidRDefault="00104FC3">
      <w:pPr>
        <w:pBdr>
          <w:top w:val="nil"/>
          <w:left w:val="nil"/>
          <w:bottom w:val="nil"/>
          <w:right w:val="nil"/>
          <w:between w:val="nil"/>
        </w:pBdr>
        <w:rPr>
          <w:color w:val="000000"/>
          <w:sz w:val="14"/>
          <w:szCs w:val="14"/>
        </w:rPr>
      </w:pPr>
    </w:p>
    <w:p w14:paraId="3383555B"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los espectaculares denunciados, actualiza la infracción de </w:t>
      </w:r>
      <w:r>
        <w:rPr>
          <w:rFonts w:ascii="Arial" w:eastAsia="Arial" w:hAnsi="Arial" w:cs="Arial"/>
          <w:b/>
          <w:sz w:val="24"/>
          <w:szCs w:val="24"/>
        </w:rPr>
        <w:t>actos anticipados de campaña</w:t>
      </w:r>
      <w:r>
        <w:rPr>
          <w:rFonts w:ascii="Arial" w:eastAsia="Arial" w:hAnsi="Arial" w:cs="Arial"/>
          <w:sz w:val="24"/>
          <w:szCs w:val="24"/>
        </w:rPr>
        <w:t xml:space="preserve"> en favor del PAN y de la precandidata María Teresa Jiménez Esquivel, a partir de la exposición de mensajes que los posicionan de manera adelantada?</w:t>
      </w:r>
    </w:p>
    <w:p w14:paraId="506E543B" w14:textId="77777777" w:rsidR="00104FC3" w:rsidRDefault="00104FC3">
      <w:pPr>
        <w:pBdr>
          <w:top w:val="nil"/>
          <w:left w:val="nil"/>
          <w:bottom w:val="nil"/>
          <w:right w:val="nil"/>
          <w:between w:val="nil"/>
        </w:pBdr>
        <w:rPr>
          <w:color w:val="000000"/>
          <w:sz w:val="22"/>
          <w:szCs w:val="22"/>
        </w:rPr>
      </w:pPr>
    </w:p>
    <w:p w14:paraId="33A242E9" w14:textId="77777777" w:rsidR="00104FC3" w:rsidRDefault="00BA48A8">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72EDB890" w14:textId="77777777" w:rsidR="00104FC3" w:rsidRDefault="00104FC3">
      <w:pPr>
        <w:pBdr>
          <w:top w:val="nil"/>
          <w:left w:val="nil"/>
          <w:bottom w:val="nil"/>
          <w:right w:val="nil"/>
          <w:between w:val="nil"/>
        </w:pBdr>
        <w:rPr>
          <w:color w:val="000000"/>
        </w:rPr>
      </w:pPr>
    </w:p>
    <w:p w14:paraId="1D4CF3E0" w14:textId="1E5A92ED" w:rsidR="00104FC3" w:rsidRDefault="00BA48A8" w:rsidP="004F6579">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Este Tribunal Electoral estima que</w:t>
      </w:r>
      <w:r>
        <w:rPr>
          <w:rFonts w:ascii="Arial" w:eastAsia="Arial" w:hAnsi="Arial" w:cs="Arial"/>
          <w:sz w:val="24"/>
          <w:szCs w:val="24"/>
        </w:rPr>
        <w:t xml:space="preserve"> debe declararse 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al PAN y a María Teresa Jiménez Esquivel, precandidata del PAN a la gubernatura del estado, dado que si bien, en ambos casos se acredita el elemento temporal; </w:t>
      </w:r>
      <w:r>
        <w:rPr>
          <w:rFonts w:ascii="Arial" w:eastAsia="Arial" w:hAnsi="Arial" w:cs="Arial"/>
          <w:b/>
          <w:i/>
          <w:sz w:val="24"/>
          <w:szCs w:val="24"/>
        </w:rPr>
        <w:t>i)</w:t>
      </w:r>
      <w:r>
        <w:rPr>
          <w:rFonts w:ascii="Arial" w:eastAsia="Arial" w:hAnsi="Arial" w:cs="Arial"/>
          <w:sz w:val="24"/>
          <w:szCs w:val="24"/>
        </w:rPr>
        <w:t xml:space="preserve"> por cuanto hace a la candidata denunciada </w:t>
      </w:r>
      <w:r>
        <w:rPr>
          <w:rFonts w:ascii="Arial" w:eastAsia="Arial" w:hAnsi="Arial" w:cs="Arial"/>
          <w:b/>
          <w:sz w:val="24"/>
          <w:szCs w:val="24"/>
        </w:rPr>
        <w:t>no se acredita el elemento personal y subjetivo</w:t>
      </w:r>
      <w:r>
        <w:rPr>
          <w:rFonts w:ascii="Arial" w:eastAsia="Arial" w:hAnsi="Arial" w:cs="Arial"/>
          <w:sz w:val="24"/>
          <w:szCs w:val="24"/>
        </w:rPr>
        <w:t xml:space="preserve">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respecto al partido político denunciado sí se actualiza el elemento personal, mas </w:t>
      </w:r>
      <w:r>
        <w:rPr>
          <w:rFonts w:ascii="Arial" w:eastAsia="Arial" w:hAnsi="Arial" w:cs="Arial"/>
          <w:b/>
          <w:sz w:val="24"/>
          <w:szCs w:val="24"/>
        </w:rPr>
        <w:t xml:space="preserve">no es posible </w:t>
      </w:r>
      <w:r>
        <w:rPr>
          <w:rFonts w:ascii="Arial" w:eastAsia="Arial" w:hAnsi="Arial" w:cs="Arial"/>
          <w:b/>
          <w:sz w:val="24"/>
          <w:szCs w:val="24"/>
        </w:rPr>
        <w:lastRenderedPageBreak/>
        <w:t xml:space="preserve">actualizar el subjetivo </w:t>
      </w:r>
      <w:r>
        <w:rPr>
          <w:rFonts w:ascii="Arial" w:eastAsia="Arial" w:hAnsi="Arial" w:cs="Arial"/>
          <w:sz w:val="24"/>
          <w:szCs w:val="24"/>
        </w:rPr>
        <w:t>ni sus variantes para acreditarlo, ya que las frases y símbolos cuestionados tienen</w:t>
      </w:r>
      <w:r>
        <w:rPr>
          <w:rFonts w:ascii="Arial" w:eastAsia="Arial" w:hAnsi="Arial" w:cs="Arial"/>
          <w:b/>
          <w:sz w:val="24"/>
          <w:szCs w:val="24"/>
        </w:rPr>
        <w:t xml:space="preserve"> un carácter genérico</w:t>
      </w:r>
      <w:r>
        <w:rPr>
          <w:rFonts w:ascii="Arial" w:eastAsia="Arial" w:hAnsi="Arial" w:cs="Arial"/>
          <w:sz w:val="24"/>
          <w:szCs w:val="24"/>
        </w:rPr>
        <w:t xml:space="preserve"> que se encuentra dentro de los parámetros permitidos durante la etapa de precampañas en favor de los institutos políticos.</w:t>
      </w:r>
    </w:p>
    <w:p w14:paraId="13C33D4E" w14:textId="44139D72" w:rsidR="004F6579" w:rsidRDefault="004F6579" w:rsidP="004F6579">
      <w:pPr>
        <w:pBdr>
          <w:top w:val="nil"/>
          <w:left w:val="nil"/>
          <w:bottom w:val="nil"/>
          <w:right w:val="nil"/>
          <w:between w:val="nil"/>
        </w:pBdr>
        <w:spacing w:line="360" w:lineRule="auto"/>
        <w:jc w:val="both"/>
        <w:rPr>
          <w:rFonts w:ascii="Arial" w:eastAsia="Arial" w:hAnsi="Arial" w:cs="Arial"/>
          <w:sz w:val="24"/>
          <w:szCs w:val="24"/>
        </w:rPr>
      </w:pPr>
    </w:p>
    <w:p w14:paraId="2C34A9AC" w14:textId="77777777" w:rsidR="00104FC3" w:rsidRDefault="00104FC3">
      <w:pPr>
        <w:pBdr>
          <w:top w:val="nil"/>
          <w:left w:val="nil"/>
          <w:bottom w:val="nil"/>
          <w:right w:val="nil"/>
          <w:between w:val="nil"/>
        </w:pBdr>
        <w:rPr>
          <w:color w:val="000000"/>
        </w:rPr>
      </w:pPr>
    </w:p>
    <w:p w14:paraId="7B5E0864" w14:textId="77777777" w:rsidR="00104FC3" w:rsidRDefault="00BA48A8">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6174ED85" w14:textId="77777777" w:rsidR="00104FC3" w:rsidRDefault="00104FC3">
      <w:pPr>
        <w:pBdr>
          <w:top w:val="nil"/>
          <w:left w:val="nil"/>
          <w:bottom w:val="nil"/>
          <w:right w:val="nil"/>
          <w:between w:val="nil"/>
        </w:pBdr>
        <w:rPr>
          <w:color w:val="000000"/>
        </w:rPr>
      </w:pPr>
    </w:p>
    <w:p w14:paraId="5DC8F7A2" w14:textId="77777777" w:rsidR="00104FC3" w:rsidRDefault="00BA48A8">
      <w:pPr>
        <w:spacing w:line="360" w:lineRule="auto"/>
        <w:jc w:val="both"/>
        <w:rPr>
          <w:rFonts w:ascii="Arial" w:eastAsia="Arial" w:hAnsi="Arial" w:cs="Arial"/>
          <w:b/>
          <w:sz w:val="24"/>
          <w:szCs w:val="24"/>
        </w:rPr>
      </w:pPr>
      <w:r>
        <w:rPr>
          <w:rFonts w:ascii="Arial" w:eastAsia="Arial" w:hAnsi="Arial" w:cs="Arial"/>
          <w:b/>
          <w:sz w:val="24"/>
          <w:szCs w:val="24"/>
        </w:rPr>
        <w:t>1. Marco normativo de los actos anticipados de campaña</w:t>
      </w:r>
    </w:p>
    <w:p w14:paraId="01D0E669" w14:textId="77777777" w:rsidR="00104FC3" w:rsidRDefault="00104FC3">
      <w:pPr>
        <w:pBdr>
          <w:top w:val="nil"/>
          <w:left w:val="nil"/>
          <w:bottom w:val="nil"/>
          <w:right w:val="nil"/>
          <w:between w:val="nil"/>
        </w:pBdr>
        <w:rPr>
          <w:color w:val="000000"/>
        </w:rPr>
      </w:pPr>
    </w:p>
    <w:p w14:paraId="4623F47B" w14:textId="77777777" w:rsidR="00104FC3" w:rsidRDefault="00BA48A8">
      <w:pPr>
        <w:spacing w:line="360" w:lineRule="auto"/>
        <w:jc w:val="both"/>
        <w:rPr>
          <w:rFonts w:ascii="Arial" w:eastAsia="Arial" w:hAnsi="Arial" w:cs="Arial"/>
          <w:b/>
          <w:sz w:val="24"/>
          <w:szCs w:val="24"/>
        </w:rPr>
      </w:pPr>
      <w:r>
        <w:rPr>
          <w:rFonts w:ascii="Arial" w:eastAsia="Arial" w:hAnsi="Arial" w:cs="Arial"/>
          <w:b/>
          <w:sz w:val="24"/>
          <w:szCs w:val="24"/>
        </w:rPr>
        <w:t>1.1. Actos y propaganda permitida durante el periodo de precampaña</w:t>
      </w:r>
    </w:p>
    <w:p w14:paraId="6C66DE36" w14:textId="77777777" w:rsidR="00104FC3" w:rsidRDefault="00104FC3">
      <w:pPr>
        <w:pBdr>
          <w:top w:val="nil"/>
          <w:left w:val="nil"/>
          <w:bottom w:val="nil"/>
          <w:right w:val="nil"/>
          <w:between w:val="nil"/>
        </w:pBdr>
        <w:rPr>
          <w:color w:val="000000"/>
        </w:rPr>
      </w:pPr>
    </w:p>
    <w:p w14:paraId="4167B20E"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El artículo 227, párrafos 1 y 2, de la LEGIPE</w:t>
      </w:r>
      <w:r>
        <w:rPr>
          <w:rFonts w:ascii="Arial" w:eastAsia="Arial" w:hAnsi="Arial" w:cs="Arial"/>
          <w:sz w:val="24"/>
          <w:szCs w:val="24"/>
          <w:vertAlign w:val="superscript"/>
        </w:rPr>
        <w:footnoteReference w:id="8"/>
      </w:r>
      <w:r>
        <w:rPr>
          <w:rFonts w:ascii="Arial" w:eastAsia="Arial" w:hAnsi="Arial" w:cs="Arial"/>
          <w:sz w:val="24"/>
          <w:szCs w:val="24"/>
        </w:rPr>
        <w:t xml:space="preserve"> define el periodo de precampaña electoral como el conjunto de actos</w:t>
      </w:r>
      <w:r>
        <w:rPr>
          <w:rFonts w:ascii="Arial" w:eastAsia="Arial" w:hAnsi="Arial" w:cs="Arial"/>
          <w:b/>
          <w:sz w:val="24"/>
          <w:szCs w:val="24"/>
        </w:rPr>
        <w:t xml:space="preserve"> </w:t>
      </w:r>
      <w:r>
        <w:rPr>
          <w:rFonts w:ascii="Arial" w:eastAsia="Arial" w:hAnsi="Arial" w:cs="Arial"/>
          <w:sz w:val="24"/>
          <w:szCs w:val="24"/>
        </w:rPr>
        <w:t>realizados, entre otros, por los partidos políticos, dirigidos a las personas afiliadas, simpatizantes o bien, al electorado en general, con la finalidad de obtener su respaldo para ser postuladas como candidatas a un cargo de elección popular.</w:t>
      </w:r>
    </w:p>
    <w:p w14:paraId="4226A76A" w14:textId="77777777" w:rsidR="00104FC3" w:rsidRDefault="00104FC3">
      <w:pPr>
        <w:pBdr>
          <w:top w:val="nil"/>
          <w:left w:val="nil"/>
          <w:bottom w:val="nil"/>
          <w:right w:val="nil"/>
          <w:between w:val="nil"/>
        </w:pBdr>
        <w:rPr>
          <w:color w:val="000000"/>
        </w:rPr>
      </w:pPr>
    </w:p>
    <w:p w14:paraId="5FF16FAA"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Para lograrlo, les permite realizar propaganda de precampaña durante tal periodo, con la finalidad de dar a conocer sus propuestas. Esto, a través de escritos, publicaciones, imágenes, grabaciones, proyecciones y expresiones, con la exigencia de que señalen de manera expresa, por medios gráficos y auditivos, la calidad de precandidata o precandidato de quien es promovido.</w:t>
      </w:r>
      <w:r>
        <w:rPr>
          <w:rFonts w:ascii="Arial" w:eastAsia="Arial" w:hAnsi="Arial" w:cs="Arial"/>
          <w:sz w:val="24"/>
          <w:szCs w:val="24"/>
          <w:vertAlign w:val="superscript"/>
        </w:rPr>
        <w:footnoteReference w:id="9"/>
      </w:r>
    </w:p>
    <w:p w14:paraId="4C55A4A6" w14:textId="77777777" w:rsidR="00104FC3" w:rsidRDefault="00104FC3">
      <w:pPr>
        <w:pBdr>
          <w:top w:val="nil"/>
          <w:left w:val="nil"/>
          <w:bottom w:val="nil"/>
          <w:right w:val="nil"/>
          <w:between w:val="nil"/>
        </w:pBdr>
        <w:rPr>
          <w:color w:val="000000"/>
        </w:rPr>
      </w:pPr>
    </w:p>
    <w:p w14:paraId="0C9A509F"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La Sala Superior a través de criterio jurisprudencial ha sostenido que el objetivo de la propaganda de precampaña, es que la persona postulante consiga el apoyo o respaldo hacia el interior del partido político, para que, de esta manera, sea posible convertirse en una opción política. </w:t>
      </w:r>
    </w:p>
    <w:p w14:paraId="17138ED9" w14:textId="77777777" w:rsidR="00104FC3" w:rsidRDefault="00104FC3">
      <w:pPr>
        <w:pBdr>
          <w:top w:val="nil"/>
          <w:left w:val="nil"/>
          <w:bottom w:val="nil"/>
          <w:right w:val="nil"/>
          <w:between w:val="nil"/>
        </w:pBdr>
        <w:rPr>
          <w:color w:val="000000"/>
        </w:rPr>
      </w:pPr>
    </w:p>
    <w:p w14:paraId="645BDF51"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No obstante, en caso de que la propaganda fuera dirigida a la ciudadanía en general, y a fin de que no sea considerada como acto anticipado de campaña, la persona postulante </w:t>
      </w:r>
      <w:r>
        <w:rPr>
          <w:rFonts w:ascii="Arial" w:eastAsia="Arial" w:hAnsi="Arial" w:cs="Arial"/>
          <w:b/>
          <w:sz w:val="24"/>
          <w:szCs w:val="24"/>
        </w:rPr>
        <w:t>tiene prohibido hacer llamamientos al voto</w:t>
      </w:r>
      <w:r>
        <w:rPr>
          <w:rFonts w:ascii="Arial" w:eastAsia="Arial" w:hAnsi="Arial" w:cs="Arial"/>
          <w:sz w:val="24"/>
          <w:szCs w:val="24"/>
        </w:rPr>
        <w:t xml:space="preserve">, además de que </w:t>
      </w:r>
      <w:r>
        <w:rPr>
          <w:rFonts w:ascii="Arial" w:eastAsia="Arial" w:hAnsi="Arial" w:cs="Arial"/>
          <w:b/>
          <w:sz w:val="24"/>
          <w:szCs w:val="24"/>
        </w:rPr>
        <w:t xml:space="preserve">su discurso deberá estar dirigido a las y los militantes </w:t>
      </w:r>
      <w:r>
        <w:rPr>
          <w:rFonts w:ascii="Arial" w:eastAsia="Arial" w:hAnsi="Arial" w:cs="Arial"/>
          <w:sz w:val="24"/>
          <w:szCs w:val="24"/>
        </w:rPr>
        <w:t xml:space="preserve">o simpatizantes del </w:t>
      </w:r>
      <w:r>
        <w:rPr>
          <w:rFonts w:ascii="Arial" w:eastAsia="Arial" w:hAnsi="Arial" w:cs="Arial"/>
          <w:sz w:val="24"/>
          <w:szCs w:val="24"/>
        </w:rPr>
        <w:lastRenderedPageBreak/>
        <w:t>partido político en cuyo proceso de selección interno participa, con el objetivo de que dicha propaganda no exceda el ámbito del proceso interno.</w:t>
      </w:r>
      <w:r>
        <w:rPr>
          <w:rFonts w:ascii="Arial" w:eastAsia="Arial" w:hAnsi="Arial" w:cs="Arial"/>
          <w:sz w:val="24"/>
          <w:szCs w:val="24"/>
          <w:vertAlign w:val="superscript"/>
        </w:rPr>
        <w:footnoteReference w:id="10"/>
      </w:r>
      <w:r>
        <w:rPr>
          <w:rFonts w:ascii="Arial" w:eastAsia="Arial" w:hAnsi="Arial" w:cs="Arial"/>
          <w:sz w:val="24"/>
          <w:szCs w:val="24"/>
        </w:rPr>
        <w:t xml:space="preserve"> </w:t>
      </w:r>
    </w:p>
    <w:p w14:paraId="33930104" w14:textId="77777777" w:rsidR="00104FC3" w:rsidRDefault="00104FC3">
      <w:pPr>
        <w:spacing w:line="360" w:lineRule="auto"/>
        <w:jc w:val="both"/>
        <w:rPr>
          <w:rFonts w:ascii="Arial" w:eastAsia="Arial" w:hAnsi="Arial" w:cs="Arial"/>
          <w:sz w:val="24"/>
          <w:szCs w:val="24"/>
        </w:rPr>
      </w:pPr>
    </w:p>
    <w:p w14:paraId="299AC115"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Asimismo, mediante distintas línea judiciales, el referido órgano jurisdiccional ha sostenido que a fin de que la propaganda de precampaña se considere lícita, necesariamente deberá abordar las temáticas siguientes: </w:t>
      </w:r>
      <w:r>
        <w:rPr>
          <w:rFonts w:ascii="Arial" w:eastAsia="Arial" w:hAnsi="Arial" w:cs="Arial"/>
          <w:b/>
          <w:i/>
          <w:sz w:val="24"/>
          <w:szCs w:val="24"/>
        </w:rPr>
        <w:t>i)</w:t>
      </w:r>
      <w:r>
        <w:rPr>
          <w:rFonts w:ascii="Arial" w:eastAsia="Arial" w:hAnsi="Arial" w:cs="Arial"/>
          <w:sz w:val="24"/>
          <w:szCs w:val="24"/>
        </w:rPr>
        <w:t xml:space="preserve"> debe dirigirse a la militancia y simpatizantes del partido político postulante,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debe estar relacionada con los procesos de selección interna de la candidaturas a cargo de elección popular,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en caso de que se dirija a la ciudadanía en general, necesariamente debe abordar temáticas de interés general</w:t>
      </w:r>
      <w:r>
        <w:rPr>
          <w:rFonts w:ascii="Arial" w:eastAsia="Arial" w:hAnsi="Arial" w:cs="Arial"/>
          <w:b/>
          <w:sz w:val="24"/>
          <w:szCs w:val="24"/>
        </w:rPr>
        <w:t xml:space="preserve"> </w:t>
      </w:r>
      <w:r>
        <w:rPr>
          <w:rFonts w:ascii="Arial" w:eastAsia="Arial" w:hAnsi="Arial" w:cs="Arial"/>
          <w:sz w:val="24"/>
          <w:szCs w:val="24"/>
        </w:rPr>
        <w:t>que, en su caso, puedan ser materia de debate público</w:t>
      </w:r>
      <w:r>
        <w:rPr>
          <w:rFonts w:ascii="Arial" w:eastAsia="Arial" w:hAnsi="Arial" w:cs="Arial"/>
          <w:sz w:val="24"/>
          <w:szCs w:val="24"/>
          <w:vertAlign w:val="superscript"/>
        </w:rPr>
        <w:footnoteReference w:id="11"/>
      </w:r>
      <w:r>
        <w:rPr>
          <w:rFonts w:ascii="Arial" w:eastAsia="Arial" w:hAnsi="Arial" w:cs="Arial"/>
          <w:sz w:val="24"/>
          <w:szCs w:val="24"/>
        </w:rPr>
        <w:t xml:space="preserve">, asimismo sostuvo que, </w:t>
      </w:r>
      <w:r>
        <w:rPr>
          <w:rFonts w:ascii="Arial" w:eastAsia="Arial" w:hAnsi="Arial" w:cs="Arial"/>
          <w:b/>
          <w:i/>
          <w:sz w:val="24"/>
          <w:szCs w:val="24"/>
        </w:rPr>
        <w:t>iv)</w:t>
      </w:r>
      <w:r>
        <w:rPr>
          <w:rFonts w:ascii="Arial" w:eastAsia="Arial" w:hAnsi="Arial" w:cs="Arial"/>
          <w:i/>
          <w:sz w:val="24"/>
          <w:szCs w:val="24"/>
        </w:rPr>
        <w:t xml:space="preserve"> </w:t>
      </w:r>
      <w:r>
        <w:rPr>
          <w:rFonts w:ascii="Arial" w:eastAsia="Arial" w:hAnsi="Arial" w:cs="Arial"/>
          <w:sz w:val="24"/>
          <w:szCs w:val="24"/>
        </w:rPr>
        <w:t>las referencias a</w:t>
      </w:r>
      <w:r>
        <w:rPr>
          <w:rFonts w:ascii="Arial" w:eastAsia="Arial" w:hAnsi="Arial" w:cs="Arial"/>
          <w:b/>
          <w:sz w:val="24"/>
          <w:szCs w:val="24"/>
        </w:rPr>
        <w:t xml:space="preserve"> </w:t>
      </w:r>
      <w:r>
        <w:rPr>
          <w:rFonts w:ascii="Arial" w:eastAsia="Arial" w:hAnsi="Arial" w:cs="Arial"/>
          <w:sz w:val="24"/>
          <w:szCs w:val="24"/>
        </w:rPr>
        <w:t>la</w:t>
      </w:r>
      <w:r>
        <w:rPr>
          <w:rFonts w:ascii="Arial" w:eastAsia="Arial" w:hAnsi="Arial" w:cs="Arial"/>
          <w:b/>
          <w:sz w:val="24"/>
          <w:szCs w:val="24"/>
        </w:rPr>
        <w:t xml:space="preserve"> </w:t>
      </w:r>
      <w:r>
        <w:rPr>
          <w:rFonts w:ascii="Arial" w:eastAsia="Arial" w:hAnsi="Arial" w:cs="Arial"/>
          <w:sz w:val="24"/>
          <w:szCs w:val="24"/>
        </w:rPr>
        <w:t>preparación académica y el trabajo político de las candidaturas, son elementos válidos</w:t>
      </w:r>
      <w:r>
        <w:rPr>
          <w:rFonts w:ascii="Arial" w:eastAsia="Arial" w:hAnsi="Arial" w:cs="Arial"/>
          <w:b/>
          <w:sz w:val="24"/>
          <w:szCs w:val="24"/>
        </w:rPr>
        <w:t xml:space="preserve"> </w:t>
      </w:r>
      <w:r>
        <w:rPr>
          <w:rFonts w:ascii="Arial" w:eastAsia="Arial" w:hAnsi="Arial" w:cs="Arial"/>
          <w:sz w:val="24"/>
          <w:szCs w:val="24"/>
        </w:rPr>
        <w:t>ya que destacan los</w:t>
      </w:r>
      <w:r>
        <w:rPr>
          <w:rFonts w:ascii="Arial" w:eastAsia="Arial" w:hAnsi="Arial" w:cs="Arial"/>
          <w:b/>
          <w:sz w:val="24"/>
          <w:szCs w:val="24"/>
        </w:rPr>
        <w:t xml:space="preserve"> </w:t>
      </w:r>
      <w:r>
        <w:rPr>
          <w:rFonts w:ascii="Arial" w:eastAsia="Arial" w:hAnsi="Arial" w:cs="Arial"/>
          <w:sz w:val="24"/>
          <w:szCs w:val="24"/>
        </w:rPr>
        <w:t>méritos que tienen para ser designados como candidatos o candidatas</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30EE192C" w14:textId="77777777" w:rsidR="00104FC3" w:rsidRDefault="00104FC3">
      <w:pPr>
        <w:pBdr>
          <w:top w:val="nil"/>
          <w:left w:val="nil"/>
          <w:bottom w:val="nil"/>
          <w:right w:val="nil"/>
          <w:between w:val="nil"/>
        </w:pBdr>
        <w:rPr>
          <w:color w:val="000000"/>
        </w:rPr>
      </w:pPr>
    </w:p>
    <w:p w14:paraId="39487EF5"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De ahí que, si el contenido de la propaganda no se apega a dichas temáticas, debe ser analizada de forma objetiva y crítica para poder determinar la existencia o no, de los actos anticipados de campaña. </w:t>
      </w:r>
    </w:p>
    <w:p w14:paraId="2D3B4BE8" w14:textId="77777777" w:rsidR="00104FC3" w:rsidRDefault="00104FC3">
      <w:pPr>
        <w:pBdr>
          <w:top w:val="nil"/>
          <w:left w:val="nil"/>
          <w:bottom w:val="nil"/>
          <w:right w:val="nil"/>
          <w:between w:val="nil"/>
        </w:pBdr>
        <w:rPr>
          <w:color w:val="000000"/>
        </w:rPr>
      </w:pPr>
    </w:p>
    <w:p w14:paraId="56DBC105" w14:textId="77777777" w:rsidR="00104FC3" w:rsidRDefault="00BA48A8">
      <w:pPr>
        <w:spacing w:line="360" w:lineRule="auto"/>
        <w:jc w:val="both"/>
        <w:rPr>
          <w:rFonts w:ascii="Arial" w:eastAsia="Arial" w:hAnsi="Arial" w:cs="Arial"/>
          <w:b/>
          <w:sz w:val="24"/>
          <w:szCs w:val="24"/>
        </w:rPr>
      </w:pPr>
      <w:r>
        <w:rPr>
          <w:rFonts w:ascii="Arial" w:eastAsia="Arial" w:hAnsi="Arial" w:cs="Arial"/>
          <w:b/>
          <w:sz w:val="24"/>
          <w:szCs w:val="24"/>
        </w:rPr>
        <w:t>1.2. Infracción de actos anticipados de campaña</w:t>
      </w:r>
    </w:p>
    <w:p w14:paraId="4788D06E" w14:textId="77777777" w:rsidR="00104FC3" w:rsidRDefault="00104FC3">
      <w:pPr>
        <w:pBdr>
          <w:top w:val="nil"/>
          <w:left w:val="nil"/>
          <w:bottom w:val="nil"/>
          <w:right w:val="nil"/>
          <w:between w:val="nil"/>
        </w:pBdr>
        <w:rPr>
          <w:color w:val="000000"/>
        </w:rPr>
      </w:pPr>
    </w:p>
    <w:p w14:paraId="66B0F037"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El artículo 3°, párrafo 1, inciso a), de la LEGIPE</w:t>
      </w:r>
      <w:r>
        <w:rPr>
          <w:rFonts w:ascii="Arial" w:eastAsia="Arial" w:hAnsi="Arial" w:cs="Arial"/>
          <w:sz w:val="24"/>
          <w:szCs w:val="24"/>
          <w:vertAlign w:val="superscript"/>
        </w:rPr>
        <w:footnoteReference w:id="13"/>
      </w:r>
      <w:r>
        <w:rPr>
          <w:rFonts w:ascii="Arial" w:eastAsia="Arial" w:hAnsi="Arial" w:cs="Arial"/>
          <w:sz w:val="24"/>
          <w:szCs w:val="24"/>
        </w:rPr>
        <w:t xml:space="preserve"> establece que son actos anticipados de campaña las expresiones -bajo cualquier modalidad y realizadas en cualquier momento fuera de dicha etapa-, que contengan llamados expresos al voto en favor o en contra de una candidatura o partido político o bien, expresiones solicitando cualquier tipo de apoyo para contender en el proceso electoral.</w:t>
      </w:r>
    </w:p>
    <w:p w14:paraId="2CFC492B" w14:textId="77777777" w:rsidR="00104FC3" w:rsidRDefault="00104FC3">
      <w:pPr>
        <w:pBdr>
          <w:top w:val="nil"/>
          <w:left w:val="nil"/>
          <w:bottom w:val="nil"/>
          <w:right w:val="nil"/>
          <w:between w:val="nil"/>
        </w:pBdr>
        <w:rPr>
          <w:color w:val="000000"/>
        </w:rPr>
      </w:pPr>
    </w:p>
    <w:p w14:paraId="658FD2A2"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Por tanto, el artículo 244, del Código Local</w:t>
      </w:r>
      <w:r>
        <w:rPr>
          <w:rFonts w:ascii="Arial" w:eastAsia="Arial" w:hAnsi="Arial" w:cs="Arial"/>
          <w:sz w:val="24"/>
          <w:szCs w:val="24"/>
          <w:vertAlign w:val="superscript"/>
        </w:rPr>
        <w:footnoteReference w:id="14"/>
      </w:r>
      <w:r>
        <w:rPr>
          <w:rFonts w:ascii="Arial" w:eastAsia="Arial" w:hAnsi="Arial" w:cs="Arial"/>
          <w:sz w:val="24"/>
          <w:szCs w:val="24"/>
        </w:rPr>
        <w:t xml:space="preserve"> prevé la prohibición a las y los aspirantes, precandidaturas y candidaturas de realizar actos anticipados de precampaña o campaña.</w:t>
      </w:r>
    </w:p>
    <w:p w14:paraId="59906CCA" w14:textId="77777777" w:rsidR="00104FC3" w:rsidRDefault="00104FC3">
      <w:pPr>
        <w:pBdr>
          <w:top w:val="nil"/>
          <w:left w:val="nil"/>
          <w:bottom w:val="nil"/>
          <w:right w:val="nil"/>
          <w:between w:val="nil"/>
        </w:pBdr>
        <w:rPr>
          <w:color w:val="000000"/>
        </w:rPr>
      </w:pPr>
    </w:p>
    <w:p w14:paraId="14AA565B"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Por otra parte, la Sala Superior ha sostenido que los actos anticipados de campaña </w:t>
      </w:r>
      <w:r>
        <w:rPr>
          <w:rFonts w:ascii="Arial" w:eastAsia="Arial" w:hAnsi="Arial" w:cs="Arial"/>
          <w:b/>
          <w:sz w:val="24"/>
          <w:szCs w:val="24"/>
        </w:rPr>
        <w:t>se actualizan a través de la coexistencia de los elementos personal, temporal y subjetivo</w:t>
      </w:r>
      <w:r>
        <w:rPr>
          <w:rFonts w:ascii="Arial" w:eastAsia="Arial" w:hAnsi="Arial" w:cs="Arial"/>
          <w:sz w:val="24"/>
          <w:szCs w:val="24"/>
        </w:rPr>
        <w:t>, los cuales atienden a lo siguiente:</w:t>
      </w:r>
    </w:p>
    <w:p w14:paraId="65BF93C8" w14:textId="77777777" w:rsidR="00104FC3" w:rsidRDefault="00104FC3">
      <w:pPr>
        <w:pBdr>
          <w:top w:val="nil"/>
          <w:left w:val="nil"/>
          <w:bottom w:val="nil"/>
          <w:right w:val="nil"/>
          <w:between w:val="nil"/>
        </w:pBdr>
        <w:rPr>
          <w:color w:val="000000"/>
        </w:rPr>
      </w:pPr>
    </w:p>
    <w:p w14:paraId="01955EBD" w14:textId="77777777" w:rsidR="00104FC3" w:rsidRDefault="00BA48A8">
      <w:pPr>
        <w:spacing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Personal:</w:t>
      </w:r>
      <w:r>
        <w:rPr>
          <w:rFonts w:ascii="Arial" w:eastAsia="Arial" w:hAnsi="Arial" w:cs="Arial"/>
          <w:sz w:val="24"/>
          <w:szCs w:val="24"/>
        </w:rPr>
        <w:t xml:space="preserve"> Se acredita si la expresión es realizada por </w:t>
      </w:r>
      <w:r>
        <w:rPr>
          <w:rFonts w:ascii="Arial" w:eastAsia="Arial" w:hAnsi="Arial" w:cs="Arial"/>
          <w:b/>
          <w:sz w:val="24"/>
          <w:szCs w:val="24"/>
          <w:u w:val="single"/>
        </w:rPr>
        <w:t>partidos políticos</w:t>
      </w:r>
      <w:r>
        <w:rPr>
          <w:rFonts w:ascii="Arial" w:eastAsia="Arial" w:hAnsi="Arial" w:cs="Arial"/>
          <w:b/>
          <w:sz w:val="24"/>
          <w:szCs w:val="24"/>
        </w:rPr>
        <w:t xml:space="preserve">, </w:t>
      </w:r>
      <w:r>
        <w:rPr>
          <w:rFonts w:ascii="Arial" w:eastAsia="Arial" w:hAnsi="Arial" w:cs="Arial"/>
          <w:sz w:val="24"/>
          <w:szCs w:val="24"/>
        </w:rPr>
        <w:t>aspirantes, precandidaturas o candidaturas. Para ello, es necesario que el sujeto que emita el mensaje o realice el acto sea plenamente identificable.</w:t>
      </w:r>
    </w:p>
    <w:p w14:paraId="5A602E88" w14:textId="77777777" w:rsidR="00104FC3" w:rsidRDefault="00BA48A8">
      <w:pPr>
        <w:spacing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Temporal:</w:t>
      </w:r>
      <w:r>
        <w:rPr>
          <w:rFonts w:ascii="Arial" w:eastAsia="Arial" w:hAnsi="Arial" w:cs="Arial"/>
          <w:sz w:val="24"/>
          <w:szCs w:val="24"/>
        </w:rPr>
        <w:t xml:space="preserve"> Atiende al periodo en el cual ocurren los actos denunciados, es decir, </w:t>
      </w:r>
      <w:r>
        <w:rPr>
          <w:rFonts w:ascii="Arial" w:eastAsia="Arial" w:hAnsi="Arial" w:cs="Arial"/>
          <w:b/>
          <w:sz w:val="24"/>
          <w:szCs w:val="24"/>
        </w:rPr>
        <w:t xml:space="preserve">antes del inicio formal de la campaña </w:t>
      </w:r>
      <w:r>
        <w:rPr>
          <w:rFonts w:ascii="Arial" w:eastAsia="Arial" w:hAnsi="Arial" w:cs="Arial"/>
          <w:sz w:val="24"/>
          <w:szCs w:val="24"/>
        </w:rPr>
        <w:t>electoral.</w:t>
      </w:r>
    </w:p>
    <w:p w14:paraId="36E60840" w14:textId="77777777" w:rsidR="00104FC3" w:rsidRDefault="00104FC3">
      <w:pPr>
        <w:pBdr>
          <w:top w:val="nil"/>
          <w:left w:val="nil"/>
          <w:bottom w:val="nil"/>
          <w:right w:val="nil"/>
          <w:between w:val="nil"/>
        </w:pBdr>
        <w:rPr>
          <w:color w:val="000000"/>
        </w:rPr>
      </w:pPr>
    </w:p>
    <w:p w14:paraId="31D75352" w14:textId="77777777" w:rsidR="00104FC3" w:rsidRDefault="00BA48A8">
      <w:pPr>
        <w:spacing w:line="360" w:lineRule="auto"/>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Subjetivo: </w:t>
      </w:r>
      <w:r>
        <w:rPr>
          <w:rFonts w:ascii="Arial" w:eastAsia="Arial" w:hAnsi="Arial" w:cs="Arial"/>
          <w:sz w:val="24"/>
          <w:szCs w:val="24"/>
        </w:rPr>
        <w:t xml:space="preserve">Consiste en que los mensajes o actos contengan </w:t>
      </w:r>
      <w:r>
        <w:rPr>
          <w:rFonts w:ascii="Arial" w:eastAsia="Arial" w:hAnsi="Arial" w:cs="Arial"/>
          <w:b/>
          <w:sz w:val="24"/>
          <w:szCs w:val="24"/>
        </w:rPr>
        <w:t xml:space="preserve">manifestaciones explícitas o inequívocas </w:t>
      </w:r>
      <w:r>
        <w:rPr>
          <w:rFonts w:ascii="Arial" w:eastAsia="Arial" w:hAnsi="Arial" w:cs="Arial"/>
          <w:sz w:val="24"/>
          <w:szCs w:val="24"/>
        </w:rPr>
        <w:t xml:space="preserve">de apoyo o rechazo hacia alguna opción política, es decir, que se llame a votar a favor o en contra de algún aspirante, precandidatura, candidatura </w:t>
      </w:r>
      <w:r>
        <w:rPr>
          <w:rFonts w:ascii="Arial" w:eastAsia="Arial" w:hAnsi="Arial" w:cs="Arial"/>
          <w:b/>
          <w:sz w:val="24"/>
          <w:szCs w:val="24"/>
        </w:rPr>
        <w:t>y/o partido político</w:t>
      </w:r>
      <w:r>
        <w:rPr>
          <w:rFonts w:ascii="Arial" w:eastAsia="Arial" w:hAnsi="Arial" w:cs="Arial"/>
          <w:sz w:val="24"/>
          <w:szCs w:val="24"/>
        </w:rPr>
        <w:t xml:space="preserve">. </w:t>
      </w:r>
    </w:p>
    <w:p w14:paraId="2CA442FD" w14:textId="77777777" w:rsidR="00104FC3" w:rsidRDefault="00104FC3">
      <w:pPr>
        <w:pBdr>
          <w:top w:val="nil"/>
          <w:left w:val="nil"/>
          <w:bottom w:val="nil"/>
          <w:right w:val="nil"/>
          <w:between w:val="nil"/>
        </w:pBdr>
        <w:rPr>
          <w:color w:val="000000"/>
        </w:rPr>
      </w:pPr>
    </w:p>
    <w:p w14:paraId="34AAA15A"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Al respecto, la Sala Superior ha considerado que el análisis y revisión de tales elementos no debe ser una tarea sistemática ni aislada de palabras o signos, sino por el contrario, </w:t>
      </w:r>
      <w:r>
        <w:rPr>
          <w:rFonts w:ascii="Arial" w:eastAsia="Arial" w:hAnsi="Arial" w:cs="Arial"/>
          <w:b/>
          <w:sz w:val="24"/>
          <w:szCs w:val="24"/>
        </w:rPr>
        <w:t xml:space="preserve">se debe realizar una valoración exhaustiva y conjunta </w:t>
      </w:r>
      <w:r>
        <w:rPr>
          <w:rFonts w:ascii="Arial" w:eastAsia="Arial" w:hAnsi="Arial" w:cs="Arial"/>
          <w:sz w:val="24"/>
          <w:szCs w:val="24"/>
        </w:rPr>
        <w:t>de la propaganda y de las características expresas en su conjunto, a fin de determinar si ello constituye o contiene un equivalente funcional para buscar un apoyo electoral.</w:t>
      </w:r>
    </w:p>
    <w:p w14:paraId="10FCD171" w14:textId="77777777" w:rsidR="00104FC3" w:rsidRDefault="00104FC3">
      <w:pPr>
        <w:pBdr>
          <w:top w:val="nil"/>
          <w:left w:val="nil"/>
          <w:bottom w:val="nil"/>
          <w:right w:val="nil"/>
          <w:between w:val="nil"/>
        </w:pBdr>
        <w:rPr>
          <w:color w:val="000000"/>
        </w:rPr>
      </w:pPr>
    </w:p>
    <w:p w14:paraId="4DFB8410"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Así, para estar en posibilidad de determinar de manera objetiva si las expresiones denunciadas pretenden beneficiar o posicionar a una candidatura, debe valorarse si el mensaje es </w:t>
      </w:r>
      <w:r>
        <w:rPr>
          <w:rFonts w:ascii="Arial" w:eastAsia="Arial" w:hAnsi="Arial" w:cs="Arial"/>
          <w:b/>
          <w:sz w:val="24"/>
          <w:szCs w:val="24"/>
        </w:rPr>
        <w:t>funcionalmente equivalente a un llamamiento al voto</w:t>
      </w:r>
      <w:r>
        <w:rPr>
          <w:rFonts w:ascii="Arial" w:eastAsia="Arial" w:hAnsi="Arial" w:cs="Arial"/>
          <w:sz w:val="24"/>
          <w:szCs w:val="24"/>
        </w:rPr>
        <w:t xml:space="preserve">, es decir, si pretende proyectarse ante la ciudadanía como una opción política real en el contexto de una contienda electoral. </w:t>
      </w:r>
    </w:p>
    <w:p w14:paraId="45063380" w14:textId="77777777" w:rsidR="00104FC3" w:rsidRDefault="00104FC3">
      <w:pPr>
        <w:pBdr>
          <w:top w:val="nil"/>
          <w:left w:val="nil"/>
          <w:bottom w:val="nil"/>
          <w:right w:val="nil"/>
          <w:between w:val="nil"/>
        </w:pBdr>
        <w:rPr>
          <w:color w:val="000000"/>
        </w:rPr>
      </w:pPr>
    </w:p>
    <w:p w14:paraId="19F29F9A"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A través de dicho método se busca evitar que las y los sujetos involucrados realicen conductas fraudulentas por medio de propaganda en la </w:t>
      </w:r>
      <w:proofErr w:type="gramStart"/>
      <w:r>
        <w:rPr>
          <w:rFonts w:ascii="Arial" w:eastAsia="Arial" w:hAnsi="Arial" w:cs="Arial"/>
          <w:sz w:val="24"/>
          <w:szCs w:val="24"/>
        </w:rPr>
        <w:t>que</w:t>
      </w:r>
      <w:proofErr w:type="gramEnd"/>
      <w:r>
        <w:rPr>
          <w:rFonts w:ascii="Arial" w:eastAsia="Arial" w:hAnsi="Arial" w:cs="Arial"/>
          <w:sz w:val="24"/>
          <w:szCs w:val="24"/>
        </w:rPr>
        <w:t xml:space="preserve"> si bien no emplean palabras únicas o sacramentales, también es que sí utiliza frases o formulaciones que de manera implícita comprenden un llamamiento al voto.</w:t>
      </w:r>
    </w:p>
    <w:p w14:paraId="0BE19238" w14:textId="77777777" w:rsidR="00104FC3" w:rsidRDefault="00104FC3">
      <w:pPr>
        <w:pBdr>
          <w:top w:val="nil"/>
          <w:left w:val="nil"/>
          <w:bottom w:val="nil"/>
          <w:right w:val="nil"/>
          <w:between w:val="nil"/>
        </w:pBdr>
        <w:rPr>
          <w:color w:val="000000"/>
        </w:rPr>
      </w:pPr>
    </w:p>
    <w:p w14:paraId="67B31574"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Por tanto, la jurisprudencia 4/2018</w:t>
      </w:r>
      <w:r>
        <w:rPr>
          <w:rFonts w:ascii="Arial" w:eastAsia="Arial" w:hAnsi="Arial" w:cs="Arial"/>
          <w:sz w:val="24"/>
          <w:szCs w:val="24"/>
          <w:vertAlign w:val="superscript"/>
        </w:rPr>
        <w:footnoteReference w:id="15"/>
      </w:r>
      <w:r>
        <w:rPr>
          <w:rFonts w:ascii="Arial" w:eastAsia="Arial" w:hAnsi="Arial" w:cs="Arial"/>
          <w:sz w:val="24"/>
          <w:szCs w:val="24"/>
        </w:rPr>
        <w:t xml:space="preserve"> establece que para que </w:t>
      </w:r>
      <w:r>
        <w:rPr>
          <w:rFonts w:ascii="Arial" w:eastAsia="Arial" w:hAnsi="Arial" w:cs="Arial"/>
          <w:b/>
          <w:sz w:val="24"/>
          <w:szCs w:val="24"/>
        </w:rPr>
        <w:t>una expresión pueda considerarse equivalente a otra</w:t>
      </w:r>
      <w:r>
        <w:rPr>
          <w:rFonts w:ascii="Arial" w:eastAsia="Arial" w:hAnsi="Arial" w:cs="Arial"/>
          <w:sz w:val="24"/>
          <w:szCs w:val="24"/>
        </w:rPr>
        <w:t xml:space="preserve">, su significado debe ser </w:t>
      </w:r>
      <w:r>
        <w:rPr>
          <w:rFonts w:ascii="Arial" w:eastAsia="Arial" w:hAnsi="Arial" w:cs="Arial"/>
          <w:b/>
          <w:sz w:val="24"/>
          <w:szCs w:val="24"/>
        </w:rPr>
        <w:t>inequívoco</w:t>
      </w:r>
      <w:r>
        <w:rPr>
          <w:rFonts w:ascii="Arial" w:eastAsia="Arial" w:hAnsi="Arial" w:cs="Arial"/>
          <w:sz w:val="24"/>
          <w:szCs w:val="24"/>
        </w:rPr>
        <w:t xml:space="preserve">, es decir, que tal manifestación explícitamente tenga una finalidad electoral. Para esto deberá verificarse si el contenido denunciado: </w:t>
      </w:r>
      <w:r>
        <w:rPr>
          <w:rFonts w:ascii="Arial" w:eastAsia="Arial" w:hAnsi="Arial" w:cs="Arial"/>
          <w:b/>
          <w:i/>
        </w:rPr>
        <w:t>i</w:t>
      </w:r>
      <w:r>
        <w:rPr>
          <w:rFonts w:ascii="Arial" w:eastAsia="Arial" w:hAnsi="Arial" w:cs="Arial"/>
          <w:b/>
          <w:i/>
          <w:sz w:val="24"/>
          <w:szCs w:val="24"/>
        </w:rPr>
        <w:t>)</w:t>
      </w:r>
      <w:r>
        <w:rPr>
          <w:rFonts w:ascii="Arial" w:eastAsia="Arial" w:hAnsi="Arial" w:cs="Arial"/>
          <w:sz w:val="24"/>
          <w:szCs w:val="24"/>
        </w:rPr>
        <w:t xml:space="preserve"> incluye palabras o expresiones que de manera objetiva denote tal propósito o que contenga un equivalente de apoyo o </w:t>
      </w:r>
      <w:r>
        <w:rPr>
          <w:rFonts w:ascii="Arial" w:eastAsia="Arial" w:hAnsi="Arial" w:cs="Arial"/>
          <w:sz w:val="24"/>
          <w:szCs w:val="24"/>
        </w:rPr>
        <w:lastRenderedPageBreak/>
        <w:t xml:space="preserve">rechazo y, </w:t>
      </w:r>
      <w:proofErr w:type="spellStart"/>
      <w:r>
        <w:rPr>
          <w:rFonts w:ascii="Arial" w:eastAsia="Arial" w:hAnsi="Arial" w:cs="Arial"/>
          <w:b/>
          <w:i/>
        </w:rPr>
        <w:t>ii</w:t>
      </w:r>
      <w:proofErr w:type="spellEnd"/>
      <w:r>
        <w:rPr>
          <w:rFonts w:ascii="Arial" w:eastAsia="Arial" w:hAnsi="Arial" w:cs="Arial"/>
          <w:b/>
          <w:i/>
          <w:sz w:val="24"/>
          <w:szCs w:val="24"/>
        </w:rPr>
        <w:t>)</w:t>
      </w:r>
      <w:r>
        <w:rPr>
          <w:rFonts w:ascii="Arial" w:eastAsia="Arial" w:hAnsi="Arial" w:cs="Arial"/>
          <w:sz w:val="24"/>
          <w:szCs w:val="24"/>
        </w:rPr>
        <w:t xml:space="preserve"> trascendió al conocimiento de la ciudadanía y, valorados tales aspectos en su conjunto, puedan afectar el principio de equidad en la contienda.</w:t>
      </w:r>
    </w:p>
    <w:p w14:paraId="5C4AFC4C" w14:textId="77777777" w:rsidR="00104FC3" w:rsidRDefault="00104FC3">
      <w:pPr>
        <w:pBdr>
          <w:top w:val="nil"/>
          <w:left w:val="nil"/>
          <w:bottom w:val="nil"/>
          <w:right w:val="nil"/>
          <w:between w:val="nil"/>
        </w:pBdr>
        <w:rPr>
          <w:color w:val="000000"/>
        </w:rPr>
      </w:pPr>
    </w:p>
    <w:p w14:paraId="43BDE4CC"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A su vez, estableció que para acreditar el elemento subjetivo debe valorarse </w:t>
      </w:r>
      <w:r>
        <w:rPr>
          <w:rFonts w:ascii="Arial" w:eastAsia="Arial" w:hAnsi="Arial" w:cs="Arial"/>
          <w:b/>
          <w:sz w:val="24"/>
          <w:szCs w:val="24"/>
        </w:rPr>
        <w:t>si el mensaje denunciado trascendió a la ciudadanía</w:t>
      </w:r>
      <w:r>
        <w:rPr>
          <w:rFonts w:ascii="Arial" w:eastAsia="Arial" w:hAnsi="Arial" w:cs="Arial"/>
          <w:sz w:val="24"/>
          <w:szCs w:val="24"/>
        </w:rPr>
        <w:t xml:space="preserve">, a partir de: </w:t>
      </w:r>
      <w:r>
        <w:rPr>
          <w:rFonts w:ascii="Arial" w:eastAsia="Arial" w:hAnsi="Arial" w:cs="Arial"/>
          <w:b/>
          <w:i/>
        </w:rPr>
        <w:t>1)</w:t>
      </w:r>
      <w:r>
        <w:rPr>
          <w:rFonts w:ascii="Arial" w:eastAsia="Arial" w:hAnsi="Arial" w:cs="Arial"/>
        </w:rPr>
        <w:t xml:space="preserve"> </w:t>
      </w:r>
      <w:r>
        <w:rPr>
          <w:rFonts w:ascii="Arial" w:eastAsia="Arial" w:hAnsi="Arial" w:cs="Arial"/>
          <w:sz w:val="24"/>
          <w:szCs w:val="24"/>
        </w:rPr>
        <w:t xml:space="preserve">el tipo de audiencia al que se dirige el mensaje, esto es, a la ciudadanía en general o militancia, </w:t>
      </w:r>
      <w:r>
        <w:rPr>
          <w:rFonts w:ascii="Arial" w:eastAsia="Arial" w:hAnsi="Arial" w:cs="Arial"/>
          <w:b/>
          <w:i/>
        </w:rPr>
        <w:t>2)</w:t>
      </w:r>
      <w:r>
        <w:rPr>
          <w:rFonts w:ascii="Arial" w:eastAsia="Arial" w:hAnsi="Arial" w:cs="Arial"/>
          <w:sz w:val="24"/>
          <w:szCs w:val="24"/>
        </w:rPr>
        <w:t xml:space="preserve"> el tipo de lugar o recinto, es decir, si este es público o privado, abierto o cerrado y, </w:t>
      </w:r>
      <w:r>
        <w:rPr>
          <w:rFonts w:ascii="Arial" w:eastAsia="Arial" w:hAnsi="Arial" w:cs="Arial"/>
          <w:b/>
          <w:i/>
        </w:rPr>
        <w:t>3)</w:t>
      </w:r>
      <w:r>
        <w:rPr>
          <w:rFonts w:ascii="Arial" w:eastAsia="Arial" w:hAnsi="Arial" w:cs="Arial"/>
        </w:rPr>
        <w:t xml:space="preserve"> </w:t>
      </w:r>
      <w:r>
        <w:rPr>
          <w:rFonts w:ascii="Arial" w:eastAsia="Arial" w:hAnsi="Arial" w:cs="Arial"/>
          <w:sz w:val="24"/>
          <w:szCs w:val="24"/>
        </w:rPr>
        <w:t>las modalidades de difusión del mensaje, como podría ser un mitin, un promocional en radio o televisión, entre otras.</w:t>
      </w:r>
      <w:r>
        <w:rPr>
          <w:rFonts w:ascii="Arial" w:eastAsia="Arial" w:hAnsi="Arial" w:cs="Arial"/>
          <w:sz w:val="24"/>
          <w:szCs w:val="24"/>
          <w:vertAlign w:val="superscript"/>
        </w:rPr>
        <w:footnoteReference w:id="16"/>
      </w:r>
    </w:p>
    <w:p w14:paraId="66FF433E" w14:textId="77777777" w:rsidR="00104FC3" w:rsidRDefault="00104FC3">
      <w:pPr>
        <w:pBdr>
          <w:top w:val="nil"/>
          <w:left w:val="nil"/>
          <w:bottom w:val="nil"/>
          <w:right w:val="nil"/>
          <w:between w:val="nil"/>
        </w:pBdr>
        <w:rPr>
          <w:color w:val="000000"/>
        </w:rPr>
      </w:pPr>
    </w:p>
    <w:p w14:paraId="69C39942"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Sin embargo, es a través de recientes líneas judiciales que el Máximo Tribunal</w:t>
      </w:r>
      <w:r>
        <w:rPr>
          <w:rFonts w:ascii="Arial" w:eastAsia="Arial" w:hAnsi="Arial" w:cs="Arial"/>
          <w:sz w:val="24"/>
          <w:szCs w:val="24"/>
          <w:vertAlign w:val="superscript"/>
        </w:rPr>
        <w:footnoteReference w:id="17"/>
      </w:r>
      <w:r>
        <w:rPr>
          <w:rFonts w:ascii="Arial" w:eastAsia="Arial" w:hAnsi="Arial" w:cs="Arial"/>
          <w:sz w:val="24"/>
          <w:szCs w:val="24"/>
        </w:rPr>
        <w:t xml:space="preserve"> ha precisado la manera en que las autoridades jurisdiccionales deben argumentar la existencia de un equivalente funcional, esto es: </w:t>
      </w:r>
    </w:p>
    <w:p w14:paraId="0FDB5CDC" w14:textId="77777777" w:rsidR="00104FC3" w:rsidRDefault="00104FC3">
      <w:pPr>
        <w:pBdr>
          <w:top w:val="nil"/>
          <w:left w:val="nil"/>
          <w:bottom w:val="nil"/>
          <w:right w:val="nil"/>
          <w:between w:val="nil"/>
        </w:pBdr>
        <w:rPr>
          <w:color w:val="000000"/>
        </w:rPr>
      </w:pPr>
    </w:p>
    <w:p w14:paraId="6D861C44" w14:textId="77777777" w:rsidR="00104FC3" w:rsidRDefault="00BA48A8">
      <w:pPr>
        <w:numPr>
          <w:ilvl w:val="0"/>
          <w:numId w:val="8"/>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Deber de motivar:</w:t>
      </w:r>
      <w:r>
        <w:rPr>
          <w:rFonts w:ascii="Arial" w:eastAsia="Arial" w:hAnsi="Arial" w:cs="Arial"/>
          <w:color w:val="000000"/>
          <w:sz w:val="24"/>
          <w:szCs w:val="24"/>
        </w:rPr>
        <w:t xml:space="preserve"> Las y los juzgadores que busquen establecer que una frase denunciada es equivalente a un “</w:t>
      </w:r>
      <w:r>
        <w:rPr>
          <w:rFonts w:ascii="Arial" w:eastAsia="Arial" w:hAnsi="Arial" w:cs="Arial"/>
          <w:i/>
          <w:color w:val="000000"/>
          <w:sz w:val="24"/>
          <w:szCs w:val="24"/>
        </w:rPr>
        <w:t>vota por mí</w:t>
      </w:r>
      <w:r>
        <w:rPr>
          <w:rFonts w:ascii="Arial" w:eastAsia="Arial" w:hAnsi="Arial" w:cs="Arial"/>
          <w:color w:val="000000"/>
          <w:sz w:val="24"/>
          <w:szCs w:val="24"/>
        </w:rPr>
        <w:t xml:space="preserve">” tienen la obligación de </w:t>
      </w:r>
      <w:r>
        <w:rPr>
          <w:rFonts w:ascii="Arial" w:eastAsia="Arial" w:hAnsi="Arial" w:cs="Arial"/>
          <w:sz w:val="24"/>
          <w:szCs w:val="24"/>
        </w:rPr>
        <w:t>motivar debidamente</w:t>
      </w:r>
      <w:r>
        <w:rPr>
          <w:rFonts w:ascii="Arial" w:eastAsia="Arial" w:hAnsi="Arial" w:cs="Arial"/>
          <w:color w:val="000000"/>
          <w:sz w:val="24"/>
          <w:szCs w:val="24"/>
        </w:rPr>
        <w:t>.</w:t>
      </w:r>
    </w:p>
    <w:p w14:paraId="4CF74D52" w14:textId="77777777" w:rsidR="00104FC3" w:rsidRDefault="00104FC3">
      <w:pPr>
        <w:pBdr>
          <w:top w:val="nil"/>
          <w:left w:val="nil"/>
          <w:bottom w:val="nil"/>
          <w:right w:val="nil"/>
          <w:between w:val="nil"/>
        </w:pBdr>
        <w:rPr>
          <w:color w:val="000000"/>
        </w:rPr>
      </w:pPr>
    </w:p>
    <w:p w14:paraId="465E1CEE" w14:textId="77777777" w:rsidR="00104FC3" w:rsidRDefault="00BA48A8">
      <w:pPr>
        <w:numPr>
          <w:ilvl w:val="0"/>
          <w:numId w:val="8"/>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Elementos para motivar la equivalencia:</w:t>
      </w:r>
      <w:r>
        <w:rPr>
          <w:rFonts w:ascii="Arial" w:eastAsia="Arial" w:hAnsi="Arial" w:cs="Arial"/>
          <w:color w:val="000000"/>
          <w:sz w:val="24"/>
          <w:szCs w:val="24"/>
        </w:rPr>
        <w:t xml:space="preserve"> precisar </w:t>
      </w:r>
      <w:r>
        <w:rPr>
          <w:rFonts w:ascii="Arial" w:eastAsia="Arial" w:hAnsi="Arial" w:cs="Arial"/>
          <w:b/>
          <w:i/>
          <w:color w:val="000000"/>
        </w:rPr>
        <w:t>1)</w:t>
      </w:r>
      <w:r>
        <w:rPr>
          <w:rFonts w:ascii="Arial" w:eastAsia="Arial" w:hAnsi="Arial" w:cs="Arial"/>
          <w:color w:val="000000"/>
          <w:sz w:val="24"/>
          <w:szCs w:val="24"/>
        </w:rPr>
        <w:t xml:space="preserve"> el tipo de expresión en cuestión; </w:t>
      </w:r>
      <w:r>
        <w:rPr>
          <w:rFonts w:ascii="Arial" w:eastAsia="Arial" w:hAnsi="Arial" w:cs="Arial"/>
          <w:b/>
          <w:i/>
          <w:color w:val="000000"/>
        </w:rPr>
        <w:t>2)</w:t>
      </w:r>
      <w:r>
        <w:rPr>
          <w:rFonts w:ascii="Arial" w:eastAsia="Arial" w:hAnsi="Arial" w:cs="Arial"/>
          <w:color w:val="000000"/>
          <w:sz w:val="24"/>
          <w:szCs w:val="24"/>
        </w:rPr>
        <w:t xml:space="preserve"> cuál es el mensaje electoral de referencia que supuestamente se actualiza mediante equivalencia; </w:t>
      </w:r>
      <w:r>
        <w:rPr>
          <w:rFonts w:ascii="Arial" w:eastAsia="Arial" w:hAnsi="Arial" w:cs="Arial"/>
          <w:b/>
          <w:i/>
          <w:color w:val="000000"/>
        </w:rPr>
        <w:t>3)</w:t>
      </w:r>
      <w:r>
        <w:rPr>
          <w:rFonts w:ascii="Arial" w:eastAsia="Arial" w:hAnsi="Arial" w:cs="Arial"/>
          <w:color w:val="000000"/>
          <w:sz w:val="24"/>
          <w:szCs w:val="24"/>
        </w:rPr>
        <w:t xml:space="preserve"> justificar tal relación. Asimismo, sostuvo que algunos parámetros básicos para justificar la correspondencia del significado son los siguientes: </w:t>
      </w:r>
    </w:p>
    <w:p w14:paraId="23889DA5" w14:textId="77777777" w:rsidR="00104FC3" w:rsidRDefault="00104FC3">
      <w:pPr>
        <w:pBdr>
          <w:top w:val="nil"/>
          <w:left w:val="nil"/>
          <w:bottom w:val="nil"/>
          <w:right w:val="nil"/>
          <w:between w:val="nil"/>
        </w:pBdr>
        <w:rPr>
          <w:color w:val="000000"/>
        </w:rPr>
      </w:pPr>
    </w:p>
    <w:p w14:paraId="4B148BD9" w14:textId="77777777" w:rsidR="00104FC3" w:rsidRDefault="00BA48A8">
      <w:pPr>
        <w:numPr>
          <w:ilvl w:val="0"/>
          <w:numId w:val="1"/>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La correspondencia debe ser inequívoca en términos de la jurisprudencia 4/2018.</w:t>
      </w:r>
    </w:p>
    <w:p w14:paraId="6E45D38E" w14:textId="77777777" w:rsidR="00104FC3" w:rsidRDefault="00BA48A8">
      <w:pPr>
        <w:numPr>
          <w:ilvl w:val="0"/>
          <w:numId w:val="1"/>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Debe ser natural y conservar el sentido de la expresión, es decir, debe traducirse de forma razonable y objetiva a una solicitud del tipo “vota por mí”.</w:t>
      </w:r>
    </w:p>
    <w:p w14:paraId="07D1D29E" w14:textId="77777777" w:rsidR="00104FC3" w:rsidRDefault="00BA48A8">
      <w:pPr>
        <w:numPr>
          <w:ilvl w:val="0"/>
          <w:numId w:val="1"/>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No puede acudirse a inferencias subjetivas para establecer la equivalencia.</w:t>
      </w:r>
    </w:p>
    <w:p w14:paraId="1789BDC2" w14:textId="77777777" w:rsidR="00104FC3" w:rsidRDefault="00BA48A8">
      <w:pPr>
        <w:numPr>
          <w:ilvl w:val="0"/>
          <w:numId w:val="1"/>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posible intentar establecer la intención del mensaje a partir de una racionalidad mínima, pero es necesario explicitar los parámetros que se utilizarán y los argumentos que justifican la conclusión.</w:t>
      </w:r>
    </w:p>
    <w:p w14:paraId="1A418476" w14:textId="77777777" w:rsidR="00104FC3" w:rsidRDefault="00BA48A8">
      <w:pPr>
        <w:numPr>
          <w:ilvl w:val="0"/>
          <w:numId w:val="1"/>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necesario acudir al contexto, en medida que se expliquen los elementos y cómo refuerzan o refutan el análisis de equivalencia.</w:t>
      </w:r>
    </w:p>
    <w:p w14:paraId="5E835332" w14:textId="77777777" w:rsidR="00104FC3" w:rsidRDefault="00104FC3">
      <w:pPr>
        <w:pBdr>
          <w:top w:val="nil"/>
          <w:left w:val="nil"/>
          <w:bottom w:val="nil"/>
          <w:right w:val="nil"/>
          <w:between w:val="nil"/>
        </w:pBdr>
        <w:rPr>
          <w:color w:val="000000"/>
        </w:rPr>
      </w:pPr>
    </w:p>
    <w:p w14:paraId="6F1B8512" w14:textId="77777777" w:rsidR="00104FC3" w:rsidRDefault="00BA48A8">
      <w:pPr>
        <w:numPr>
          <w:ilvl w:val="0"/>
          <w:numId w:val="8"/>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 xml:space="preserve">Actualización de un posicionamiento electoral: </w:t>
      </w:r>
      <w:r>
        <w:rPr>
          <w:rFonts w:ascii="Arial" w:eastAsia="Arial" w:hAnsi="Arial" w:cs="Arial"/>
          <w:color w:val="000000"/>
          <w:sz w:val="24"/>
          <w:szCs w:val="24"/>
        </w:rPr>
        <w:t xml:space="preserve">finalmente, dispuso que por </w:t>
      </w:r>
      <w:r>
        <w:rPr>
          <w:rFonts w:ascii="Arial" w:eastAsia="Arial" w:hAnsi="Arial" w:cs="Arial"/>
          <w:i/>
          <w:color w:val="000000"/>
          <w:sz w:val="24"/>
          <w:szCs w:val="24"/>
        </w:rPr>
        <w:t xml:space="preserve">posicionamiento electoral </w:t>
      </w:r>
      <w:r>
        <w:rPr>
          <w:rFonts w:ascii="Arial" w:eastAsia="Arial" w:hAnsi="Arial" w:cs="Arial"/>
          <w:color w:val="000000"/>
          <w:sz w:val="24"/>
          <w:szCs w:val="24"/>
        </w:rPr>
        <w:t xml:space="preserve">debe entenderse la finalidad o consecuencia de un </w:t>
      </w:r>
      <w:r>
        <w:rPr>
          <w:rFonts w:ascii="Arial" w:eastAsia="Arial" w:hAnsi="Arial" w:cs="Arial"/>
          <w:color w:val="000000"/>
          <w:sz w:val="24"/>
          <w:szCs w:val="24"/>
        </w:rPr>
        <w:lastRenderedPageBreak/>
        <w:t xml:space="preserve">llamado expreso al voto, o bien, de un mensaje que tiene un significado equivalente de forma inequívoca. </w:t>
      </w:r>
    </w:p>
    <w:p w14:paraId="0DCCF090" w14:textId="77777777" w:rsidR="00104FC3" w:rsidRDefault="00104FC3">
      <w:pPr>
        <w:pBdr>
          <w:top w:val="nil"/>
          <w:left w:val="nil"/>
          <w:bottom w:val="nil"/>
          <w:right w:val="nil"/>
          <w:between w:val="nil"/>
        </w:pBdr>
        <w:rPr>
          <w:color w:val="000000"/>
        </w:rPr>
      </w:pPr>
    </w:p>
    <w:p w14:paraId="0A3582E2"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Lo anterior se estimó así, con el objetivo de dotar a las autoridades jurisdiccionales de elementos objetivos y razonables que les permitan desarrollar la justificación de cuáles son las razones para determinar que ciertas expresiones conllevan una finalidad electoral en periodo prohibido y, por tanto, constituyen un posicionamiento electoral anticipado, ya sea a través de un llamamiento expreso o por conducto de algún equivalente funcional.</w:t>
      </w:r>
    </w:p>
    <w:p w14:paraId="41EABEEA" w14:textId="77777777" w:rsidR="00104FC3" w:rsidRDefault="00104FC3">
      <w:pPr>
        <w:pBdr>
          <w:top w:val="nil"/>
          <w:left w:val="nil"/>
          <w:bottom w:val="nil"/>
          <w:right w:val="nil"/>
          <w:between w:val="nil"/>
        </w:pBdr>
        <w:rPr>
          <w:color w:val="000000"/>
        </w:rPr>
      </w:pPr>
    </w:p>
    <w:p w14:paraId="65AAF44B"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En conclusión, los actos anticipados de campaña únicamente podrán actualizarse en la medida que se acrediten todos los elementos antes descritos, esto con la finalidad de salvaguardar el principio de equidad en la contienda y, a su vez, privilegiar la tutela de la libre expresión y la maximización del debate público. </w:t>
      </w:r>
    </w:p>
    <w:p w14:paraId="6A6AC08D" w14:textId="77777777" w:rsidR="00104FC3" w:rsidRDefault="00104FC3">
      <w:pPr>
        <w:pBdr>
          <w:top w:val="nil"/>
          <w:left w:val="nil"/>
          <w:bottom w:val="nil"/>
          <w:right w:val="nil"/>
          <w:between w:val="nil"/>
        </w:pBdr>
        <w:rPr>
          <w:color w:val="000000"/>
        </w:rPr>
      </w:pPr>
    </w:p>
    <w:p w14:paraId="1C69E33A" w14:textId="77777777" w:rsidR="00104FC3" w:rsidRDefault="00BA48A8">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2. Caso Concreto</w:t>
      </w:r>
    </w:p>
    <w:p w14:paraId="253EE12B" w14:textId="77777777" w:rsidR="00104FC3" w:rsidRDefault="00104FC3">
      <w:pPr>
        <w:pBdr>
          <w:top w:val="nil"/>
          <w:left w:val="nil"/>
          <w:bottom w:val="nil"/>
          <w:right w:val="nil"/>
          <w:between w:val="nil"/>
        </w:pBdr>
        <w:rPr>
          <w:color w:val="000000"/>
        </w:rPr>
      </w:pPr>
    </w:p>
    <w:p w14:paraId="7850F1D4" w14:textId="77777777" w:rsidR="00104FC3" w:rsidRDefault="00BA48A8">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el caso, MORENA denunció que la ciudadana María Teresa Jiménez Esquivel, en su calidad de precandidata del PAN a la </w:t>
      </w:r>
      <w:r>
        <w:rPr>
          <w:rFonts w:ascii="Arial" w:eastAsia="Arial" w:hAnsi="Arial" w:cs="Arial"/>
          <w:sz w:val="24"/>
          <w:szCs w:val="24"/>
        </w:rPr>
        <w:t>g</w:t>
      </w:r>
      <w:r>
        <w:rPr>
          <w:rFonts w:ascii="Arial" w:eastAsia="Arial" w:hAnsi="Arial" w:cs="Arial"/>
          <w:color w:val="000000"/>
          <w:sz w:val="24"/>
          <w:szCs w:val="24"/>
        </w:rPr>
        <w:t xml:space="preserve">ubernatura del </w:t>
      </w:r>
      <w:r>
        <w:rPr>
          <w:rFonts w:ascii="Arial" w:eastAsia="Arial" w:hAnsi="Arial" w:cs="Arial"/>
          <w:sz w:val="24"/>
          <w:szCs w:val="24"/>
        </w:rPr>
        <w:t>e</w:t>
      </w:r>
      <w:r>
        <w:rPr>
          <w:rFonts w:ascii="Arial" w:eastAsia="Arial" w:hAnsi="Arial" w:cs="Arial"/>
          <w:color w:val="000000"/>
          <w:sz w:val="24"/>
          <w:szCs w:val="24"/>
        </w:rPr>
        <w:t xml:space="preserve">stado, así como tal instituto político cometieron la infracción de actos anticipados de campaña, derivado de la exhibición en vía pública de </w:t>
      </w:r>
      <w:r>
        <w:rPr>
          <w:rFonts w:ascii="Arial" w:eastAsia="Arial" w:hAnsi="Arial" w:cs="Arial"/>
          <w:sz w:val="24"/>
          <w:szCs w:val="24"/>
        </w:rPr>
        <w:t>espectaculares</w:t>
      </w:r>
      <w:r>
        <w:rPr>
          <w:rFonts w:ascii="Arial" w:eastAsia="Arial" w:hAnsi="Arial" w:cs="Arial"/>
          <w:color w:val="000000"/>
          <w:sz w:val="24"/>
          <w:szCs w:val="24"/>
        </w:rPr>
        <w:t xml:space="preserve"> que contienen mensajes que tienen el objetivo de posicionarlos, previo al inicio del periodo de campaña. </w:t>
      </w:r>
    </w:p>
    <w:p w14:paraId="545A4F98" w14:textId="77777777" w:rsidR="00104FC3" w:rsidRDefault="00104FC3">
      <w:pPr>
        <w:pBdr>
          <w:top w:val="nil"/>
          <w:left w:val="nil"/>
          <w:bottom w:val="nil"/>
          <w:right w:val="nil"/>
          <w:between w:val="nil"/>
        </w:pBdr>
        <w:jc w:val="both"/>
        <w:rPr>
          <w:rFonts w:ascii="Arial" w:eastAsia="Arial" w:hAnsi="Arial" w:cs="Arial"/>
          <w:sz w:val="24"/>
          <w:szCs w:val="24"/>
        </w:rPr>
      </w:pPr>
    </w:p>
    <w:p w14:paraId="27AC648B"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El contenido de los espectaculares cuestionados son los siguientes: </w:t>
      </w:r>
    </w:p>
    <w:p w14:paraId="1B99F8AC" w14:textId="77777777" w:rsidR="00104FC3" w:rsidRDefault="00BA48A8">
      <w:pPr>
        <w:numPr>
          <w:ilvl w:val="0"/>
          <w:numId w:val="6"/>
        </w:numPr>
        <w:pBdr>
          <w:top w:val="nil"/>
          <w:left w:val="nil"/>
          <w:bottom w:val="nil"/>
          <w:right w:val="nil"/>
          <w:between w:val="nil"/>
        </w:pBdr>
        <w:spacing w:line="360" w:lineRule="auto"/>
        <w:ind w:left="426"/>
        <w:jc w:val="both"/>
        <w:rPr>
          <w:rFonts w:ascii="Arial" w:eastAsia="Arial" w:hAnsi="Arial" w:cs="Arial"/>
          <w:i/>
          <w:color w:val="000000"/>
          <w:sz w:val="24"/>
          <w:szCs w:val="24"/>
        </w:rPr>
      </w:pPr>
      <w:r>
        <w:rPr>
          <w:rFonts w:ascii="Arial" w:eastAsia="Arial" w:hAnsi="Arial" w:cs="Arial"/>
          <w:i/>
          <w:color w:val="000000"/>
          <w:sz w:val="24"/>
          <w:szCs w:val="24"/>
        </w:rPr>
        <w:t>“La que nos une… ¡Es la fuerza del PAN</w:t>
      </w:r>
      <w:r>
        <w:rPr>
          <w:rFonts w:ascii="Arial" w:eastAsia="Arial" w:hAnsi="Arial" w:cs="Arial"/>
          <w:i/>
          <w:sz w:val="24"/>
          <w:szCs w:val="24"/>
        </w:rPr>
        <w:t xml:space="preserve"> Aguascalientes! Dirigido a miembros del Partido Acción Nacional”</w:t>
      </w:r>
    </w:p>
    <w:p w14:paraId="7CE59F98" w14:textId="77777777" w:rsidR="00104FC3" w:rsidRDefault="00BA48A8">
      <w:pPr>
        <w:numPr>
          <w:ilvl w:val="0"/>
          <w:numId w:val="6"/>
        </w:numPr>
        <w:pBdr>
          <w:top w:val="nil"/>
          <w:left w:val="nil"/>
          <w:bottom w:val="nil"/>
          <w:right w:val="nil"/>
          <w:between w:val="nil"/>
        </w:pBdr>
        <w:spacing w:line="360" w:lineRule="auto"/>
        <w:ind w:left="426"/>
        <w:jc w:val="both"/>
        <w:rPr>
          <w:rFonts w:ascii="Arial" w:eastAsia="Arial" w:hAnsi="Arial" w:cs="Arial"/>
          <w:i/>
          <w:color w:val="000000"/>
          <w:sz w:val="24"/>
          <w:szCs w:val="24"/>
        </w:rPr>
      </w:pPr>
      <w:r>
        <w:rPr>
          <w:rFonts w:ascii="Arial" w:eastAsia="Arial" w:hAnsi="Arial" w:cs="Arial"/>
          <w:i/>
          <w:color w:val="000000"/>
          <w:sz w:val="24"/>
          <w:szCs w:val="24"/>
        </w:rPr>
        <w:t>“¡La fuerza del PAN</w:t>
      </w:r>
      <w:r>
        <w:rPr>
          <w:rFonts w:ascii="Arial" w:eastAsia="Arial" w:hAnsi="Arial" w:cs="Arial"/>
          <w:i/>
          <w:sz w:val="24"/>
          <w:szCs w:val="24"/>
        </w:rPr>
        <w:t xml:space="preserve"> Aguascalientes! Dirigido a miembros del Partido Acción Nacional”</w:t>
      </w:r>
    </w:p>
    <w:p w14:paraId="10288481" w14:textId="77777777" w:rsidR="00104FC3" w:rsidRDefault="00BA48A8">
      <w:pPr>
        <w:numPr>
          <w:ilvl w:val="0"/>
          <w:numId w:val="6"/>
        </w:numPr>
        <w:pBdr>
          <w:top w:val="nil"/>
          <w:left w:val="nil"/>
          <w:bottom w:val="nil"/>
          <w:right w:val="nil"/>
          <w:between w:val="nil"/>
        </w:pBdr>
        <w:spacing w:line="360" w:lineRule="auto"/>
        <w:ind w:left="426"/>
        <w:jc w:val="both"/>
        <w:rPr>
          <w:rFonts w:ascii="Arial" w:eastAsia="Arial" w:hAnsi="Arial" w:cs="Arial"/>
          <w:i/>
          <w:color w:val="000000"/>
          <w:sz w:val="24"/>
          <w:szCs w:val="24"/>
        </w:rPr>
      </w:pPr>
      <w:r>
        <w:rPr>
          <w:rFonts w:ascii="Arial" w:eastAsia="Arial" w:hAnsi="Arial" w:cs="Arial"/>
          <w:i/>
          <w:color w:val="000000"/>
          <w:sz w:val="24"/>
          <w:szCs w:val="24"/>
        </w:rPr>
        <w:t>“La que nos impulsa… ¡Es la fuerza del PAN</w:t>
      </w:r>
      <w:r>
        <w:rPr>
          <w:rFonts w:ascii="Arial" w:eastAsia="Arial" w:hAnsi="Arial" w:cs="Arial"/>
          <w:i/>
          <w:sz w:val="24"/>
          <w:szCs w:val="24"/>
        </w:rPr>
        <w:t xml:space="preserve"> Aguascalientes! Dirigido a miembros del Partido Acción Nacional”</w:t>
      </w:r>
    </w:p>
    <w:p w14:paraId="7D700D1F" w14:textId="77777777" w:rsidR="00104FC3" w:rsidRDefault="00BA48A8">
      <w:pPr>
        <w:numPr>
          <w:ilvl w:val="0"/>
          <w:numId w:val="6"/>
        </w:numPr>
        <w:pBdr>
          <w:top w:val="nil"/>
          <w:left w:val="nil"/>
          <w:bottom w:val="nil"/>
          <w:right w:val="nil"/>
          <w:between w:val="nil"/>
        </w:pBdr>
        <w:spacing w:line="360" w:lineRule="auto"/>
        <w:ind w:left="426"/>
        <w:jc w:val="both"/>
        <w:rPr>
          <w:rFonts w:ascii="Arial" w:eastAsia="Arial" w:hAnsi="Arial" w:cs="Arial"/>
          <w:i/>
          <w:color w:val="000000"/>
          <w:sz w:val="24"/>
          <w:szCs w:val="24"/>
        </w:rPr>
      </w:pPr>
      <w:r>
        <w:rPr>
          <w:rFonts w:ascii="Arial" w:eastAsia="Arial" w:hAnsi="Arial" w:cs="Arial"/>
          <w:i/>
          <w:color w:val="000000"/>
          <w:sz w:val="24"/>
          <w:szCs w:val="24"/>
        </w:rPr>
        <w:t>“La que nos motiva… ¡Es la fuerza del PAN</w:t>
      </w:r>
      <w:r>
        <w:rPr>
          <w:rFonts w:ascii="Arial" w:eastAsia="Arial" w:hAnsi="Arial" w:cs="Arial"/>
          <w:i/>
          <w:sz w:val="24"/>
          <w:szCs w:val="24"/>
        </w:rPr>
        <w:t xml:space="preserve"> Aguascalientes! Dirigido a miembros del Partido Acción Nacional”</w:t>
      </w:r>
    </w:p>
    <w:p w14:paraId="4EB44A4F" w14:textId="77777777" w:rsidR="00104FC3" w:rsidRDefault="00BA48A8">
      <w:pPr>
        <w:numPr>
          <w:ilvl w:val="0"/>
          <w:numId w:val="6"/>
        </w:numPr>
        <w:pBdr>
          <w:top w:val="nil"/>
          <w:left w:val="nil"/>
          <w:bottom w:val="nil"/>
          <w:right w:val="nil"/>
          <w:between w:val="nil"/>
        </w:pBdr>
        <w:spacing w:line="360" w:lineRule="auto"/>
        <w:ind w:left="426"/>
        <w:jc w:val="both"/>
        <w:rPr>
          <w:rFonts w:ascii="Arial" w:eastAsia="Arial" w:hAnsi="Arial" w:cs="Arial"/>
          <w:i/>
          <w:color w:val="000000"/>
          <w:sz w:val="24"/>
          <w:szCs w:val="24"/>
        </w:rPr>
      </w:pPr>
      <w:r>
        <w:rPr>
          <w:rFonts w:ascii="Arial" w:eastAsia="Arial" w:hAnsi="Arial" w:cs="Arial"/>
          <w:i/>
          <w:color w:val="000000"/>
          <w:sz w:val="24"/>
          <w:szCs w:val="24"/>
        </w:rPr>
        <w:t>“La que nos impulsa… ¡Es la fuerza del PAN</w:t>
      </w:r>
      <w:r>
        <w:rPr>
          <w:rFonts w:ascii="Arial" w:eastAsia="Arial" w:hAnsi="Arial" w:cs="Arial"/>
          <w:i/>
          <w:sz w:val="24"/>
          <w:szCs w:val="24"/>
        </w:rPr>
        <w:t xml:space="preserve"> Aguascalientes! Dirigido a miembros del Partido Acción Nacional”</w:t>
      </w:r>
    </w:p>
    <w:p w14:paraId="75938FD6" w14:textId="77777777" w:rsidR="00104FC3" w:rsidRDefault="00104FC3">
      <w:pPr>
        <w:pBdr>
          <w:top w:val="nil"/>
          <w:left w:val="nil"/>
          <w:bottom w:val="nil"/>
          <w:right w:val="nil"/>
          <w:between w:val="nil"/>
        </w:pBdr>
        <w:rPr>
          <w:color w:val="000000"/>
        </w:rPr>
      </w:pPr>
    </w:p>
    <w:p w14:paraId="39020E76"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1EF19950" w14:textId="77777777" w:rsidR="00104FC3" w:rsidRDefault="00104FC3">
      <w:pPr>
        <w:pBdr>
          <w:top w:val="nil"/>
          <w:left w:val="nil"/>
          <w:bottom w:val="nil"/>
          <w:right w:val="nil"/>
          <w:between w:val="nil"/>
        </w:pBdr>
        <w:rPr>
          <w:color w:val="000000"/>
        </w:rPr>
      </w:pPr>
    </w:p>
    <w:p w14:paraId="359360BD" w14:textId="07D2CA7F"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en el presente caso </w:t>
      </w:r>
      <w:r>
        <w:rPr>
          <w:rFonts w:ascii="Arial" w:eastAsia="Arial" w:hAnsi="Arial" w:cs="Arial"/>
          <w:b/>
          <w:sz w:val="24"/>
          <w:szCs w:val="24"/>
        </w:rPr>
        <w:t xml:space="preserve">no es posible acreditar la infracción de actos anticipados de campaña </w:t>
      </w:r>
      <w:r>
        <w:rPr>
          <w:rFonts w:ascii="Arial" w:eastAsia="Arial" w:hAnsi="Arial" w:cs="Arial"/>
          <w:sz w:val="24"/>
          <w:szCs w:val="24"/>
        </w:rPr>
        <w:t>atribuidos tanto a la precandidata del PAN, como al propio instituto político, ya que del análisis de los hechos denunciados, se advierte que si bien</w:t>
      </w:r>
      <w:r w:rsidR="0046518E">
        <w:rPr>
          <w:rFonts w:ascii="Arial" w:eastAsia="Arial" w:hAnsi="Arial" w:cs="Arial"/>
          <w:sz w:val="24"/>
          <w:szCs w:val="24"/>
        </w:rPr>
        <w:t xml:space="preserve"> en </w:t>
      </w:r>
      <w:r>
        <w:rPr>
          <w:rFonts w:ascii="Arial" w:eastAsia="Arial" w:hAnsi="Arial" w:cs="Arial"/>
          <w:sz w:val="24"/>
          <w:szCs w:val="24"/>
        </w:rPr>
        <w:t xml:space="preserve">ambos casos se acredita el elemento </w:t>
      </w:r>
      <w:r>
        <w:rPr>
          <w:rFonts w:ascii="Arial" w:eastAsia="Arial" w:hAnsi="Arial" w:cs="Arial"/>
          <w:sz w:val="24"/>
          <w:szCs w:val="24"/>
        </w:rPr>
        <w:lastRenderedPageBreak/>
        <w:t xml:space="preserve">temporal; </w:t>
      </w:r>
      <w:r>
        <w:rPr>
          <w:rFonts w:ascii="Arial" w:eastAsia="Arial" w:hAnsi="Arial" w:cs="Arial"/>
          <w:b/>
          <w:i/>
          <w:sz w:val="24"/>
          <w:szCs w:val="24"/>
        </w:rPr>
        <w:t>a)</w:t>
      </w:r>
      <w:r>
        <w:rPr>
          <w:rFonts w:ascii="Arial" w:eastAsia="Arial" w:hAnsi="Arial" w:cs="Arial"/>
          <w:sz w:val="24"/>
          <w:szCs w:val="24"/>
        </w:rPr>
        <w:t xml:space="preserve"> por cuanto hace a la candidata denunciada </w:t>
      </w:r>
      <w:r>
        <w:rPr>
          <w:rFonts w:ascii="Arial" w:eastAsia="Arial" w:hAnsi="Arial" w:cs="Arial"/>
          <w:b/>
          <w:sz w:val="24"/>
          <w:szCs w:val="24"/>
        </w:rPr>
        <w:t>no se acredita el elemento personal y subjetivo</w:t>
      </w:r>
      <w:r>
        <w:rPr>
          <w:rFonts w:ascii="Arial" w:eastAsia="Arial" w:hAnsi="Arial" w:cs="Arial"/>
          <w:sz w:val="24"/>
          <w:szCs w:val="24"/>
        </w:rPr>
        <w:t xml:space="preserve"> y, </w:t>
      </w:r>
      <w:r>
        <w:rPr>
          <w:rFonts w:ascii="Arial" w:eastAsia="Arial" w:hAnsi="Arial" w:cs="Arial"/>
          <w:b/>
          <w:i/>
          <w:sz w:val="24"/>
          <w:szCs w:val="24"/>
        </w:rPr>
        <w:t>b)</w:t>
      </w:r>
      <w:r>
        <w:rPr>
          <w:rFonts w:ascii="Arial" w:eastAsia="Arial" w:hAnsi="Arial" w:cs="Arial"/>
          <w:sz w:val="24"/>
          <w:szCs w:val="24"/>
        </w:rPr>
        <w:t xml:space="preserve"> respecto al partido político denunciado sí se acredita el elemento personal, mas </w:t>
      </w:r>
      <w:r>
        <w:rPr>
          <w:rFonts w:ascii="Arial" w:eastAsia="Arial" w:hAnsi="Arial" w:cs="Arial"/>
          <w:b/>
          <w:sz w:val="24"/>
          <w:szCs w:val="24"/>
        </w:rPr>
        <w:t>no</w:t>
      </w:r>
      <w:r>
        <w:rPr>
          <w:rFonts w:ascii="Arial" w:eastAsia="Arial" w:hAnsi="Arial" w:cs="Arial"/>
          <w:sz w:val="24"/>
          <w:szCs w:val="24"/>
        </w:rPr>
        <w:t xml:space="preserve"> </w:t>
      </w:r>
      <w:r>
        <w:rPr>
          <w:rFonts w:ascii="Arial" w:eastAsia="Arial" w:hAnsi="Arial" w:cs="Arial"/>
          <w:b/>
          <w:sz w:val="24"/>
          <w:szCs w:val="24"/>
        </w:rPr>
        <w:t xml:space="preserve">es posible actualizar el subjetivo </w:t>
      </w:r>
      <w:r>
        <w:rPr>
          <w:rFonts w:ascii="Arial" w:eastAsia="Arial" w:hAnsi="Arial" w:cs="Arial"/>
          <w:sz w:val="24"/>
          <w:szCs w:val="24"/>
        </w:rPr>
        <w:t xml:space="preserve">ni sus variantes para acreditarlo. </w:t>
      </w:r>
    </w:p>
    <w:p w14:paraId="71F301DB" w14:textId="39DF0F11" w:rsidR="00104FC3" w:rsidRDefault="00104FC3">
      <w:pPr>
        <w:pBdr>
          <w:top w:val="nil"/>
          <w:left w:val="nil"/>
          <w:bottom w:val="nil"/>
          <w:right w:val="nil"/>
          <w:between w:val="nil"/>
        </w:pBdr>
        <w:rPr>
          <w:color w:val="000000"/>
        </w:rPr>
      </w:pPr>
    </w:p>
    <w:p w14:paraId="3D51E408" w14:textId="09A5CD1E" w:rsidR="004F6579" w:rsidRDefault="004F6579">
      <w:pPr>
        <w:pBdr>
          <w:top w:val="nil"/>
          <w:left w:val="nil"/>
          <w:bottom w:val="nil"/>
          <w:right w:val="nil"/>
          <w:between w:val="nil"/>
        </w:pBdr>
        <w:rPr>
          <w:color w:val="000000"/>
        </w:rPr>
      </w:pPr>
    </w:p>
    <w:p w14:paraId="38BAB2F1" w14:textId="77777777" w:rsidR="004F6579" w:rsidRDefault="004F6579">
      <w:pPr>
        <w:pBdr>
          <w:top w:val="nil"/>
          <w:left w:val="nil"/>
          <w:bottom w:val="nil"/>
          <w:right w:val="nil"/>
          <w:between w:val="nil"/>
        </w:pBdr>
        <w:rPr>
          <w:color w:val="000000"/>
        </w:rPr>
      </w:pPr>
    </w:p>
    <w:p w14:paraId="129B2E8A" w14:textId="2BD88853"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Lo anterior se debe a que el elemento </w:t>
      </w:r>
      <w:r>
        <w:rPr>
          <w:rFonts w:ascii="Arial" w:eastAsia="Arial" w:hAnsi="Arial" w:cs="Arial"/>
          <w:b/>
          <w:sz w:val="24"/>
          <w:szCs w:val="24"/>
        </w:rPr>
        <w:t xml:space="preserve">temporal </w:t>
      </w:r>
      <w:r>
        <w:rPr>
          <w:rFonts w:ascii="Arial" w:eastAsia="Arial" w:hAnsi="Arial" w:cs="Arial"/>
          <w:sz w:val="24"/>
          <w:szCs w:val="24"/>
        </w:rPr>
        <w:t>se acredit</w:t>
      </w:r>
      <w:r w:rsidR="00B21B7C">
        <w:rPr>
          <w:rFonts w:ascii="Arial" w:eastAsia="Arial" w:hAnsi="Arial" w:cs="Arial"/>
          <w:sz w:val="24"/>
          <w:szCs w:val="24"/>
        </w:rPr>
        <w:t>ó,</w:t>
      </w:r>
      <w:r>
        <w:rPr>
          <w:rFonts w:ascii="Arial" w:eastAsia="Arial" w:hAnsi="Arial" w:cs="Arial"/>
          <w:sz w:val="24"/>
          <w:szCs w:val="24"/>
        </w:rPr>
        <w:t xml:space="preserve"> porque de la adminiculación de las pruebas que </w:t>
      </w:r>
      <w:r w:rsidR="00B21B7C">
        <w:rPr>
          <w:rFonts w:ascii="Arial" w:eastAsia="Arial" w:hAnsi="Arial" w:cs="Arial"/>
          <w:sz w:val="24"/>
          <w:szCs w:val="24"/>
        </w:rPr>
        <w:t xml:space="preserve">obran </w:t>
      </w:r>
      <w:r>
        <w:rPr>
          <w:rFonts w:ascii="Arial" w:eastAsia="Arial" w:hAnsi="Arial" w:cs="Arial"/>
          <w:sz w:val="24"/>
          <w:szCs w:val="24"/>
        </w:rPr>
        <w:t>en el expediente fue posible advertir la existencia temporal de los espectaculares en cuestión, esto, ya que se demostró que el 5 de febrero -fecha en que</w:t>
      </w:r>
      <w:r w:rsidR="00B21B7C">
        <w:rPr>
          <w:rFonts w:ascii="Arial" w:eastAsia="Arial" w:hAnsi="Arial" w:cs="Arial"/>
          <w:sz w:val="24"/>
          <w:szCs w:val="24"/>
        </w:rPr>
        <w:t xml:space="preserve">, </w:t>
      </w:r>
      <w:r>
        <w:rPr>
          <w:rFonts w:ascii="Arial" w:eastAsia="Arial" w:hAnsi="Arial" w:cs="Arial"/>
          <w:sz w:val="24"/>
          <w:szCs w:val="24"/>
        </w:rPr>
        <w:t>a dicho del quejoso</w:t>
      </w:r>
      <w:r w:rsidR="00B21B7C">
        <w:rPr>
          <w:rFonts w:ascii="Arial" w:eastAsia="Arial" w:hAnsi="Arial" w:cs="Arial"/>
          <w:sz w:val="24"/>
          <w:szCs w:val="24"/>
        </w:rPr>
        <w:t>,</w:t>
      </w:r>
      <w:r>
        <w:rPr>
          <w:rFonts w:ascii="Arial" w:eastAsia="Arial" w:hAnsi="Arial" w:cs="Arial"/>
          <w:sz w:val="24"/>
          <w:szCs w:val="24"/>
        </w:rPr>
        <w:t xml:space="preserve"> conoció su existencia- los espectaculares se encontraban colocados en diversos puntos del Estado, es decir, durante la etapa de precampaña y previo al inicio de las campañas. Ello, sin perjuicio de que a la fecha de la certificación por parte de la oficialía electoral ya se hubiese retirado tal propaganda.</w:t>
      </w:r>
    </w:p>
    <w:p w14:paraId="665520E6" w14:textId="77777777" w:rsidR="00104FC3" w:rsidRDefault="00104FC3">
      <w:pPr>
        <w:pBdr>
          <w:top w:val="nil"/>
          <w:left w:val="nil"/>
          <w:bottom w:val="nil"/>
          <w:right w:val="nil"/>
          <w:between w:val="nil"/>
        </w:pBdr>
        <w:rPr>
          <w:color w:val="000000"/>
        </w:rPr>
      </w:pPr>
    </w:p>
    <w:p w14:paraId="6ADBFD4E" w14:textId="2D990880"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En cuanto al elemento </w:t>
      </w:r>
      <w:r>
        <w:rPr>
          <w:rFonts w:ascii="Arial" w:eastAsia="Arial" w:hAnsi="Arial" w:cs="Arial"/>
          <w:b/>
          <w:sz w:val="24"/>
          <w:szCs w:val="24"/>
        </w:rPr>
        <w:t>personal</w:t>
      </w:r>
      <w:r w:rsidR="00B21B7C">
        <w:rPr>
          <w:rFonts w:ascii="Arial" w:eastAsia="Arial" w:hAnsi="Arial" w:cs="Arial"/>
          <w:sz w:val="24"/>
          <w:szCs w:val="24"/>
        </w:rPr>
        <w:t xml:space="preserve">, </w:t>
      </w:r>
      <w:r>
        <w:rPr>
          <w:rFonts w:ascii="Arial" w:eastAsia="Arial" w:hAnsi="Arial" w:cs="Arial"/>
          <w:sz w:val="24"/>
          <w:szCs w:val="24"/>
        </w:rPr>
        <w:t>no se advierten elementos que identifiquen plenamente la imagen de la precandidata María Teresa Jiménez Esquivel o bien, que permitan inferir que tuvo relación con la autoría de tal propaganda y, por tanto, no es posible acreditar el elemento en cuestión respecto de los actos que a la denunciada se le imputan.</w:t>
      </w:r>
    </w:p>
    <w:p w14:paraId="14918CCE" w14:textId="77777777" w:rsidR="00104FC3" w:rsidRDefault="00104FC3">
      <w:pPr>
        <w:pBdr>
          <w:top w:val="nil"/>
          <w:left w:val="nil"/>
          <w:bottom w:val="nil"/>
          <w:right w:val="nil"/>
          <w:between w:val="nil"/>
        </w:pBdr>
        <w:rPr>
          <w:color w:val="000000"/>
        </w:rPr>
      </w:pPr>
    </w:p>
    <w:p w14:paraId="2ED36ADE" w14:textId="11EB19D0" w:rsidR="00104FC3" w:rsidRDefault="00BA48A8">
      <w:pPr>
        <w:pBdr>
          <w:top w:val="nil"/>
          <w:left w:val="nil"/>
          <w:bottom w:val="nil"/>
          <w:right w:val="nil"/>
          <w:between w:val="nil"/>
        </w:pBdr>
        <w:spacing w:line="360" w:lineRule="auto"/>
        <w:jc w:val="both"/>
        <w:rPr>
          <w:rFonts w:ascii="Arial" w:eastAsia="Arial" w:hAnsi="Arial" w:cs="Arial"/>
          <w:sz w:val="24"/>
          <w:szCs w:val="24"/>
        </w:rPr>
      </w:pPr>
      <w:bookmarkStart w:id="5" w:name="_heading=h.3znysh7" w:colFirst="0" w:colLast="0"/>
      <w:bookmarkEnd w:id="5"/>
      <w:r>
        <w:rPr>
          <w:rFonts w:ascii="Arial" w:eastAsia="Arial" w:hAnsi="Arial" w:cs="Arial"/>
          <w:sz w:val="24"/>
          <w:szCs w:val="24"/>
        </w:rPr>
        <w:t xml:space="preserve">Sin embargo, </w:t>
      </w:r>
      <w:r>
        <w:rPr>
          <w:rFonts w:ascii="Arial" w:eastAsia="Arial" w:hAnsi="Arial" w:cs="Arial"/>
          <w:b/>
          <w:sz w:val="24"/>
          <w:szCs w:val="24"/>
        </w:rPr>
        <w:t xml:space="preserve">se tiene por acreditado </w:t>
      </w:r>
      <w:r w:rsidR="00B21B7C">
        <w:rPr>
          <w:rFonts w:ascii="Arial" w:eastAsia="Arial" w:hAnsi="Arial" w:cs="Arial"/>
          <w:b/>
          <w:sz w:val="24"/>
          <w:szCs w:val="24"/>
        </w:rPr>
        <w:t xml:space="preserve">tal </w:t>
      </w:r>
      <w:r>
        <w:rPr>
          <w:rFonts w:ascii="Arial" w:eastAsia="Arial" w:hAnsi="Arial" w:cs="Arial"/>
          <w:b/>
          <w:sz w:val="24"/>
          <w:szCs w:val="24"/>
        </w:rPr>
        <w:t>elemento en lo que respecta al PAN</w:t>
      </w:r>
      <w:r>
        <w:rPr>
          <w:rFonts w:ascii="Arial" w:eastAsia="Arial" w:hAnsi="Arial" w:cs="Arial"/>
          <w:sz w:val="24"/>
          <w:szCs w:val="24"/>
        </w:rPr>
        <w:t>, dado que su colocación se atribuye a dicho instituto, se visualiza su emblema en el contenido de los espectaculares, en estos se incluyen diversas frases que lo involucran y, además, la identificación de que los mensajes van dirigidos a su militancia</w:t>
      </w:r>
      <w:r w:rsidR="00B21B7C">
        <w:rPr>
          <w:rFonts w:ascii="Arial" w:eastAsia="Arial" w:hAnsi="Arial" w:cs="Arial"/>
          <w:sz w:val="24"/>
          <w:szCs w:val="24"/>
        </w:rPr>
        <w:t xml:space="preserve">, tomando cuenta que </w:t>
      </w:r>
      <w:r>
        <w:rPr>
          <w:rFonts w:ascii="Arial" w:eastAsia="Arial" w:hAnsi="Arial" w:cs="Arial"/>
          <w:sz w:val="24"/>
          <w:szCs w:val="24"/>
        </w:rPr>
        <w:t>la normativa electoral reconoce a los partidos políticos como posibles sujetos infractores por la comisión de actos anticipados de campaña, ya que les reconoce la posibilidad de realizar actos de precampaña y campaña.</w:t>
      </w:r>
      <w:r>
        <w:rPr>
          <w:rFonts w:ascii="Arial" w:eastAsia="Arial" w:hAnsi="Arial" w:cs="Arial"/>
          <w:sz w:val="24"/>
          <w:szCs w:val="24"/>
          <w:vertAlign w:val="superscript"/>
        </w:rPr>
        <w:footnoteReference w:id="18"/>
      </w:r>
    </w:p>
    <w:p w14:paraId="7FB78AAE" w14:textId="77777777" w:rsidR="00104FC3" w:rsidRDefault="00104FC3">
      <w:pPr>
        <w:pBdr>
          <w:top w:val="nil"/>
          <w:left w:val="nil"/>
          <w:bottom w:val="nil"/>
          <w:right w:val="nil"/>
          <w:between w:val="nil"/>
        </w:pBdr>
        <w:rPr>
          <w:color w:val="000000"/>
        </w:rPr>
      </w:pPr>
    </w:p>
    <w:p w14:paraId="3F5032B7"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No obstante, en cuanto al </w:t>
      </w:r>
      <w:r>
        <w:rPr>
          <w:rFonts w:ascii="Arial" w:eastAsia="Arial" w:hAnsi="Arial" w:cs="Arial"/>
          <w:b/>
          <w:sz w:val="24"/>
          <w:szCs w:val="24"/>
        </w:rPr>
        <w:t>elemento subjetivo</w:t>
      </w:r>
      <w:r>
        <w:rPr>
          <w:rFonts w:ascii="Arial" w:eastAsia="Arial" w:hAnsi="Arial" w:cs="Arial"/>
          <w:sz w:val="24"/>
          <w:szCs w:val="24"/>
        </w:rPr>
        <w:t xml:space="preserve">, este Tribunal Electoral estima </w:t>
      </w:r>
      <w:proofErr w:type="gramStart"/>
      <w:r>
        <w:rPr>
          <w:rFonts w:ascii="Arial" w:eastAsia="Arial" w:hAnsi="Arial" w:cs="Arial"/>
          <w:sz w:val="24"/>
          <w:szCs w:val="24"/>
        </w:rPr>
        <w:t>que</w:t>
      </w:r>
      <w:proofErr w:type="gramEnd"/>
      <w:r>
        <w:rPr>
          <w:rFonts w:ascii="Arial" w:eastAsia="Arial" w:hAnsi="Arial" w:cs="Arial"/>
          <w:sz w:val="24"/>
          <w:szCs w:val="24"/>
        </w:rPr>
        <w:t xml:space="preserve"> del análisis del contenido de la propaganda cuestionada, en principio, tales mensajes </w:t>
      </w:r>
      <w:r>
        <w:rPr>
          <w:rFonts w:ascii="Arial" w:eastAsia="Arial" w:hAnsi="Arial" w:cs="Arial"/>
          <w:b/>
          <w:sz w:val="24"/>
          <w:szCs w:val="24"/>
        </w:rPr>
        <w:t>no contienen manifestaciones explícitas o inequívocas de apoyo</w:t>
      </w:r>
      <w:r>
        <w:rPr>
          <w:rFonts w:ascii="Arial" w:eastAsia="Arial" w:hAnsi="Arial" w:cs="Arial"/>
          <w:sz w:val="24"/>
          <w:szCs w:val="24"/>
        </w:rPr>
        <w:t xml:space="preserve"> o rechazo hacia alguna opción política, ya que no realiza un llamamiento a votar a favor o en contra de alguna precandidatura o bien, de un partido político. </w:t>
      </w:r>
    </w:p>
    <w:p w14:paraId="02B679EA" w14:textId="77777777" w:rsidR="00104FC3" w:rsidRDefault="00104FC3">
      <w:pPr>
        <w:pBdr>
          <w:top w:val="nil"/>
          <w:left w:val="nil"/>
          <w:bottom w:val="nil"/>
          <w:right w:val="nil"/>
          <w:between w:val="nil"/>
        </w:pBdr>
        <w:rPr>
          <w:color w:val="000000"/>
        </w:rPr>
      </w:pPr>
    </w:p>
    <w:p w14:paraId="2D6FBAE9"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Lo anterior, </w:t>
      </w:r>
      <w:proofErr w:type="gramStart"/>
      <w:r>
        <w:rPr>
          <w:rFonts w:ascii="Arial" w:eastAsia="Arial" w:hAnsi="Arial" w:cs="Arial"/>
          <w:sz w:val="24"/>
          <w:szCs w:val="24"/>
        </w:rPr>
        <w:t>ya que</w:t>
      </w:r>
      <w:proofErr w:type="gramEnd"/>
      <w:r>
        <w:rPr>
          <w:rFonts w:ascii="Arial" w:eastAsia="Arial" w:hAnsi="Arial" w:cs="Arial"/>
          <w:sz w:val="24"/>
          <w:szCs w:val="24"/>
        </w:rPr>
        <w:t xml:space="preserve"> de un análisis contextual de tales espectaculares, se observa que contienen las características siguientes: </w:t>
      </w:r>
      <w:r>
        <w:rPr>
          <w:rFonts w:ascii="Arial" w:eastAsia="Arial" w:hAnsi="Arial" w:cs="Arial"/>
          <w:b/>
          <w:i/>
          <w:sz w:val="24"/>
          <w:szCs w:val="24"/>
        </w:rPr>
        <w:t>i)</w:t>
      </w:r>
      <w:r>
        <w:rPr>
          <w:rFonts w:ascii="Arial" w:eastAsia="Arial" w:hAnsi="Arial" w:cs="Arial"/>
          <w:sz w:val="24"/>
          <w:szCs w:val="24"/>
        </w:rPr>
        <w:t xml:space="preserve"> el emblema del PAN,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la precisión </w:t>
      </w:r>
      <w:r>
        <w:rPr>
          <w:rFonts w:ascii="Arial" w:eastAsia="Arial" w:hAnsi="Arial" w:cs="Arial"/>
          <w:sz w:val="24"/>
          <w:szCs w:val="24"/>
        </w:rPr>
        <w:lastRenderedPageBreak/>
        <w:t xml:space="preserve">de que los mensajes van dirigidos a miembros de dicho partido,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las frases siguientes: </w:t>
      </w:r>
      <w:r>
        <w:rPr>
          <w:rFonts w:ascii="Arial" w:eastAsia="Arial" w:hAnsi="Arial" w:cs="Arial"/>
          <w:i/>
          <w:sz w:val="22"/>
          <w:szCs w:val="22"/>
        </w:rPr>
        <w:t>“[La que nos une], [La que nos impulsa], [La que nos motiva]… ¡Es la fuerza del PAN Aguascalientes!”</w:t>
      </w:r>
      <w:r>
        <w:rPr>
          <w:rFonts w:ascii="Arial" w:eastAsia="Arial" w:hAnsi="Arial" w:cs="Arial"/>
          <w:i/>
          <w:sz w:val="24"/>
          <w:szCs w:val="24"/>
        </w:rPr>
        <w:t xml:space="preserve"> </w:t>
      </w:r>
      <w:r>
        <w:rPr>
          <w:rFonts w:ascii="Arial" w:eastAsia="Arial" w:hAnsi="Arial" w:cs="Arial"/>
          <w:sz w:val="24"/>
          <w:szCs w:val="24"/>
        </w:rPr>
        <w:t>y</w:t>
      </w:r>
      <w:r>
        <w:rPr>
          <w:rFonts w:ascii="Arial" w:eastAsia="Arial" w:hAnsi="Arial" w:cs="Arial"/>
          <w:i/>
          <w:sz w:val="24"/>
          <w:szCs w:val="24"/>
        </w:rPr>
        <w:t xml:space="preserve"> </w:t>
      </w:r>
      <w:r>
        <w:rPr>
          <w:rFonts w:ascii="Arial" w:eastAsia="Arial" w:hAnsi="Arial" w:cs="Arial"/>
          <w:i/>
          <w:sz w:val="22"/>
          <w:szCs w:val="22"/>
        </w:rPr>
        <w:t>“¡La fuerza del PAN Aguascalientes!”</w:t>
      </w:r>
      <w:r>
        <w:rPr>
          <w:rFonts w:ascii="Arial" w:eastAsia="Arial" w:hAnsi="Arial" w:cs="Arial"/>
          <w:i/>
          <w:sz w:val="24"/>
          <w:szCs w:val="24"/>
        </w:rPr>
        <w:t>,</w:t>
      </w:r>
      <w:r>
        <w:rPr>
          <w:rFonts w:ascii="Arial" w:eastAsia="Arial" w:hAnsi="Arial" w:cs="Arial"/>
          <w:sz w:val="24"/>
          <w:szCs w:val="24"/>
        </w:rPr>
        <w:t xml:space="preserve"> y, </w:t>
      </w:r>
      <w:r>
        <w:rPr>
          <w:rFonts w:ascii="Arial" w:eastAsia="Arial" w:hAnsi="Arial" w:cs="Arial"/>
          <w:b/>
          <w:i/>
          <w:sz w:val="24"/>
          <w:szCs w:val="24"/>
        </w:rPr>
        <w:t>iv)</w:t>
      </w:r>
      <w:r>
        <w:rPr>
          <w:rFonts w:ascii="Arial" w:eastAsia="Arial" w:hAnsi="Arial" w:cs="Arial"/>
          <w:sz w:val="24"/>
          <w:szCs w:val="24"/>
        </w:rPr>
        <w:t xml:space="preserve"> se colocaron en distintas avenidas del Estado. </w:t>
      </w:r>
    </w:p>
    <w:p w14:paraId="32623944" w14:textId="6D6FA67C" w:rsidR="00104FC3" w:rsidRDefault="00104FC3">
      <w:pPr>
        <w:pBdr>
          <w:top w:val="nil"/>
          <w:left w:val="nil"/>
          <w:bottom w:val="nil"/>
          <w:right w:val="nil"/>
          <w:between w:val="nil"/>
        </w:pBdr>
        <w:rPr>
          <w:color w:val="000000"/>
        </w:rPr>
      </w:pPr>
    </w:p>
    <w:p w14:paraId="6F52C234" w14:textId="77777777" w:rsidR="004F6579" w:rsidRDefault="004F6579">
      <w:pPr>
        <w:pBdr>
          <w:top w:val="nil"/>
          <w:left w:val="nil"/>
          <w:bottom w:val="nil"/>
          <w:right w:val="nil"/>
          <w:between w:val="nil"/>
        </w:pBdr>
        <w:rPr>
          <w:color w:val="000000"/>
        </w:rPr>
      </w:pPr>
    </w:p>
    <w:p w14:paraId="7D3BAE28"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Así, tanto de la valoración integral, contextual y gramatical de tales elementos, este órgano jurisdiccional considera que: </w:t>
      </w:r>
      <w:r>
        <w:rPr>
          <w:rFonts w:ascii="Arial" w:eastAsia="Arial" w:hAnsi="Arial" w:cs="Arial"/>
          <w:b/>
          <w:i/>
          <w:sz w:val="24"/>
          <w:szCs w:val="24"/>
        </w:rPr>
        <w:t xml:space="preserve">i) </w:t>
      </w:r>
      <w:r>
        <w:rPr>
          <w:rFonts w:ascii="Arial" w:eastAsia="Arial" w:hAnsi="Arial" w:cs="Arial"/>
          <w:b/>
          <w:sz w:val="24"/>
          <w:szCs w:val="24"/>
        </w:rPr>
        <w:t>no es posible demostrar que se llamó a votar a favor del PAN o de la precandidata postulada</w:t>
      </w:r>
      <w:r>
        <w:rPr>
          <w:rFonts w:ascii="Arial" w:eastAsia="Arial" w:hAnsi="Arial" w:cs="Arial"/>
          <w:sz w:val="24"/>
          <w:szCs w:val="24"/>
        </w:rPr>
        <w:t>,</w:t>
      </w:r>
      <w:r>
        <w:rPr>
          <w:rFonts w:ascii="Arial" w:eastAsia="Arial" w:hAnsi="Arial" w:cs="Arial"/>
          <w:b/>
          <w:i/>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no se publicitó una plataforma electoral en específico ni,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se tuvo la intención de posicionar a alguna persona con el fin de obtener una candidatura. </w:t>
      </w:r>
    </w:p>
    <w:p w14:paraId="7595272B" w14:textId="77777777" w:rsidR="00104FC3" w:rsidRDefault="00104FC3">
      <w:pPr>
        <w:pBdr>
          <w:top w:val="nil"/>
          <w:left w:val="nil"/>
          <w:bottom w:val="nil"/>
          <w:right w:val="nil"/>
          <w:between w:val="nil"/>
        </w:pBdr>
        <w:jc w:val="both"/>
        <w:rPr>
          <w:rFonts w:ascii="Arial" w:eastAsia="Arial" w:hAnsi="Arial" w:cs="Arial"/>
          <w:sz w:val="24"/>
          <w:szCs w:val="24"/>
        </w:rPr>
      </w:pPr>
    </w:p>
    <w:p w14:paraId="760C9986" w14:textId="7BAC16BD"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Esto, derivado de que no existen menciones o símbolos que de manera clara permitan concluir que tuvieron una finalidad eminentemente electoral, ni se logra demostrar que tienen como objetivo presentar o posicionar una candidatura o una opción electoral de manera anticipada, ello</w:t>
      </w:r>
      <w:r w:rsidR="00B21B7C">
        <w:rPr>
          <w:rFonts w:ascii="Arial" w:eastAsia="Arial" w:hAnsi="Arial" w:cs="Arial"/>
          <w:sz w:val="24"/>
          <w:szCs w:val="24"/>
        </w:rPr>
        <w:t xml:space="preserve">, </w:t>
      </w:r>
      <w:r>
        <w:rPr>
          <w:rFonts w:ascii="Arial" w:eastAsia="Arial" w:hAnsi="Arial" w:cs="Arial"/>
          <w:sz w:val="24"/>
          <w:szCs w:val="24"/>
        </w:rPr>
        <w:t xml:space="preserve">ya que no se </w:t>
      </w:r>
      <w:r w:rsidR="00B21B7C">
        <w:rPr>
          <w:rFonts w:ascii="Arial" w:eastAsia="Arial" w:hAnsi="Arial" w:cs="Arial"/>
          <w:sz w:val="24"/>
          <w:szCs w:val="24"/>
        </w:rPr>
        <w:t>insinúa</w:t>
      </w:r>
      <w:r>
        <w:rPr>
          <w:rFonts w:ascii="Arial" w:eastAsia="Arial" w:hAnsi="Arial" w:cs="Arial"/>
          <w:sz w:val="24"/>
          <w:szCs w:val="24"/>
        </w:rPr>
        <w:t xml:space="preserve"> a algún cargo de elección popular que pudiese ser postulada por tal partido.</w:t>
      </w:r>
    </w:p>
    <w:p w14:paraId="5C6AA217" w14:textId="77777777" w:rsidR="00104FC3" w:rsidRDefault="00104FC3"/>
    <w:p w14:paraId="01D9224D" w14:textId="4769F85D"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De ahí que sea posible concluir que las frases cuestionadas </w:t>
      </w:r>
      <w:r>
        <w:rPr>
          <w:rFonts w:ascii="Arial" w:eastAsia="Arial" w:hAnsi="Arial" w:cs="Arial"/>
          <w:b/>
          <w:sz w:val="24"/>
          <w:szCs w:val="24"/>
        </w:rPr>
        <w:t>tienen una naturaleza genérica</w:t>
      </w:r>
      <w:r>
        <w:rPr>
          <w:rFonts w:ascii="Arial" w:eastAsia="Arial" w:hAnsi="Arial" w:cs="Arial"/>
          <w:sz w:val="24"/>
          <w:szCs w:val="24"/>
        </w:rPr>
        <w:t xml:space="preserve"> que se encuentra dentro de los parámetros permitidos durante la etapa de precampañas en favor de los institutos políticos</w:t>
      </w:r>
      <w:r w:rsidR="00B21B7C">
        <w:rPr>
          <w:rFonts w:ascii="Arial" w:eastAsia="Arial" w:hAnsi="Arial" w:cs="Arial"/>
          <w:sz w:val="24"/>
          <w:szCs w:val="24"/>
        </w:rPr>
        <w:t xml:space="preserve">, ejercicio que también se encuentra protegido </w:t>
      </w:r>
      <w:r>
        <w:rPr>
          <w:rFonts w:ascii="Arial" w:eastAsia="Arial" w:hAnsi="Arial" w:cs="Arial"/>
          <w:sz w:val="24"/>
          <w:szCs w:val="24"/>
        </w:rPr>
        <w:t xml:space="preserve">por el derecho de libertad de expresión. </w:t>
      </w:r>
    </w:p>
    <w:p w14:paraId="0205A491" w14:textId="77777777" w:rsidR="00104FC3" w:rsidRDefault="00104FC3">
      <w:pPr>
        <w:pBdr>
          <w:top w:val="nil"/>
          <w:left w:val="nil"/>
          <w:bottom w:val="nil"/>
          <w:right w:val="nil"/>
          <w:between w:val="nil"/>
        </w:pBdr>
        <w:rPr>
          <w:color w:val="000000"/>
        </w:rPr>
      </w:pPr>
    </w:p>
    <w:p w14:paraId="2D86F1D2"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Asimismo, esta autoridad jurisdiccional estima que </w:t>
      </w:r>
      <w:r>
        <w:rPr>
          <w:rFonts w:ascii="Arial" w:eastAsia="Arial" w:hAnsi="Arial" w:cs="Arial"/>
          <w:b/>
          <w:sz w:val="24"/>
          <w:szCs w:val="24"/>
        </w:rPr>
        <w:t>tampoco le asiste la razón</w:t>
      </w:r>
      <w:r>
        <w:rPr>
          <w:rFonts w:ascii="Arial" w:eastAsia="Arial" w:hAnsi="Arial" w:cs="Arial"/>
          <w:sz w:val="24"/>
          <w:szCs w:val="24"/>
        </w:rPr>
        <w:t xml:space="preserve"> a la parte denunciante en cuanto a que las frases contenidas en los espectaculares denunciados, </w:t>
      </w:r>
      <w:r>
        <w:rPr>
          <w:rFonts w:ascii="Arial" w:eastAsia="Arial" w:hAnsi="Arial" w:cs="Arial"/>
          <w:b/>
          <w:sz w:val="24"/>
          <w:szCs w:val="24"/>
        </w:rPr>
        <w:t>acreditan un equivalente funcional</w:t>
      </w:r>
      <w:r>
        <w:rPr>
          <w:rFonts w:ascii="Arial" w:eastAsia="Arial" w:hAnsi="Arial" w:cs="Arial"/>
          <w:sz w:val="24"/>
          <w:szCs w:val="24"/>
        </w:rPr>
        <w:t xml:space="preserve"> de la frase </w:t>
      </w:r>
      <w:r>
        <w:rPr>
          <w:rFonts w:ascii="Arial" w:eastAsia="Arial" w:hAnsi="Arial" w:cs="Arial"/>
          <w:i/>
          <w:sz w:val="24"/>
          <w:szCs w:val="24"/>
        </w:rPr>
        <w:t>“vota por mí”</w:t>
      </w:r>
      <w:r>
        <w:rPr>
          <w:rFonts w:ascii="Arial" w:eastAsia="Arial" w:hAnsi="Arial" w:cs="Arial"/>
          <w:sz w:val="24"/>
          <w:szCs w:val="24"/>
        </w:rPr>
        <w:t xml:space="preserve"> a partir de que se buscó posicionar de manera anticipada tanto a la precandidata como a dicho instituto político.</w:t>
      </w:r>
    </w:p>
    <w:p w14:paraId="2CF7D708" w14:textId="77777777" w:rsidR="00104FC3" w:rsidRDefault="00104FC3">
      <w:pPr>
        <w:pBdr>
          <w:top w:val="nil"/>
          <w:left w:val="nil"/>
          <w:bottom w:val="nil"/>
          <w:right w:val="nil"/>
          <w:between w:val="nil"/>
        </w:pBdr>
        <w:rPr>
          <w:color w:val="000000"/>
        </w:rPr>
      </w:pPr>
    </w:p>
    <w:p w14:paraId="3B01269F"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Ello, porque, en primer lugar, en el contenido de la propaganda cuestionada no se identifica la imagen, nombre o cargo de la precandidata denunciada y, por tanto, no se le puede atribuir algún beneficio directo o indirecto, ya que no se identifica alguna precandidatura en particular y, en segundo lugar, en cuanto al partido político, como se adelantó, las frases y elementos cuestionados forman parte de una estrategia política permitida en el periodo de precampañas.</w:t>
      </w:r>
    </w:p>
    <w:p w14:paraId="36337E00" w14:textId="77777777" w:rsidR="00104FC3" w:rsidRDefault="00104FC3">
      <w:pPr>
        <w:pBdr>
          <w:top w:val="nil"/>
          <w:left w:val="nil"/>
          <w:bottom w:val="nil"/>
          <w:right w:val="nil"/>
          <w:between w:val="nil"/>
        </w:pBdr>
        <w:jc w:val="both"/>
        <w:rPr>
          <w:rFonts w:ascii="Arial" w:eastAsia="Arial" w:hAnsi="Arial" w:cs="Arial"/>
          <w:sz w:val="24"/>
          <w:szCs w:val="24"/>
        </w:rPr>
      </w:pPr>
    </w:p>
    <w:p w14:paraId="7075907A" w14:textId="361D1195"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Lo anterior es así, ya que, del estudio contextual de las expresiones que se cuestionan </w:t>
      </w:r>
      <w:r>
        <w:rPr>
          <w:rFonts w:ascii="Arial" w:eastAsia="Arial" w:hAnsi="Arial" w:cs="Arial"/>
          <w:b/>
          <w:sz w:val="24"/>
          <w:szCs w:val="24"/>
        </w:rPr>
        <w:t>no permiten concluir que se traducen expresa e inequívocamente en una solicitud de apoyo</w:t>
      </w:r>
      <w:r>
        <w:rPr>
          <w:rFonts w:ascii="Arial" w:eastAsia="Arial" w:hAnsi="Arial" w:cs="Arial"/>
          <w:sz w:val="24"/>
          <w:szCs w:val="24"/>
        </w:rPr>
        <w:t xml:space="preserve"> ni tampoco que pretendían una finalidad electoral, pues como se explicó, tales expresiones tienen un carácter genérico que contienen adjetivos encaminados a demostrar un respaldo político interno, de ahí que se </w:t>
      </w:r>
      <w:r>
        <w:rPr>
          <w:rFonts w:ascii="Arial" w:eastAsia="Arial" w:hAnsi="Arial" w:cs="Arial"/>
          <w:sz w:val="24"/>
          <w:szCs w:val="24"/>
        </w:rPr>
        <w:lastRenderedPageBreak/>
        <w:t xml:space="preserve">encuentren circunscritos al ámbito interno del partido, lo que se refuerza con la cintilla que incluyen. </w:t>
      </w:r>
    </w:p>
    <w:p w14:paraId="1438502E" w14:textId="54F1391A" w:rsidR="00640F6D" w:rsidRDefault="00640F6D">
      <w:pPr>
        <w:pBdr>
          <w:top w:val="nil"/>
          <w:left w:val="nil"/>
          <w:bottom w:val="nil"/>
          <w:right w:val="nil"/>
          <w:between w:val="nil"/>
        </w:pBdr>
        <w:spacing w:line="360" w:lineRule="auto"/>
        <w:jc w:val="both"/>
        <w:rPr>
          <w:rFonts w:ascii="Arial" w:eastAsia="Arial" w:hAnsi="Arial" w:cs="Arial"/>
          <w:sz w:val="24"/>
          <w:szCs w:val="24"/>
        </w:rPr>
      </w:pPr>
    </w:p>
    <w:p w14:paraId="45289028" w14:textId="77777777" w:rsidR="004F6579" w:rsidRDefault="004F6579">
      <w:pPr>
        <w:pBdr>
          <w:top w:val="nil"/>
          <w:left w:val="nil"/>
          <w:bottom w:val="nil"/>
          <w:right w:val="nil"/>
          <w:between w:val="nil"/>
        </w:pBdr>
        <w:spacing w:line="360" w:lineRule="auto"/>
        <w:jc w:val="both"/>
        <w:rPr>
          <w:rFonts w:ascii="Arial" w:eastAsia="Arial" w:hAnsi="Arial" w:cs="Arial"/>
          <w:sz w:val="24"/>
          <w:szCs w:val="24"/>
        </w:rPr>
      </w:pPr>
    </w:p>
    <w:p w14:paraId="69348749" w14:textId="39B3C69F" w:rsidR="00104FC3" w:rsidRDefault="00676B59">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Al respecto, este Tribunal Electoral sostiene que el hecho de que </w:t>
      </w:r>
      <w:r w:rsidR="00BA48A8">
        <w:rPr>
          <w:rFonts w:ascii="Arial" w:eastAsia="Arial" w:hAnsi="Arial" w:cs="Arial"/>
          <w:sz w:val="24"/>
          <w:szCs w:val="24"/>
        </w:rPr>
        <w:t>no exist</w:t>
      </w:r>
      <w:r>
        <w:rPr>
          <w:rFonts w:ascii="Arial" w:eastAsia="Arial" w:hAnsi="Arial" w:cs="Arial"/>
          <w:sz w:val="24"/>
          <w:szCs w:val="24"/>
        </w:rPr>
        <w:t>a</w:t>
      </w:r>
      <w:r w:rsidR="00BA48A8">
        <w:rPr>
          <w:rFonts w:ascii="Arial" w:eastAsia="Arial" w:hAnsi="Arial" w:cs="Arial"/>
          <w:sz w:val="24"/>
          <w:szCs w:val="24"/>
        </w:rPr>
        <w:t xml:space="preserve"> una incidencia externa en la contienda del proceso electoral en curso, se demuestra a partir de que en tales espectaculares no existen elementos, mensajes o expresiones, dirigidas a cuestionar a algún otro instituto u opción política.</w:t>
      </w:r>
    </w:p>
    <w:p w14:paraId="1F36FC2C" w14:textId="77777777" w:rsidR="00104FC3" w:rsidRDefault="00104FC3">
      <w:pPr>
        <w:pBdr>
          <w:top w:val="nil"/>
          <w:left w:val="nil"/>
          <w:bottom w:val="nil"/>
          <w:right w:val="nil"/>
          <w:between w:val="nil"/>
        </w:pBdr>
        <w:jc w:val="both"/>
        <w:rPr>
          <w:rFonts w:ascii="Arial" w:eastAsia="Arial" w:hAnsi="Arial" w:cs="Arial"/>
          <w:sz w:val="24"/>
          <w:szCs w:val="24"/>
        </w:rPr>
      </w:pPr>
    </w:p>
    <w:p w14:paraId="1B74F91B"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otro lado, la parte quejosa realiza planteamientos encaminados a cuestionar que tales espectaculares incumplen las reglas de la propaganda de precampaña, dado que no incluyen la calidad de la precandidatura que se promueve, sin embargo, esta autoridad estima que el denunciante parte de una premisa incorrecta al considerar que estos se trataron de propaganda electoral de precampaña destinada a promover una candidatura. </w:t>
      </w:r>
    </w:p>
    <w:p w14:paraId="71854178" w14:textId="77777777" w:rsidR="00104FC3" w:rsidRDefault="00104FC3">
      <w:pPr>
        <w:pBdr>
          <w:top w:val="nil"/>
          <w:left w:val="nil"/>
          <w:bottom w:val="nil"/>
          <w:right w:val="nil"/>
          <w:between w:val="nil"/>
        </w:pBdr>
        <w:jc w:val="both"/>
        <w:rPr>
          <w:rFonts w:ascii="Arial" w:eastAsia="Arial" w:hAnsi="Arial" w:cs="Arial"/>
          <w:sz w:val="24"/>
          <w:szCs w:val="24"/>
        </w:rPr>
      </w:pPr>
    </w:p>
    <w:p w14:paraId="202D8F6F"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Ello, porque tal y como lo dispone la LEGIPE</w:t>
      </w:r>
      <w:r>
        <w:rPr>
          <w:rFonts w:ascii="Arial" w:eastAsia="Arial" w:hAnsi="Arial" w:cs="Arial"/>
          <w:sz w:val="24"/>
          <w:szCs w:val="24"/>
          <w:vertAlign w:val="superscript"/>
        </w:rPr>
        <w:footnoteReference w:id="19"/>
      </w:r>
      <w:r>
        <w:rPr>
          <w:rFonts w:ascii="Arial" w:eastAsia="Arial" w:hAnsi="Arial" w:cs="Arial"/>
          <w:sz w:val="24"/>
          <w:szCs w:val="24"/>
        </w:rPr>
        <w:t>, bajo el amparo del derecho a la libertad de expresión, tutelado por el artículo 6° de la Constitución Federal, los partidos políticos tienen la permisión de realizar propaganda política en el curso de las precampañas, con la única limitación de que tales expresiones no calumnien, discriminen o constituyan actos de violencia política de género.</w:t>
      </w:r>
    </w:p>
    <w:p w14:paraId="0EE44C1A" w14:textId="77777777" w:rsidR="00104FC3" w:rsidRDefault="00104FC3">
      <w:pPr>
        <w:pBdr>
          <w:top w:val="nil"/>
          <w:left w:val="nil"/>
          <w:bottom w:val="nil"/>
          <w:right w:val="nil"/>
          <w:between w:val="nil"/>
        </w:pBdr>
        <w:jc w:val="both"/>
        <w:rPr>
          <w:rFonts w:ascii="Arial" w:eastAsia="Arial" w:hAnsi="Arial" w:cs="Arial"/>
          <w:sz w:val="24"/>
          <w:szCs w:val="24"/>
        </w:rPr>
      </w:pPr>
    </w:p>
    <w:p w14:paraId="67482C74" w14:textId="77777777" w:rsidR="00104FC3" w:rsidRDefault="00BA48A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Finalmente, para este órgano jurisdiccional no pasa inadvertido lo alegado por el partido denunciante en cuanto a que tal propaganda impresa generó un impacto sistemático e indebido hacia la ciudadanía, sin embargo, ello deviene irrelevante, dado que, como se desarrolló en párrafos anteriores, no fue posible acreditar el elemento subjetivo, es decir, que se observara algún llamamiento a votar en favor de determinada opción política, algún posicionamiento, la publicitación de alguna plataforma electoral ni una frase funcionalmente equivalente. </w:t>
      </w:r>
    </w:p>
    <w:p w14:paraId="56DE4205" w14:textId="77777777" w:rsidR="00104FC3" w:rsidRDefault="00104FC3">
      <w:pPr>
        <w:pBdr>
          <w:top w:val="nil"/>
          <w:left w:val="nil"/>
          <w:bottom w:val="nil"/>
          <w:right w:val="nil"/>
          <w:between w:val="nil"/>
        </w:pBdr>
        <w:rPr>
          <w:color w:val="000000"/>
        </w:rPr>
      </w:pPr>
    </w:p>
    <w:p w14:paraId="27979887" w14:textId="77777777" w:rsidR="00104FC3" w:rsidRDefault="00BA48A8">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Vista a la Unidad Técnica de Fiscalización del INE</w:t>
      </w:r>
    </w:p>
    <w:p w14:paraId="7DC33D4B" w14:textId="77777777" w:rsidR="00104FC3" w:rsidRDefault="00104FC3">
      <w:pPr>
        <w:pBdr>
          <w:top w:val="nil"/>
          <w:left w:val="nil"/>
          <w:bottom w:val="nil"/>
          <w:right w:val="nil"/>
          <w:between w:val="nil"/>
        </w:pBdr>
        <w:rPr>
          <w:color w:val="000000"/>
        </w:rPr>
      </w:pPr>
    </w:p>
    <w:p w14:paraId="461366AC" w14:textId="77777777" w:rsidR="00104FC3" w:rsidRDefault="00BA48A8">
      <w:pPr>
        <w:spacing w:line="360" w:lineRule="auto"/>
        <w:jc w:val="both"/>
        <w:rPr>
          <w:rFonts w:ascii="Arial" w:eastAsia="Arial" w:hAnsi="Arial" w:cs="Arial"/>
          <w:sz w:val="24"/>
          <w:szCs w:val="24"/>
        </w:rPr>
      </w:pPr>
      <w:r>
        <w:rPr>
          <w:rFonts w:ascii="Arial" w:eastAsia="Arial" w:hAnsi="Arial" w:cs="Arial"/>
          <w:sz w:val="24"/>
          <w:szCs w:val="24"/>
        </w:rPr>
        <w:t xml:space="preserve">Del análisis del escrito de denuncia se advierte que el quejoso afirma que debe verificarse el reporte de los gastos que se generaron con motivo de los hechos que </w:t>
      </w:r>
      <w:r>
        <w:rPr>
          <w:rFonts w:ascii="Arial" w:eastAsia="Arial" w:hAnsi="Arial" w:cs="Arial"/>
          <w:sz w:val="24"/>
          <w:szCs w:val="24"/>
        </w:rPr>
        <w:lastRenderedPageBreak/>
        <w:t xml:space="preserve">fueron materia en el presente procedimiento -colocación de los espectaculares- y, por tanto, solicita que este Tribunal Electoral de vista a la Unidad Técnica de Fiscalización del INE. </w:t>
      </w:r>
    </w:p>
    <w:p w14:paraId="7156BB35" w14:textId="77777777" w:rsidR="00104FC3" w:rsidRDefault="00104FC3">
      <w:pPr>
        <w:pBdr>
          <w:top w:val="nil"/>
          <w:left w:val="nil"/>
          <w:bottom w:val="nil"/>
          <w:right w:val="nil"/>
          <w:between w:val="nil"/>
        </w:pBdr>
        <w:rPr>
          <w:color w:val="000000"/>
        </w:rPr>
      </w:pPr>
    </w:p>
    <w:p w14:paraId="2758E195" w14:textId="77777777" w:rsidR="00104FC3" w:rsidRDefault="00BA48A8">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Al respecto, esta autoridad estima que es improcedente tal petición, ya que la que la competencia de esta autoridad se circunscribe en actualizar o no la infracción en cuestión. Por tanto, se dejan a salvo de la parte denunciante para que presente la denuncia ante la autoridad y por la vía que considere competente.</w:t>
      </w:r>
      <w:r>
        <w:rPr>
          <w:rFonts w:ascii="Arial" w:eastAsia="Arial" w:hAnsi="Arial" w:cs="Arial"/>
          <w:sz w:val="24"/>
          <w:szCs w:val="24"/>
          <w:vertAlign w:val="superscript"/>
        </w:rPr>
        <w:footnoteReference w:id="20"/>
      </w:r>
    </w:p>
    <w:p w14:paraId="17D2D863" w14:textId="77777777" w:rsidR="00104FC3" w:rsidRDefault="00104FC3">
      <w:pPr>
        <w:pBdr>
          <w:top w:val="nil"/>
          <w:left w:val="nil"/>
          <w:bottom w:val="nil"/>
          <w:right w:val="nil"/>
          <w:between w:val="nil"/>
        </w:pBdr>
        <w:rPr>
          <w:color w:val="000000"/>
        </w:rPr>
      </w:pPr>
    </w:p>
    <w:p w14:paraId="0EC41DD7" w14:textId="77777777" w:rsidR="00104FC3" w:rsidRDefault="00BA48A8">
      <w:pPr>
        <w:spacing w:line="360" w:lineRule="auto"/>
        <w:jc w:val="both"/>
        <w:rPr>
          <w:rFonts w:ascii="Arial" w:eastAsia="Arial" w:hAnsi="Arial" w:cs="Arial"/>
          <w:b/>
          <w:color w:val="000000"/>
          <w:sz w:val="24"/>
          <w:szCs w:val="24"/>
        </w:rPr>
      </w:pPr>
      <w:r>
        <w:rPr>
          <w:rFonts w:ascii="Arial" w:eastAsia="Arial" w:hAnsi="Arial" w:cs="Arial"/>
          <w:b/>
          <w:sz w:val="24"/>
          <w:szCs w:val="24"/>
          <w:u w:val="single"/>
        </w:rPr>
        <w:t>3.1. Culpa in vigilando.</w:t>
      </w:r>
      <w:r>
        <w:rPr>
          <w:rFonts w:ascii="Arial" w:eastAsia="Arial" w:hAnsi="Arial" w:cs="Arial"/>
          <w:b/>
          <w:sz w:val="24"/>
          <w:szCs w:val="24"/>
        </w:rPr>
        <w:t xml:space="preserve"> </w:t>
      </w:r>
      <w:r>
        <w:rPr>
          <w:rFonts w:ascii="Arial" w:eastAsia="Arial" w:hAnsi="Arial" w:cs="Arial"/>
          <w:sz w:val="24"/>
          <w:szCs w:val="24"/>
        </w:rPr>
        <w:t xml:space="preserve">Este órgano jurisdiccional estima </w:t>
      </w:r>
      <w:proofErr w:type="gramStart"/>
      <w:r>
        <w:rPr>
          <w:rFonts w:ascii="Arial" w:eastAsia="Arial" w:hAnsi="Arial" w:cs="Arial"/>
          <w:sz w:val="24"/>
          <w:szCs w:val="24"/>
        </w:rPr>
        <w:t>que</w:t>
      </w:r>
      <w:proofErr w:type="gramEnd"/>
      <w:r>
        <w:rPr>
          <w:rFonts w:ascii="Arial" w:eastAsia="Arial" w:hAnsi="Arial" w:cs="Arial"/>
          <w:sz w:val="24"/>
          <w:szCs w:val="24"/>
        </w:rPr>
        <w:t xml:space="preserve"> dado que no se acreditó la infracción denunciada en contra de la precandidata a la gubernatura del estado, María Teresa Jiménez Esquivel, debe desestimarse la responsabilidad imputada al PAN.</w:t>
      </w:r>
    </w:p>
    <w:p w14:paraId="14B98CB6" w14:textId="77777777" w:rsidR="00104FC3" w:rsidRDefault="00BA48A8">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 Resolutivos</w:t>
      </w:r>
    </w:p>
    <w:p w14:paraId="2D57E029" w14:textId="77777777" w:rsidR="00104FC3" w:rsidRDefault="00104FC3">
      <w:pPr>
        <w:jc w:val="both"/>
        <w:rPr>
          <w:rFonts w:ascii="Arial" w:eastAsia="Arial" w:hAnsi="Arial" w:cs="Arial"/>
          <w:sz w:val="24"/>
          <w:szCs w:val="24"/>
        </w:rPr>
      </w:pPr>
    </w:p>
    <w:p w14:paraId="1F3F47A8" w14:textId="77777777" w:rsidR="00104FC3" w:rsidRDefault="00BA48A8">
      <w:pPr>
        <w:spacing w:line="360" w:lineRule="auto"/>
        <w:jc w:val="both"/>
        <w:rPr>
          <w:rFonts w:ascii="Arial" w:eastAsia="Arial" w:hAnsi="Arial" w:cs="Arial"/>
          <w:sz w:val="24"/>
          <w:szCs w:val="24"/>
        </w:rPr>
      </w:pPr>
      <w:r>
        <w:rPr>
          <w:rFonts w:ascii="Arial" w:eastAsia="Arial" w:hAnsi="Arial" w:cs="Arial"/>
          <w:b/>
          <w:sz w:val="24"/>
          <w:szCs w:val="24"/>
        </w:rPr>
        <w:t>Primero.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de la infracción atribuida a María Teresa Jiménez Esquivel y al PAN.</w:t>
      </w:r>
    </w:p>
    <w:p w14:paraId="59ACCBCD" w14:textId="77777777" w:rsidR="00104FC3" w:rsidRDefault="00104FC3">
      <w:pPr>
        <w:pBdr>
          <w:top w:val="nil"/>
          <w:left w:val="nil"/>
          <w:bottom w:val="nil"/>
          <w:right w:val="nil"/>
          <w:between w:val="nil"/>
        </w:pBdr>
        <w:rPr>
          <w:color w:val="000000"/>
          <w:sz w:val="24"/>
          <w:szCs w:val="24"/>
        </w:rPr>
      </w:pPr>
    </w:p>
    <w:p w14:paraId="55135428" w14:textId="77777777" w:rsidR="00104FC3" w:rsidRDefault="00BA48A8">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w:t>
      </w:r>
      <w:r>
        <w:rPr>
          <w:rFonts w:ascii="Arial" w:eastAsia="Arial" w:hAnsi="Arial" w:cs="Arial"/>
          <w:b/>
          <w:sz w:val="24"/>
          <w:szCs w:val="24"/>
        </w:rPr>
        <w:t xml:space="preserve"> 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PAN.</w:t>
      </w:r>
    </w:p>
    <w:p w14:paraId="619076D1" w14:textId="77777777" w:rsidR="00104FC3" w:rsidRDefault="00104FC3">
      <w:pPr>
        <w:pBdr>
          <w:top w:val="nil"/>
          <w:left w:val="nil"/>
          <w:bottom w:val="nil"/>
          <w:right w:val="nil"/>
          <w:between w:val="nil"/>
        </w:pBdr>
        <w:rPr>
          <w:color w:val="000000"/>
        </w:rPr>
      </w:pPr>
    </w:p>
    <w:p w14:paraId="7E2B2C87" w14:textId="77777777" w:rsidR="00104FC3" w:rsidRDefault="00BA48A8">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595839DE" w14:textId="77777777" w:rsidR="00104FC3" w:rsidRDefault="00104FC3">
      <w:pPr>
        <w:pBdr>
          <w:top w:val="nil"/>
          <w:left w:val="nil"/>
          <w:bottom w:val="nil"/>
          <w:right w:val="nil"/>
          <w:between w:val="nil"/>
        </w:pBdr>
        <w:rPr>
          <w:color w:val="000000"/>
          <w:sz w:val="24"/>
          <w:szCs w:val="24"/>
        </w:rPr>
      </w:pPr>
    </w:p>
    <w:p w14:paraId="28B0D92F" w14:textId="77777777" w:rsidR="00104FC3" w:rsidRDefault="00BA48A8">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2388AA41" w14:textId="77777777" w:rsidR="00104FC3" w:rsidRDefault="00104FC3">
      <w:pPr>
        <w:spacing w:line="360" w:lineRule="auto"/>
        <w:jc w:val="both"/>
        <w:rPr>
          <w:rFonts w:ascii="Arial" w:eastAsia="Arial" w:hAnsi="Arial" w:cs="Arial"/>
          <w:sz w:val="24"/>
          <w:szCs w:val="24"/>
        </w:rPr>
      </w:pPr>
    </w:p>
    <w:tbl>
      <w:tblPr>
        <w:tblStyle w:val="TableNormal5"/>
        <w:tblW w:w="8160" w:type="dxa"/>
        <w:tblInd w:w="0" w:type="dxa"/>
        <w:tblLayout w:type="fixed"/>
        <w:tblLook w:val="0400" w:firstRow="0" w:lastRow="0" w:firstColumn="0" w:lastColumn="0" w:noHBand="0" w:noVBand="1"/>
      </w:tblPr>
      <w:tblGrid>
        <w:gridCol w:w="4056"/>
        <w:gridCol w:w="4104"/>
      </w:tblGrid>
      <w:tr w:rsidR="00104FC3" w14:paraId="570A2B10" w14:textId="77777777" w:rsidTr="004F6579">
        <w:trPr>
          <w:trHeight w:val="1129"/>
        </w:trPr>
        <w:tc>
          <w:tcPr>
            <w:tcW w:w="8160" w:type="dxa"/>
            <w:gridSpan w:val="2"/>
          </w:tcPr>
          <w:p w14:paraId="4CF852B5" w14:textId="1A336618"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6D89D473" w14:textId="71043905" w:rsidR="00104FC3" w:rsidRDefault="00104FC3">
            <w:pPr>
              <w:pBdr>
                <w:top w:val="nil"/>
                <w:left w:val="nil"/>
                <w:bottom w:val="nil"/>
                <w:right w:val="nil"/>
                <w:between w:val="nil"/>
              </w:pBdr>
              <w:spacing w:line="360" w:lineRule="auto"/>
              <w:ind w:right="49"/>
              <w:rPr>
                <w:rFonts w:ascii="Arial" w:eastAsia="Arial" w:hAnsi="Arial" w:cs="Arial"/>
                <w:b/>
                <w:color w:val="000000"/>
                <w:sz w:val="24"/>
                <w:szCs w:val="24"/>
              </w:rPr>
            </w:pPr>
          </w:p>
          <w:p w14:paraId="5BA832CA" w14:textId="77777777"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CLAUDIA ELOISA DÍAZ DE LEÓN GONZÁLEZ </w:t>
            </w:r>
          </w:p>
          <w:p w14:paraId="5EB168B1" w14:textId="77777777" w:rsidR="00104FC3" w:rsidRDefault="00104FC3">
            <w:pPr>
              <w:pBdr>
                <w:top w:val="nil"/>
                <w:left w:val="nil"/>
                <w:bottom w:val="nil"/>
                <w:right w:val="nil"/>
                <w:between w:val="nil"/>
              </w:pBdr>
              <w:rPr>
                <w:color w:val="000000"/>
              </w:rPr>
            </w:pPr>
          </w:p>
        </w:tc>
      </w:tr>
      <w:tr w:rsidR="00104FC3" w14:paraId="0D6CFFA5" w14:textId="77777777" w:rsidTr="004F6579">
        <w:trPr>
          <w:trHeight w:val="2025"/>
        </w:trPr>
        <w:tc>
          <w:tcPr>
            <w:tcW w:w="4056" w:type="dxa"/>
          </w:tcPr>
          <w:p w14:paraId="3C22D9B5" w14:textId="42DA671D"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006C6E1" w14:textId="0AEA2192" w:rsidR="00104FC3" w:rsidRDefault="00104FC3">
            <w:pPr>
              <w:pBdr>
                <w:top w:val="nil"/>
                <w:left w:val="nil"/>
                <w:bottom w:val="nil"/>
                <w:right w:val="nil"/>
                <w:between w:val="nil"/>
              </w:pBdr>
              <w:rPr>
                <w:color w:val="000000"/>
                <w:sz w:val="16"/>
                <w:szCs w:val="16"/>
              </w:rPr>
            </w:pPr>
          </w:p>
          <w:p w14:paraId="3F085C36" w14:textId="77777777" w:rsidR="00104FC3" w:rsidRDefault="00104FC3">
            <w:pPr>
              <w:pBdr>
                <w:top w:val="nil"/>
                <w:left w:val="nil"/>
                <w:bottom w:val="nil"/>
                <w:right w:val="nil"/>
                <w:between w:val="nil"/>
              </w:pBdr>
              <w:rPr>
                <w:color w:val="000000"/>
              </w:rPr>
            </w:pPr>
          </w:p>
          <w:p w14:paraId="3EC65F7B" w14:textId="77777777"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5B49BFAF" w14:textId="77777777"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104" w:type="dxa"/>
          </w:tcPr>
          <w:p w14:paraId="374B79C9" w14:textId="31D4E907"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MAGISTRADO</w:t>
            </w:r>
          </w:p>
          <w:p w14:paraId="658BEC5C" w14:textId="2C90B63F" w:rsidR="00104FC3" w:rsidRDefault="00104FC3">
            <w:pPr>
              <w:pBdr>
                <w:top w:val="nil"/>
                <w:left w:val="nil"/>
                <w:bottom w:val="nil"/>
                <w:right w:val="nil"/>
                <w:between w:val="nil"/>
              </w:pBdr>
              <w:rPr>
                <w:color w:val="000000"/>
                <w:sz w:val="16"/>
                <w:szCs w:val="16"/>
              </w:rPr>
            </w:pPr>
          </w:p>
          <w:p w14:paraId="43F7652E" w14:textId="77777777" w:rsidR="00104FC3" w:rsidRDefault="00104FC3">
            <w:pPr>
              <w:pBdr>
                <w:top w:val="nil"/>
                <w:left w:val="nil"/>
                <w:bottom w:val="nil"/>
                <w:right w:val="nil"/>
                <w:between w:val="nil"/>
              </w:pBdr>
              <w:rPr>
                <w:color w:val="000000"/>
              </w:rPr>
            </w:pPr>
          </w:p>
          <w:p w14:paraId="04F174CD" w14:textId="77777777"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3E1A7CD8" w14:textId="77777777"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19342FEE" w14:textId="77777777" w:rsidR="00104FC3" w:rsidRDefault="00104FC3">
            <w:pPr>
              <w:pBdr>
                <w:top w:val="nil"/>
                <w:left w:val="nil"/>
                <w:bottom w:val="nil"/>
                <w:right w:val="nil"/>
                <w:between w:val="nil"/>
              </w:pBdr>
              <w:rPr>
                <w:color w:val="000000"/>
                <w:sz w:val="16"/>
                <w:szCs w:val="16"/>
              </w:rPr>
            </w:pPr>
          </w:p>
          <w:p w14:paraId="021F7F8D" w14:textId="77777777" w:rsidR="00104FC3" w:rsidRDefault="00104FC3">
            <w:pPr>
              <w:pBdr>
                <w:top w:val="nil"/>
                <w:left w:val="nil"/>
                <w:bottom w:val="nil"/>
                <w:right w:val="nil"/>
                <w:between w:val="nil"/>
              </w:pBdr>
              <w:rPr>
                <w:color w:val="000000"/>
              </w:rPr>
            </w:pPr>
          </w:p>
        </w:tc>
      </w:tr>
      <w:tr w:rsidR="00104FC3" w14:paraId="02DDB663" w14:textId="77777777" w:rsidTr="004F6579">
        <w:trPr>
          <w:trHeight w:val="881"/>
        </w:trPr>
        <w:tc>
          <w:tcPr>
            <w:tcW w:w="8160" w:type="dxa"/>
            <w:gridSpan w:val="2"/>
          </w:tcPr>
          <w:p w14:paraId="49F71ED4" w14:textId="7B4F07E9"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286697E3" w14:textId="77777777" w:rsidR="00104FC3" w:rsidRDefault="00BA48A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JESÚS OCIEL BAENA SAUCEDO</w:t>
            </w:r>
          </w:p>
        </w:tc>
      </w:tr>
    </w:tbl>
    <w:p w14:paraId="0EAA9C0E" w14:textId="77777777" w:rsidR="00104FC3" w:rsidRDefault="00104FC3">
      <w:pPr>
        <w:spacing w:line="360" w:lineRule="auto"/>
        <w:rPr>
          <w:rFonts w:ascii="Arial" w:eastAsia="Arial" w:hAnsi="Arial" w:cs="Arial"/>
          <w:sz w:val="24"/>
          <w:szCs w:val="24"/>
        </w:rPr>
      </w:pPr>
    </w:p>
    <w:sectPr w:rsidR="00104FC3">
      <w:headerReference w:type="even" r:id="rId16"/>
      <w:headerReference w:type="default" r:id="rId17"/>
      <w:footerReference w:type="even" r:id="rId18"/>
      <w:footerReference w:type="default" r:id="rId19"/>
      <w:headerReference w:type="first" r:id="rId20"/>
      <w:footerReference w:type="first" r:id="rId21"/>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85B95" w14:textId="77777777" w:rsidR="00392056" w:rsidRDefault="00392056">
      <w:r>
        <w:separator/>
      </w:r>
    </w:p>
  </w:endnote>
  <w:endnote w:type="continuationSeparator" w:id="0">
    <w:p w14:paraId="08F04858" w14:textId="77777777" w:rsidR="00392056" w:rsidRDefault="00392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D309" w14:textId="77777777" w:rsidR="00CE4A63" w:rsidRDefault="00CE4A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F069" w14:textId="77777777" w:rsidR="00CE4A63" w:rsidRDefault="00CE4A6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B4C3" w14:textId="77777777" w:rsidR="00CE4A63" w:rsidRDefault="00CE4A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BF21" w14:textId="77777777" w:rsidR="00392056" w:rsidRDefault="00392056">
      <w:r>
        <w:separator/>
      </w:r>
    </w:p>
  </w:footnote>
  <w:footnote w:type="continuationSeparator" w:id="0">
    <w:p w14:paraId="58037D5F" w14:textId="77777777" w:rsidR="00392056" w:rsidRDefault="00392056">
      <w:r>
        <w:continuationSeparator/>
      </w:r>
    </w:p>
  </w:footnote>
  <w:footnote w:id="1">
    <w:p w14:paraId="49408F54" w14:textId="77777777" w:rsidR="00104FC3" w:rsidRDefault="00BA48A8">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4CC77749" w14:textId="77777777" w:rsidR="00104FC3" w:rsidRDefault="00BA48A8">
      <w:pPr>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1B380955" w14:textId="77777777" w:rsidR="00104FC3" w:rsidRDefault="00BA48A8">
      <w:pPr>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4FCAC53D" w14:textId="77777777" w:rsidR="00104FC3" w:rsidRDefault="00BA48A8">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30FD9A51" w14:textId="77777777" w:rsidR="00104FC3" w:rsidRDefault="00BA48A8">
      <w:pPr>
        <w:rPr>
          <w:rFonts w:ascii="Arial" w:eastAsia="Arial" w:hAnsi="Arial" w:cs="Arial"/>
        </w:rPr>
      </w:pPr>
      <w:r>
        <w:rPr>
          <w:vertAlign w:val="superscript"/>
        </w:rPr>
        <w:footnoteRef/>
      </w:r>
      <w:r>
        <w:t xml:space="preserve"> </w:t>
      </w:r>
      <w:r>
        <w:rPr>
          <w:rFonts w:ascii="Arial" w:eastAsia="Arial" w:hAnsi="Arial" w:cs="Arial"/>
        </w:rPr>
        <w:t xml:space="preserve">Véase la resolución SUP-AG-142/2021. </w:t>
      </w:r>
    </w:p>
  </w:footnote>
  <w:footnote w:id="6">
    <w:p w14:paraId="0C15D126" w14:textId="77777777" w:rsidR="00104FC3" w:rsidRDefault="00BA48A8">
      <w:pPr>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3C05495D" w14:textId="77777777" w:rsidR="00104FC3" w:rsidRDefault="00BA48A8">
      <w:pPr>
        <w:rPr>
          <w:rFonts w:ascii="Arial" w:eastAsia="Arial" w:hAnsi="Arial" w:cs="Arial"/>
        </w:rPr>
      </w:pPr>
      <w:r>
        <w:rPr>
          <w:rFonts w:ascii="Arial" w:eastAsia="Arial" w:hAnsi="Arial" w:cs="Arial"/>
        </w:rPr>
        <w:t>II. Los hechos denunciados no constituyan una violación en materia de propaganda político-electivo;</w:t>
      </w:r>
    </w:p>
    <w:p w14:paraId="31DC5538" w14:textId="77777777" w:rsidR="00104FC3" w:rsidRDefault="00BA48A8">
      <w:pPr>
        <w:rPr>
          <w:rFonts w:ascii="Arial" w:eastAsia="Arial" w:hAnsi="Arial" w:cs="Arial"/>
        </w:rPr>
      </w:pPr>
      <w:r>
        <w:rPr>
          <w:rFonts w:ascii="Arial" w:eastAsia="Arial" w:hAnsi="Arial" w:cs="Arial"/>
        </w:rPr>
        <w:t>III. El denunciante no aporte ni ofrezca prueba alguna de sus dichos; […]</w:t>
      </w:r>
    </w:p>
    <w:p w14:paraId="6CBE166A" w14:textId="77777777" w:rsidR="00104FC3" w:rsidRDefault="00BA48A8">
      <w:pPr>
        <w:rPr>
          <w:rFonts w:ascii="Arial" w:eastAsia="Arial" w:hAnsi="Arial" w:cs="Arial"/>
        </w:rPr>
      </w:pPr>
      <w:r>
        <w:rPr>
          <w:rFonts w:ascii="Arial" w:eastAsia="Arial" w:hAnsi="Arial" w:cs="Arial"/>
        </w:rPr>
        <w:t>V. La denuncia sea evidentemente frívola. […]</w:t>
      </w:r>
    </w:p>
    <w:p w14:paraId="536ECEE0" w14:textId="77777777" w:rsidR="00104FC3" w:rsidRDefault="00104FC3">
      <w:pPr>
        <w:rPr>
          <w:rFonts w:ascii="Arial" w:eastAsia="Arial" w:hAnsi="Arial" w:cs="Arial"/>
        </w:rPr>
      </w:pPr>
    </w:p>
  </w:footnote>
  <w:footnote w:id="7">
    <w:p w14:paraId="5D0356A4" w14:textId="77777777" w:rsidR="00104FC3" w:rsidRDefault="00BA48A8">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  Documental pública:</w:t>
      </w:r>
      <w:r>
        <w:rPr>
          <w:rFonts w:ascii="Arial" w:eastAsia="Arial" w:hAnsi="Arial" w:cs="Arial"/>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323BA8CA" w14:textId="77D7FBB1" w:rsidR="00104FC3" w:rsidRPr="004F6579" w:rsidRDefault="004F6579" w:rsidP="004F6579">
      <w:pPr>
        <w:jc w:val="both"/>
        <w:rPr>
          <w:rFonts w:ascii="Arial" w:eastAsia="Arial" w:hAnsi="Arial" w:cs="Arial"/>
        </w:rPr>
      </w:pPr>
      <w:r w:rsidRPr="004F6579">
        <w:rPr>
          <w:rFonts w:ascii="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8">
    <w:p w14:paraId="35C713AB"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227.1. Se entiende por precampaña electoral el conjunto de actos que realizan los partidos políticos, sus militantes y los precandidatos a candidaturas a cargos de elección popular debidamente registrados por cada partido. 2. Se entiende por actos de precampaña electoral las reuniones públicas, asambleas, marchas y en general aquéllos en que los precandidatos a una candidatura se dirigen a los afiliados, simpatizantes o al electorado en general, con el objetivo de obtener su respaldo para ser postulado como candidato a un cargo de elección popular. […]</w:t>
      </w:r>
    </w:p>
  </w:footnote>
  <w:footnote w:id="9">
    <w:p w14:paraId="314A4922"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 […] </w:t>
      </w:r>
    </w:p>
    <w:p w14:paraId="09E4782B" w14:textId="77777777" w:rsidR="00104FC3" w:rsidRDefault="00BA48A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 Se entiende por propaganda de precampaña el conjunto de escritos, publicaciones, imágenes, grabaciones, proyecciones y expresiones que durante el periodo establecido por esta Ley y el que señale la convocatoria respectiva difunden los precandidatos a candidaturas a cargos de elección popular con el propósito de dar a conocer sus propuestas. La propaganda de precampaña deberá señalar de manera expresa, por medios gráficos y auditivos, la calidad de precandidato de quien es promovido.</w:t>
      </w:r>
    </w:p>
  </w:footnote>
  <w:footnote w:id="10">
    <w:p w14:paraId="1CE2C2CB"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Jurisprudencia 2/2016, de rubro: “</w:t>
      </w:r>
      <w:r>
        <w:rPr>
          <w:rFonts w:ascii="Arial" w:eastAsia="Arial" w:hAnsi="Arial" w:cs="Arial"/>
          <w:i/>
          <w:color w:val="000000"/>
          <w:highlight w:val="white"/>
        </w:rPr>
        <w:t>ACTOS ANTICIPADOS DE CAMPAÑA. LOS CONSTITUYE LA PROPAGANDA DIFUNDIDA DURANTE PRECAMPAÑA CUANDO NO ESTÁ DIRIGIDA A LOS MILITANTES (LEGISLACIÓN DE COLIMA)</w:t>
      </w:r>
      <w:r>
        <w:rPr>
          <w:rFonts w:ascii="Arial" w:eastAsia="Arial" w:hAnsi="Arial" w:cs="Arial"/>
          <w:color w:val="000000"/>
          <w:highlight w:val="white"/>
        </w:rPr>
        <w:t xml:space="preserve">”, visible en la Gaceta de Jurisprudencia y Tesis en materia electoral del Tribunal Electoral del Poder Judicial de la Federación, año 9, número 18, 2016, páginas 11 y 12. </w:t>
      </w:r>
    </w:p>
  </w:footnote>
  <w:footnote w:id="11">
    <w:p w14:paraId="4257AFED" w14:textId="77777777" w:rsidR="00104FC3" w:rsidRDefault="00BA48A8">
      <w:pPr>
        <w:jc w:val="both"/>
        <w:rPr>
          <w:rFonts w:ascii="Arial" w:eastAsia="Arial" w:hAnsi="Arial" w:cs="Arial"/>
        </w:rPr>
      </w:pPr>
      <w:r>
        <w:rPr>
          <w:vertAlign w:val="superscript"/>
        </w:rPr>
        <w:footnoteRef/>
      </w:r>
      <w:r>
        <w:rPr>
          <w:rFonts w:ascii="Arial" w:eastAsia="Arial" w:hAnsi="Arial" w:cs="Arial"/>
        </w:rPr>
        <w:t xml:space="preserve"> Consúltese asunto </w:t>
      </w:r>
      <w:r>
        <w:rPr>
          <w:rFonts w:ascii="Arial" w:eastAsia="Arial" w:hAnsi="Arial" w:cs="Arial"/>
          <w:highlight w:val="white"/>
        </w:rPr>
        <w:t>SUP-REP-8/2021 y acumulado.</w:t>
      </w:r>
    </w:p>
  </w:footnote>
  <w:footnote w:id="12">
    <w:p w14:paraId="3904EA32" w14:textId="77777777" w:rsidR="00104FC3" w:rsidRDefault="00BA48A8">
      <w:pPr>
        <w:rPr>
          <w:rFonts w:ascii="Arial" w:eastAsia="Arial" w:hAnsi="Arial" w:cs="Arial"/>
        </w:rPr>
      </w:pPr>
      <w:r>
        <w:rPr>
          <w:vertAlign w:val="superscript"/>
        </w:rPr>
        <w:footnoteRef/>
      </w:r>
      <w:r>
        <w:rPr>
          <w:rFonts w:ascii="Arial" w:eastAsia="Arial" w:hAnsi="Arial" w:cs="Arial"/>
        </w:rPr>
        <w:t xml:space="preserve"> Véase asunto SUP-REP-9/2022.</w:t>
      </w:r>
    </w:p>
  </w:footnote>
  <w:footnote w:id="13">
    <w:p w14:paraId="0C994481"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 1. Para los efectos de esta Ley se entiende por: a) Actos Anticipados de Campaña: 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 […]</w:t>
      </w:r>
    </w:p>
  </w:footnote>
  <w:footnote w:id="14">
    <w:p w14:paraId="6EE5AF26"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 xml:space="preserve">244.- Constituyen infracciones de los aspirantes, precandidatos, candidatos o candidatos independientes a cargos de elección popular, al presente Código: […] </w:t>
      </w:r>
    </w:p>
    <w:p w14:paraId="7C7D3E09" w14:textId="77777777" w:rsidR="00104FC3" w:rsidRDefault="00BA48A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VI. La realización de actos anticipados de precampaña o campaña, según sea el caso; […]</w:t>
      </w:r>
    </w:p>
  </w:footnote>
  <w:footnote w:id="15">
    <w:p w14:paraId="6BC1DB93"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de rubro: </w:t>
      </w:r>
      <w:r>
        <w:rPr>
          <w:rFonts w:ascii="Arial" w:eastAsia="Arial" w:hAnsi="Arial" w:cs="Arial"/>
          <w:i/>
          <w:color w:val="000000"/>
        </w:rPr>
        <w:t>“ACTOS ANTICIPADOS DE PRECAMPAÑA O CAMPAÑA. PARA ACREDITAR EL ELEMENTO SUBJETIVO SE REQUIERE QUE EL MENSAJE SEA EXPLÍCITO O INEQUÍVOCO RESPECTO A SU FINALIDAD ELECTORAL (LEGISLACIÓN DEL ESTADO DE MÉXICO Y SIMILARES)”</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10, número 21, 2018, páginas 11 y 12.</w:t>
      </w:r>
    </w:p>
  </w:footnote>
  <w:footnote w:id="16">
    <w:p w14:paraId="07117D6F"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XXX/2018, de rubro: </w:t>
      </w:r>
      <w:r>
        <w:rPr>
          <w:rFonts w:ascii="Arial" w:eastAsia="Arial" w:hAnsi="Arial" w:cs="Arial"/>
          <w:i/>
          <w:color w:val="000000"/>
        </w:rPr>
        <w:t>“ACTOS ANTICIPADOS DE PRECAMPAÑA O CAMPAÑA. PARA ACREDITAR EL ELEMENTO SUBJETIVO SE DEBEN ANALIZAR LAS VARIABLES RELACIONADAS CON LA TRASCENDENCIA A LA CIUDADANÍA.”,</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11, número 22, 2018, página 26.</w:t>
      </w:r>
    </w:p>
  </w:footnote>
  <w:footnote w:id="17">
    <w:p w14:paraId="4505B582"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w:t>
      </w:r>
      <w:r>
        <w:rPr>
          <w:rFonts w:ascii="Arial" w:eastAsia="Arial" w:hAnsi="Arial" w:cs="Arial"/>
        </w:rPr>
        <w:t xml:space="preserve">los </w:t>
      </w:r>
      <w:r>
        <w:rPr>
          <w:rFonts w:ascii="Arial" w:eastAsia="Arial" w:hAnsi="Arial" w:cs="Arial"/>
          <w:color w:val="000000"/>
        </w:rPr>
        <w:t>asuntos SUP-REC-803/202</w:t>
      </w:r>
      <w:r>
        <w:rPr>
          <w:rFonts w:ascii="Arial" w:eastAsia="Arial" w:hAnsi="Arial" w:cs="Arial"/>
        </w:rPr>
        <w:t xml:space="preserve">1 y SUP-REC-806/2021. </w:t>
      </w:r>
    </w:p>
  </w:footnote>
  <w:footnote w:id="18">
    <w:p w14:paraId="0711202F" w14:textId="77777777" w:rsidR="00104FC3" w:rsidRDefault="00BA48A8">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proofErr w:type="gramStart"/>
      <w:r>
        <w:rPr>
          <w:rFonts w:ascii="Arial" w:eastAsia="Arial" w:hAnsi="Arial" w:cs="Arial"/>
          <w:color w:val="000000"/>
        </w:rPr>
        <w:t>Similares consideraciones sostuvo</w:t>
      </w:r>
      <w:proofErr w:type="gramEnd"/>
      <w:r>
        <w:rPr>
          <w:rFonts w:ascii="Arial" w:eastAsia="Arial" w:hAnsi="Arial" w:cs="Arial"/>
          <w:color w:val="000000"/>
        </w:rPr>
        <w:t xml:space="preserve"> la Sala Regional Especializada al Resolver el asunto SRE-PSC-39/2021.</w:t>
      </w:r>
    </w:p>
  </w:footnote>
  <w:footnote w:id="19">
    <w:p w14:paraId="370C6A64" w14:textId="77777777" w:rsidR="00104FC3" w:rsidRDefault="00BA48A8">
      <w:pPr>
        <w:jc w:val="both"/>
        <w:rPr>
          <w:rFonts w:ascii="Arial" w:eastAsia="Arial" w:hAnsi="Arial" w:cs="Arial"/>
        </w:rPr>
      </w:pPr>
      <w:r>
        <w:rPr>
          <w:vertAlign w:val="superscript"/>
        </w:rPr>
        <w:footnoteRef/>
      </w:r>
      <w:r>
        <w:rPr>
          <w:rFonts w:ascii="Arial" w:eastAsia="Arial" w:hAnsi="Arial" w:cs="Arial"/>
        </w:rPr>
        <w:t xml:space="preserve"> Artículo 247. 1. La propaganda y mensajes que en el curso de las precampañas y campañas electorales difundan los partidos políticos se ajustarán a lo dispuesto por el primer párrafo del artículo 6o. de la Constitución. 2. En la propaganda política o electoral que realicen los partidos políticos, las coaliciones, las personas candidatas y precandidatas, deberán abstenerse de expresiones que calumnien a las personas, discriminen o constituyan actos de violencia política contra las mujeres en razón de género en términos de esta Ley. El Consejo General y la Comisión de Quejas y Denuncias están facultadas para ordenar, una vez satisfechos los procedimientos establecidos en esta Ley, la suspensión inmediata de los mensajes en radio o televisión contrarios a esta norma, así como el retiro de cualquier otra propaganda.</w:t>
      </w:r>
    </w:p>
  </w:footnote>
  <w:footnote w:id="20">
    <w:p w14:paraId="725A4475" w14:textId="77777777" w:rsidR="00104FC3" w:rsidRDefault="00BA48A8">
      <w:pPr>
        <w:pBdr>
          <w:top w:val="nil"/>
          <w:left w:val="nil"/>
          <w:bottom w:val="nil"/>
          <w:right w:val="nil"/>
          <w:between w:val="nil"/>
        </w:pBdr>
        <w:jc w:val="both"/>
        <w:rPr>
          <w:color w:val="000000"/>
        </w:rPr>
      </w:pPr>
      <w:r>
        <w:rPr>
          <w:vertAlign w:val="superscript"/>
        </w:rPr>
        <w:footnoteRef/>
      </w:r>
      <w:r>
        <w:rPr>
          <w:color w:val="000000"/>
        </w:rPr>
        <w:t xml:space="preserve"> </w:t>
      </w:r>
      <w:proofErr w:type="gramStart"/>
      <w:r>
        <w:rPr>
          <w:rFonts w:ascii="Arial" w:eastAsia="Arial" w:hAnsi="Arial" w:cs="Arial"/>
          <w:color w:val="000000"/>
        </w:rPr>
        <w:t>Similares consideraciones sostuvo</w:t>
      </w:r>
      <w:proofErr w:type="gramEnd"/>
      <w:r>
        <w:rPr>
          <w:rFonts w:ascii="Arial" w:eastAsia="Arial" w:hAnsi="Arial" w:cs="Arial"/>
          <w:color w:val="000000"/>
        </w:rPr>
        <w:t xml:space="preserve"> la Sala Superior al resolver el asunto SUP-REP-700/2018, en lo relativo a que no existe obligación formal hacia los órganos jurisdiccionales de dar vista a la UTF del 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10E5" w14:textId="08CCD127" w:rsidR="00104FC3" w:rsidRDefault="00392056">
    <w:pPr>
      <w:pBdr>
        <w:top w:val="nil"/>
        <w:left w:val="nil"/>
        <w:bottom w:val="nil"/>
        <w:right w:val="nil"/>
        <w:between w:val="nil"/>
      </w:pBdr>
      <w:tabs>
        <w:tab w:val="center" w:pos="4419"/>
        <w:tab w:val="right" w:pos="8838"/>
      </w:tabs>
      <w:rPr>
        <w:color w:val="000000"/>
      </w:rPr>
    </w:pPr>
    <w:r>
      <w:rPr>
        <w:noProof/>
      </w:rPr>
      <w:pict w14:anchorId="30B41D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029954"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A48A8">
      <w:rPr>
        <w:noProof/>
        <w:color w:val="000000"/>
      </w:rPr>
      <mc:AlternateContent>
        <mc:Choice Requires="wps">
          <w:drawing>
            <wp:anchor distT="0" distB="0" distL="0" distR="0" simplePos="0" relativeHeight="251659264" behindDoc="1" locked="0" layoutInCell="1" hidden="0" allowOverlap="1" wp14:anchorId="4827CC9E" wp14:editId="39E19A8C">
              <wp:simplePos x="0" y="0"/>
              <wp:positionH relativeFrom="margin">
                <wp:align>center</wp:align>
              </wp:positionH>
              <wp:positionV relativeFrom="margin">
                <wp:align>center</wp:align>
              </wp:positionV>
              <wp:extent cx="31876034" cy="31876034"/>
              <wp:effectExtent l="0" t="0" r="0" b="0"/>
              <wp:wrapNone/>
              <wp:docPr id="74" name="Rectángulo 74"/>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1778BEA7" w14:textId="77777777" w:rsidR="00104FC3" w:rsidRDefault="00BA48A8">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4827CC9E" id="Rectángulo 74" o:spid="_x0000_s1026" style="position:absolute;margin-left:0;margin-top:0;width:2509.9pt;height:2509.9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" filled="f" stroked="f">
              <v:textbox inset="2.53958mm,2.53958mm,2.53958mm,2.53958mm">
                <w:txbxContent>
                  <w:p w14:paraId="1778BEA7" w14:textId="77777777" w:rsidR="00104FC3" w:rsidRDefault="00BA48A8">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6676C" w14:textId="53888FC9" w:rsidR="00104FC3" w:rsidRDefault="00392056">
    <w:pPr>
      <w:pBdr>
        <w:top w:val="nil"/>
        <w:left w:val="nil"/>
        <w:bottom w:val="nil"/>
        <w:right w:val="nil"/>
        <w:between w:val="nil"/>
      </w:pBdr>
      <w:tabs>
        <w:tab w:val="center" w:pos="4419"/>
        <w:tab w:val="right" w:pos="8838"/>
      </w:tabs>
    </w:pPr>
    <w:r>
      <w:rPr>
        <w:noProof/>
      </w:rPr>
      <w:pict w14:anchorId="0E399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029955"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19124852"/>
      <w:docPartObj>
        <w:docPartGallery w:val="Page Numbers (Margins)"/>
        <w:docPartUnique/>
      </w:docPartObj>
    </w:sdtPr>
    <w:sdtEndPr/>
    <w:sdtContent>
      <w:p w14:paraId="24DB087D" w14:textId="77777777" w:rsidR="00104FC3" w:rsidRDefault="004F6579">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1312" behindDoc="0" locked="0" layoutInCell="0" allowOverlap="1" wp14:anchorId="2E59804A" wp14:editId="0E70EB4E">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B5958" w14:textId="77777777" w:rsidR="004F6579" w:rsidRDefault="004F6579">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E59804A" id="Rectángulo 1"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4IjuUIAgAA7gMAAA4A&#10;AAAAAAAAAAAAAAAALgIAAGRycy9lMm9Eb2MueG1sUEsBAi0AFAAGAAgAAAAhAHGmhoPcAAAABAEA&#10;AA8AAAAAAAAAAAAAAAAAYgQAAGRycy9kb3ducmV2LnhtbFBLBQYAAAAABAAEAPMAAABrBQAAAAA=&#10;" o:allowincell="f" stroked="f">
                  <v:textbox>
                    <w:txbxContent>
                      <w:p w14:paraId="3A9B5958" w14:textId="77777777" w:rsidR="004F6579" w:rsidRDefault="004F6579">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p>
    </w:sdtContent>
  </w:sdt>
  <w:p w14:paraId="49AA6FE1" w14:textId="77777777" w:rsidR="00104FC3" w:rsidRDefault="00BA48A8">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27CFBC46" wp14:editId="677687B1">
          <wp:extent cx="995527" cy="1154534"/>
          <wp:effectExtent l="0" t="0" r="0" b="0"/>
          <wp:docPr id="8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86BD" w14:textId="7AE2755C" w:rsidR="00CE4A63" w:rsidRDefault="00392056">
    <w:pPr>
      <w:pStyle w:val="Encabezado"/>
    </w:pPr>
    <w:r>
      <w:rPr>
        <w:noProof/>
      </w:rPr>
      <w:pict w14:anchorId="090E0B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029953"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45929"/>
    <w:multiLevelType w:val="multilevel"/>
    <w:tmpl w:val="914209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D72F36"/>
    <w:multiLevelType w:val="multilevel"/>
    <w:tmpl w:val="B072B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042DAE"/>
    <w:multiLevelType w:val="multilevel"/>
    <w:tmpl w:val="43EC1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70F788C"/>
    <w:multiLevelType w:val="multilevel"/>
    <w:tmpl w:val="BCD0F4B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23B22AE"/>
    <w:multiLevelType w:val="multilevel"/>
    <w:tmpl w:val="69240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7782D92"/>
    <w:multiLevelType w:val="multilevel"/>
    <w:tmpl w:val="D8688770"/>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6" w15:restartNumberingAfterBreak="0">
    <w:nsid w:val="6B0459B5"/>
    <w:multiLevelType w:val="multilevel"/>
    <w:tmpl w:val="632E5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F8F5D37"/>
    <w:multiLevelType w:val="multilevel"/>
    <w:tmpl w:val="AFF0F986"/>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0"/>
  </w:num>
  <w:num w:numId="4">
    <w:abstractNumId w:val="3"/>
  </w:num>
  <w:num w:numId="5">
    <w:abstractNumId w:val="6"/>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FC3"/>
    <w:rsid w:val="00104FC3"/>
    <w:rsid w:val="00392056"/>
    <w:rsid w:val="0046518E"/>
    <w:rsid w:val="004F6579"/>
    <w:rsid w:val="005958C7"/>
    <w:rsid w:val="005B5674"/>
    <w:rsid w:val="00640F6D"/>
    <w:rsid w:val="00676B59"/>
    <w:rsid w:val="007F18FC"/>
    <w:rsid w:val="008F631E"/>
    <w:rsid w:val="00B21B7C"/>
    <w:rsid w:val="00BA48A8"/>
    <w:rsid w:val="00CE4A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47AFE"/>
  <w15:docId w15:val="{0EF69DEA-07E1-4102-B398-DD47E47C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5"/>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5"/>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5"/>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5"/>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5"/>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4"/>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3"/>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1">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2"/>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f3">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styleId="Tablaconcuadrcula6concolores">
    <w:name w:val="Grid Table 6 Colorful"/>
    <w:basedOn w:val="Tablanormal"/>
    <w:uiPriority w:val="51"/>
    <w:rsid w:val="0054210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1">
    <w:name w:val="Plain Table 1"/>
    <w:basedOn w:val="Tablanormal"/>
    <w:uiPriority w:val="41"/>
    <w:rsid w:val="005421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edeterminadoP2">
    <w:name w:val="Predeterminado P2"/>
    <w:basedOn w:val="Tablanormal"/>
    <w:uiPriority w:val="99"/>
    <w:rsid w:val="000641ED"/>
    <w:tblPr/>
  </w:style>
  <w:style w:type="table" w:customStyle="1" w:styleId="af6">
    <w:basedOn w:val="TableNormal1"/>
    <w:rPr>
      <w:color w:val="7B7B7B"/>
    </w:rPr>
    <w:tblPr>
      <w:tblStyleRowBandSize w:val="1"/>
      <w:tblStyleColBandSize w:val="1"/>
      <w:tblCellMar>
        <w:left w:w="115" w:type="dxa"/>
        <w:right w:w="115" w:type="dxa"/>
      </w:tblCellMar>
    </w:tblPr>
    <w:tcPr>
      <w:shd w:val="clear" w:color="auto" w:fill="DEEBF6"/>
    </w:tcPr>
  </w:style>
  <w:style w:type="table" w:customStyle="1" w:styleId="af7">
    <w:basedOn w:val="TableNormal1"/>
    <w:rPr>
      <w:rFonts w:ascii="Cambria" w:eastAsia="Cambria" w:hAnsi="Cambria" w:cs="Cambria"/>
      <w:color w:val="000000"/>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1"/>
    <w:rPr>
      <w:rFonts w:ascii="Cambria" w:eastAsia="Cambria" w:hAnsi="Cambria" w:cs="Cambria"/>
      <w:color w:val="000000"/>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1"/>
    <w:rPr>
      <w:rFonts w:ascii="Cambria" w:eastAsia="Cambria" w:hAnsi="Cambria" w:cs="Cambria"/>
      <w:color w:val="000000"/>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1"/>
    <w:rPr>
      <w:color w:val="7B7B7B"/>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D52D3F"/>
    <w:pPr>
      <w:tabs>
        <w:tab w:val="center" w:pos="4419"/>
        <w:tab w:val="right" w:pos="8838"/>
      </w:tabs>
    </w:pPr>
  </w:style>
  <w:style w:type="character" w:customStyle="1" w:styleId="PiedepginaCar">
    <w:name w:val="Pie de página Car"/>
    <w:basedOn w:val="Fuentedeprrafopredeter"/>
    <w:link w:val="Piedepgina"/>
    <w:uiPriority w:val="99"/>
    <w:rsid w:val="00D52D3F"/>
  </w:style>
  <w:style w:type="paragraph" w:styleId="Encabezado">
    <w:name w:val="header"/>
    <w:basedOn w:val="Normal"/>
    <w:link w:val="EncabezadoCar"/>
    <w:uiPriority w:val="99"/>
    <w:unhideWhenUsed/>
    <w:rsid w:val="00D52D3F"/>
    <w:pPr>
      <w:tabs>
        <w:tab w:val="center" w:pos="4419"/>
        <w:tab w:val="right" w:pos="8838"/>
      </w:tabs>
    </w:pPr>
  </w:style>
  <w:style w:type="character" w:customStyle="1" w:styleId="EncabezadoCar">
    <w:name w:val="Encabezado Car"/>
    <w:basedOn w:val="Fuentedeprrafopredeter"/>
    <w:link w:val="Encabezado"/>
    <w:uiPriority w:val="99"/>
    <w:rsid w:val="00D52D3F"/>
  </w:style>
  <w:style w:type="table" w:customStyle="1" w:styleId="afb">
    <w:basedOn w:val="TableNormal0"/>
    <w:rPr>
      <w:color w:val="7B7B7B"/>
    </w:rPr>
    <w:tblPr>
      <w:tblStyleRowBandSize w:val="1"/>
      <w:tblStyleColBandSize w:val="1"/>
      <w:tblCellMar>
        <w:left w:w="115" w:type="dxa"/>
        <w:right w:w="115" w:type="dxa"/>
      </w:tblCellMar>
    </w:tblPr>
    <w:tcPr>
      <w:shd w:val="clear" w:color="auto" w:fill="DEEBF6"/>
    </w:tcPr>
  </w:style>
  <w:style w:type="table" w:customStyle="1" w:styleId="afc">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d">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0"/>
    <w:rPr>
      <w:color w:val="7B7B7B"/>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vrTWZTy/WBblXjXGVAMbFS+98g==">AMUW2mV1yptIzWpwHw5Glr3Fv9DuVFfkONTC2tnME96PixtJissddENuVMpEDntRxGVScoApYrxqzK7bgenzV6lRKVdzX0JG3pTAc2tMNcBcpCeuZaXkOg6qZ6ruUGWyyKHfdnkz57jPTLJoEu88Y6XuuUa8OTBiBbo7n6NkpHP0DYtHMcXsgPJTS7rW1jJmuJ6SgzviZeuNA3vpBEPLhzC1YH5h9HsULg==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ED2A41-2D31-46FD-B362-08007C359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5056</Words>
  <Characters>27809</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2022-03-10T18:56:00Z</cp:lastPrinted>
  <dcterms:created xsi:type="dcterms:W3CDTF">2022-03-10T21:11:00Z</dcterms:created>
  <dcterms:modified xsi:type="dcterms:W3CDTF">2022-03-10T21:11:00Z</dcterms:modified>
</cp:coreProperties>
</file>