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5D30B4F4"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293798">
        <w:rPr>
          <w:rFonts w:ascii="Arial" w:eastAsia="Arial" w:hAnsi="Arial" w:cs="Arial"/>
          <w:spacing w:val="1"/>
          <w:sz w:val="23"/>
          <w:szCs w:val="23"/>
        </w:rPr>
        <w:t>65</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21D7B16E"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293798">
        <w:rPr>
          <w:rFonts w:ascii="Arial" w:eastAsia="Arial" w:hAnsi="Arial" w:cs="Arial"/>
          <w:bCs/>
          <w:sz w:val="23"/>
          <w:szCs w:val="23"/>
        </w:rPr>
        <w:t>Aurora Vanegas Martínez.</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25874D6B"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002011BB">
        <w:rPr>
          <w:rFonts w:ascii="Arial" w:eastAsia="Arial" w:hAnsi="Arial" w:cs="Arial"/>
          <w:b/>
          <w:spacing w:val="-5"/>
          <w:sz w:val="23"/>
          <w:szCs w:val="23"/>
        </w:rPr>
        <w:t>S</w:t>
      </w:r>
      <w:r w:rsidRPr="00B55F05">
        <w:rPr>
          <w:rFonts w:ascii="Arial" w:eastAsia="Arial" w:hAnsi="Arial" w:cs="Arial"/>
          <w:b/>
          <w:sz w:val="23"/>
          <w:szCs w:val="23"/>
        </w:rPr>
        <w:t xml:space="preserve">: </w:t>
      </w:r>
      <w:r w:rsidR="00293798">
        <w:rPr>
          <w:rFonts w:ascii="Arial" w:eastAsia="Arial" w:hAnsi="Arial" w:cs="Arial"/>
          <w:bCs/>
          <w:sz w:val="23"/>
          <w:szCs w:val="23"/>
        </w:rPr>
        <w:t xml:space="preserve">Patricia García </w:t>
      </w:r>
      <w:proofErr w:type="spellStart"/>
      <w:r w:rsidR="00293798">
        <w:rPr>
          <w:rFonts w:ascii="Arial" w:eastAsia="Arial" w:hAnsi="Arial" w:cs="Arial"/>
          <w:bCs/>
          <w:sz w:val="23"/>
          <w:szCs w:val="23"/>
        </w:rPr>
        <w:t>García</w:t>
      </w:r>
      <w:proofErr w:type="spellEnd"/>
      <w:r w:rsidR="00293798">
        <w:rPr>
          <w:rFonts w:ascii="Arial" w:eastAsia="Arial" w:hAnsi="Arial" w:cs="Arial"/>
          <w:bCs/>
          <w:sz w:val="23"/>
          <w:szCs w:val="23"/>
        </w:rPr>
        <w:t>.</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0F3E5462"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6F7E8A">
        <w:rPr>
          <w:rFonts w:ascii="Arial" w:eastAsia="Arial" w:hAnsi="Arial" w:cs="Arial"/>
          <w:sz w:val="23"/>
          <w:szCs w:val="23"/>
        </w:rPr>
        <w:t>á</w:t>
      </w:r>
      <w:r w:rsidR="005E25E0">
        <w:rPr>
          <w:rFonts w:ascii="Arial" w:eastAsia="Arial" w:hAnsi="Arial" w:cs="Arial"/>
          <w:sz w:val="23"/>
          <w:szCs w:val="23"/>
        </w:rPr>
        <w:t xml:space="preserve">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03F82581"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C65004">
        <w:rPr>
          <w:rFonts w:ascii="Arial" w:eastAsia="Arial Nova" w:hAnsi="Arial" w:cs="Arial"/>
          <w:sz w:val="22"/>
          <w:szCs w:val="22"/>
        </w:rPr>
        <w:t xml:space="preserve">dieciséis </w:t>
      </w:r>
      <w:r w:rsidR="00CC2821">
        <w:rPr>
          <w:rFonts w:ascii="Arial" w:eastAsia="Arial Nova" w:hAnsi="Arial" w:cs="Arial"/>
          <w:sz w:val="22"/>
          <w:szCs w:val="22"/>
        </w:rPr>
        <w:t>de junio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533A6C4C" w:rsidR="00A5213C" w:rsidRPr="005833FF"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Pr="00502E47">
        <w:rPr>
          <w:rFonts w:ascii="Arial" w:eastAsia="Arial Nova" w:hAnsi="Arial" w:cs="Arial"/>
          <w:bCs/>
          <w:sz w:val="22"/>
          <w:szCs w:val="22"/>
        </w:rPr>
        <w:t>mediante la que se determina la inexistencia de la infracción</w:t>
      </w:r>
      <w:r>
        <w:rPr>
          <w:rFonts w:ascii="Arial" w:eastAsia="Arial Nova" w:hAnsi="Arial" w:cs="Arial"/>
          <w:b/>
          <w:sz w:val="22"/>
          <w:szCs w:val="22"/>
        </w:rPr>
        <w:t xml:space="preserve"> </w:t>
      </w:r>
      <w:r w:rsidRPr="00502E47">
        <w:rPr>
          <w:rFonts w:ascii="Arial" w:eastAsia="Arial Nova" w:hAnsi="Arial" w:cs="Arial"/>
          <w:bCs/>
          <w:sz w:val="22"/>
          <w:szCs w:val="22"/>
        </w:rPr>
        <w:t>denunciada</w:t>
      </w:r>
      <w:r w:rsidR="002011BB">
        <w:rPr>
          <w:rFonts w:ascii="Arial" w:eastAsia="Arial Nova" w:hAnsi="Arial" w:cs="Arial"/>
          <w:b/>
          <w:sz w:val="22"/>
          <w:szCs w:val="22"/>
        </w:rPr>
        <w:t>.</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44264363"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293798">
              <w:rPr>
                <w:rFonts w:ascii="Arial" w:eastAsia="Arial" w:hAnsi="Arial" w:cs="Arial"/>
                <w:bCs/>
                <w:spacing w:val="4"/>
                <w:sz w:val="22"/>
                <w:szCs w:val="22"/>
              </w:rPr>
              <w:t>Aurora Vanegas Martínez, representante de MORENA ante el Instituto Estatal Electoral.</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3B09D0">
            <w:pPr>
              <w:jc w:val="both"/>
              <w:rPr>
                <w:rFonts w:ascii="Arial" w:eastAsia="Arial" w:hAnsi="Arial" w:cs="Arial"/>
                <w:sz w:val="22"/>
                <w:szCs w:val="22"/>
              </w:rPr>
            </w:pPr>
          </w:p>
        </w:tc>
        <w:tc>
          <w:tcPr>
            <w:tcW w:w="5368"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77777777" w:rsidR="007F27E9"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Pr="005833FF">
              <w:rPr>
                <w:rFonts w:ascii="Arial" w:eastAsia="Arial" w:hAnsi="Arial" w:cs="Arial"/>
                <w:b/>
                <w:bCs/>
                <w:sz w:val="22"/>
                <w:szCs w:val="22"/>
              </w:rPr>
              <w:t>:</w:t>
            </w:r>
          </w:p>
          <w:p w14:paraId="166DBAAE" w14:textId="2596A738" w:rsidR="00A5213C" w:rsidRPr="005833FF" w:rsidRDefault="00A5213C" w:rsidP="003B09D0">
            <w:pPr>
              <w:jc w:val="both"/>
              <w:rPr>
                <w:rFonts w:ascii="Arial" w:eastAsia="Arial" w:hAnsi="Arial" w:cs="Arial"/>
                <w:b/>
                <w:bCs/>
                <w:sz w:val="22"/>
                <w:szCs w:val="22"/>
              </w:rPr>
            </w:pPr>
          </w:p>
        </w:tc>
        <w:tc>
          <w:tcPr>
            <w:tcW w:w="5368" w:type="dxa"/>
          </w:tcPr>
          <w:p w14:paraId="3674E48C" w14:textId="0B847401" w:rsidR="007F27E9" w:rsidRDefault="007E6C40" w:rsidP="003B09D0">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293798">
              <w:rPr>
                <w:rFonts w:ascii="Arial" w:eastAsia="Arial" w:hAnsi="Arial" w:cs="Arial"/>
                <w:spacing w:val="1"/>
                <w:sz w:val="22"/>
                <w:szCs w:val="22"/>
              </w:rPr>
              <w:t xml:space="preserve">Patricia García </w:t>
            </w:r>
            <w:proofErr w:type="spellStart"/>
            <w:r w:rsidR="00293798">
              <w:rPr>
                <w:rFonts w:ascii="Arial" w:eastAsia="Arial" w:hAnsi="Arial" w:cs="Arial"/>
                <w:spacing w:val="1"/>
                <w:sz w:val="22"/>
                <w:szCs w:val="22"/>
              </w:rPr>
              <w:t>García</w:t>
            </w:r>
            <w:proofErr w:type="spellEnd"/>
          </w:p>
          <w:p w14:paraId="1EB84280" w14:textId="77777777" w:rsidR="007E6C40" w:rsidRPr="005833FF" w:rsidRDefault="007E6C40" w:rsidP="00293798">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3B09D0">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708B231" w14:textId="3FDE1EF4" w:rsidR="003D176B" w:rsidRPr="005833FF" w:rsidRDefault="003D176B" w:rsidP="003B09D0">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5F6771A8" w:rsidR="003D176B" w:rsidRPr="005833FF" w:rsidRDefault="003D176B" w:rsidP="003B09D0">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4425BFE3" w14:textId="12D97FE2" w:rsidR="00850AB1" w:rsidRDefault="00850AB1"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C3D9E3E" w14:textId="05699870"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1.2. Presentación de la denuncia. </w:t>
      </w:r>
      <w:r w:rsidRPr="008114D0">
        <w:rPr>
          <w:rFonts w:ascii="Arial" w:eastAsia="Arial Nova" w:hAnsi="Arial" w:cs="Arial"/>
          <w:sz w:val="22"/>
          <w:szCs w:val="22"/>
        </w:rPr>
        <w:t xml:space="preserve">El </w:t>
      </w:r>
      <w:r w:rsidR="00293798">
        <w:rPr>
          <w:rFonts w:ascii="Arial" w:eastAsia="Arial Nova" w:hAnsi="Arial" w:cs="Arial"/>
          <w:sz w:val="22"/>
          <w:szCs w:val="22"/>
        </w:rPr>
        <w:t>veintisiete de mayo</w:t>
      </w:r>
      <w:r w:rsidRPr="008114D0">
        <w:rPr>
          <w:rFonts w:ascii="Arial" w:eastAsia="Arial Nova" w:hAnsi="Arial" w:cs="Arial"/>
          <w:sz w:val="22"/>
          <w:szCs w:val="22"/>
        </w:rPr>
        <w:t xml:space="preserve">, </w:t>
      </w:r>
      <w:r w:rsidR="00293798">
        <w:rPr>
          <w:rFonts w:ascii="Arial" w:eastAsia="Arial Nova" w:hAnsi="Arial" w:cs="Arial"/>
          <w:sz w:val="22"/>
          <w:szCs w:val="22"/>
        </w:rPr>
        <w:t>la</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presentó un escrito de queja en contra de l</w:t>
      </w:r>
      <w:r w:rsidR="00293798">
        <w:rPr>
          <w:rFonts w:ascii="Arial" w:eastAsia="Arial Nova" w:hAnsi="Arial" w:cs="Arial"/>
          <w:sz w:val="22"/>
          <w:szCs w:val="22"/>
        </w:rPr>
        <w:t>a</w:t>
      </w:r>
      <w:r w:rsidRPr="008114D0">
        <w:rPr>
          <w:rFonts w:ascii="Arial" w:eastAsia="Arial Nova" w:hAnsi="Arial" w:cs="Arial"/>
          <w:sz w:val="22"/>
          <w:szCs w:val="22"/>
        </w:rPr>
        <w:t xml:space="preserve"> denunciad</w:t>
      </w:r>
      <w:r w:rsidR="00293798">
        <w:rPr>
          <w:rFonts w:ascii="Arial" w:eastAsia="Arial Nova" w:hAnsi="Arial" w:cs="Arial"/>
          <w:sz w:val="22"/>
          <w:szCs w:val="22"/>
        </w:rPr>
        <w:t>a</w:t>
      </w:r>
      <w:r w:rsidRPr="008114D0">
        <w:rPr>
          <w:rFonts w:ascii="Arial" w:eastAsia="Arial Nova" w:hAnsi="Arial" w:cs="Arial"/>
          <w:sz w:val="22"/>
          <w:szCs w:val="22"/>
        </w:rPr>
        <w:t xml:space="preserve">, por la presunta </w:t>
      </w:r>
      <w:r w:rsidR="00293798">
        <w:rPr>
          <w:rFonts w:ascii="Arial" w:eastAsia="Arial Nova" w:hAnsi="Arial" w:cs="Arial"/>
          <w:sz w:val="22"/>
          <w:szCs w:val="22"/>
        </w:rPr>
        <w:t>violación a las reglas de propaganda electoral.</w:t>
      </w:r>
    </w:p>
    <w:p w14:paraId="02EC6C2C"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2FE7793" w14:textId="355F4D4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1.3. Radicación y </w:t>
      </w:r>
      <w:r w:rsidR="005337D4">
        <w:rPr>
          <w:rFonts w:ascii="Arial" w:eastAsia="Arial Nova" w:hAnsi="Arial" w:cs="Arial"/>
          <w:b/>
          <w:sz w:val="22"/>
          <w:szCs w:val="22"/>
        </w:rPr>
        <w:t>prevención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5337D4">
        <w:rPr>
          <w:rFonts w:ascii="Arial" w:eastAsia="Arial Nova" w:hAnsi="Arial" w:cs="Arial"/>
          <w:sz w:val="22"/>
          <w:szCs w:val="22"/>
        </w:rPr>
        <w:t>veintiocho</w:t>
      </w:r>
      <w:r w:rsidRPr="008114D0">
        <w:rPr>
          <w:rFonts w:ascii="Arial" w:eastAsia="Arial Nova" w:hAnsi="Arial" w:cs="Arial"/>
          <w:sz w:val="22"/>
          <w:szCs w:val="22"/>
        </w:rPr>
        <w:t xml:space="preserve"> de mayo,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w:t>
      </w:r>
      <w:r w:rsidR="008155D6">
        <w:rPr>
          <w:rFonts w:ascii="Arial" w:eastAsia="Arial Nova" w:hAnsi="Arial" w:cs="Arial"/>
          <w:sz w:val="22"/>
          <w:szCs w:val="22"/>
        </w:rPr>
        <w:t>P</w:t>
      </w:r>
      <w:r w:rsidRPr="008114D0">
        <w:rPr>
          <w:rFonts w:ascii="Arial" w:eastAsia="Arial Nova" w:hAnsi="Arial" w:cs="Arial"/>
          <w:sz w:val="22"/>
          <w:szCs w:val="22"/>
        </w:rPr>
        <w:t xml:space="preserve">rocedimiento </w:t>
      </w:r>
      <w:r w:rsidR="008155D6">
        <w:rPr>
          <w:rFonts w:ascii="Arial" w:eastAsia="Arial Nova" w:hAnsi="Arial" w:cs="Arial"/>
          <w:sz w:val="22"/>
          <w:szCs w:val="22"/>
        </w:rPr>
        <w:t>E</w:t>
      </w:r>
      <w:r w:rsidRPr="008114D0">
        <w:rPr>
          <w:rFonts w:ascii="Arial" w:eastAsia="Arial Nova" w:hAnsi="Arial" w:cs="Arial"/>
          <w:sz w:val="22"/>
          <w:szCs w:val="22"/>
        </w:rPr>
        <w:t xml:space="preserve">special </w:t>
      </w:r>
      <w:r w:rsidR="008155D6">
        <w:rPr>
          <w:rFonts w:ascii="Arial" w:eastAsia="Arial Nova" w:hAnsi="Arial" w:cs="Arial"/>
          <w:sz w:val="22"/>
          <w:szCs w:val="22"/>
        </w:rPr>
        <w:t>S</w:t>
      </w:r>
      <w:r w:rsidRPr="008114D0">
        <w:rPr>
          <w:rFonts w:ascii="Arial" w:eastAsia="Arial Nova" w:hAnsi="Arial" w:cs="Arial"/>
          <w:sz w:val="22"/>
          <w:szCs w:val="22"/>
        </w:rPr>
        <w:t xml:space="preserve">ancionador </w:t>
      </w:r>
      <w:r w:rsidR="008155D6">
        <w:rPr>
          <w:rFonts w:ascii="Arial" w:eastAsia="Arial Nova" w:hAnsi="Arial" w:cs="Arial"/>
          <w:sz w:val="22"/>
          <w:szCs w:val="22"/>
        </w:rPr>
        <w:t>con la clave</w:t>
      </w:r>
      <w:r w:rsidRPr="008114D0">
        <w:rPr>
          <w:rFonts w:ascii="Arial" w:eastAsia="Arial Nova" w:hAnsi="Arial" w:cs="Arial"/>
          <w:sz w:val="22"/>
          <w:szCs w:val="22"/>
        </w:rPr>
        <w:t xml:space="preserve"> IEE/</w:t>
      </w:r>
      <w:r w:rsidR="005337D4" w:rsidRPr="008114D0">
        <w:rPr>
          <w:rFonts w:ascii="Arial" w:eastAsia="Arial Nova" w:hAnsi="Arial" w:cs="Arial"/>
          <w:sz w:val="22"/>
          <w:szCs w:val="22"/>
        </w:rPr>
        <w:t xml:space="preserve"> </w:t>
      </w:r>
      <w:r w:rsidRPr="008114D0">
        <w:rPr>
          <w:rFonts w:ascii="Arial" w:eastAsia="Arial Nova" w:hAnsi="Arial" w:cs="Arial"/>
          <w:sz w:val="22"/>
          <w:szCs w:val="22"/>
        </w:rPr>
        <w:t>PES/0</w:t>
      </w:r>
      <w:r w:rsidR="005337D4">
        <w:rPr>
          <w:rFonts w:ascii="Arial" w:eastAsia="Arial Nova" w:hAnsi="Arial" w:cs="Arial"/>
          <w:sz w:val="22"/>
          <w:szCs w:val="22"/>
        </w:rPr>
        <w:t>58</w:t>
      </w:r>
      <w:r w:rsidRPr="008114D0">
        <w:rPr>
          <w:rFonts w:ascii="Arial" w:eastAsia="Arial Nova" w:hAnsi="Arial" w:cs="Arial"/>
          <w:sz w:val="22"/>
          <w:szCs w:val="22"/>
        </w:rPr>
        <w:t xml:space="preserve">/2021; además, </w:t>
      </w:r>
      <w:r w:rsidR="005337D4">
        <w:rPr>
          <w:rFonts w:ascii="Arial" w:eastAsia="Arial Nova" w:hAnsi="Arial" w:cs="Arial"/>
          <w:sz w:val="22"/>
          <w:szCs w:val="22"/>
        </w:rPr>
        <w:lastRenderedPageBreak/>
        <w:t>se requirió a la denunciante que precisara los domicilios donde puede ser localizada la propaganda electoral denunciada.</w:t>
      </w:r>
    </w:p>
    <w:p w14:paraId="373E26F6" w14:textId="79765580"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AE32F09" w14:textId="78D8128D" w:rsidR="005337D4" w:rsidRPr="008114D0" w:rsidRDefault="005337D4" w:rsidP="005337D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Razón y 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 xml:space="preserve">treinta y uno de mayo, el </w:t>
      </w:r>
      <w:proofErr w:type="gramStart"/>
      <w:r>
        <w:rPr>
          <w:rFonts w:ascii="Arial" w:eastAsia="Arial Nova" w:hAnsi="Arial" w:cs="Arial"/>
          <w:sz w:val="22"/>
          <w:szCs w:val="22"/>
        </w:rPr>
        <w:t>Secretario Ejecutivo</w:t>
      </w:r>
      <w:proofErr w:type="gramEnd"/>
      <w:r>
        <w:rPr>
          <w:rFonts w:ascii="Arial" w:eastAsia="Arial Nova" w:hAnsi="Arial" w:cs="Arial"/>
          <w:sz w:val="22"/>
          <w:szCs w:val="22"/>
        </w:rPr>
        <w:t xml:space="preserve"> razonó tener a la denunciante, por no atendiendo el requerimiento realizado, además ordeno certificar la existencia y contenido de la propaganda electoral ubicada en diversos domicilios.</w:t>
      </w:r>
    </w:p>
    <w:p w14:paraId="4BBAF9F9" w14:textId="5F14A3A4" w:rsidR="005337D4" w:rsidRDefault="005337D4"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6696CB4" w14:textId="474E1E73"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114D0">
        <w:rPr>
          <w:rFonts w:ascii="Arial" w:eastAsia="Arial Nova" w:hAnsi="Arial" w:cs="Arial"/>
          <w:b/>
          <w:sz w:val="22"/>
          <w:szCs w:val="22"/>
        </w:rPr>
        <w:t>1.</w:t>
      </w:r>
      <w:r w:rsidR="005337D4">
        <w:rPr>
          <w:rFonts w:ascii="Arial" w:eastAsia="Arial Nova" w:hAnsi="Arial" w:cs="Arial"/>
          <w:b/>
          <w:sz w:val="22"/>
          <w:szCs w:val="22"/>
        </w:rPr>
        <w:t>5</w:t>
      </w:r>
      <w:r w:rsidRPr="008114D0">
        <w:rPr>
          <w:rFonts w:ascii="Arial" w:eastAsia="Arial Nova" w:hAnsi="Arial" w:cs="Arial"/>
          <w:b/>
          <w:sz w:val="22"/>
          <w:szCs w:val="22"/>
        </w:rPr>
        <w:t xml:space="preserve">. Oficialía Electoral. </w:t>
      </w:r>
      <w:r w:rsidR="005337D4">
        <w:rPr>
          <w:rFonts w:ascii="Arial" w:eastAsia="Arial Nova" w:hAnsi="Arial" w:cs="Arial"/>
          <w:bCs/>
          <w:sz w:val="22"/>
          <w:szCs w:val="22"/>
        </w:rPr>
        <w:t>El tres de junio</w:t>
      </w:r>
      <w:r w:rsidRPr="008114D0">
        <w:rPr>
          <w:rFonts w:ascii="Arial" w:eastAsia="Arial Nova" w:hAnsi="Arial" w:cs="Arial"/>
          <w:bCs/>
          <w:sz w:val="22"/>
          <w:szCs w:val="22"/>
        </w:rPr>
        <w:t>,</w:t>
      </w:r>
      <w:r w:rsidRPr="008114D0">
        <w:rPr>
          <w:rFonts w:ascii="Arial" w:eastAsia="Arial Nova" w:hAnsi="Arial" w:cs="Arial"/>
          <w:b/>
          <w:sz w:val="22"/>
          <w:szCs w:val="22"/>
        </w:rPr>
        <w:t xml:space="preserve"> </w:t>
      </w:r>
      <w:r w:rsidR="005337D4">
        <w:rPr>
          <w:rFonts w:ascii="Arial" w:eastAsia="Arial Nova" w:hAnsi="Arial" w:cs="Arial"/>
          <w:bCs/>
          <w:sz w:val="22"/>
          <w:szCs w:val="22"/>
        </w:rPr>
        <w:t>la asistente de la Jefatura de Gestión, Estudios y Proyectos, adscrita a la Dirección Jurídica del IEE</w:t>
      </w:r>
      <w:r w:rsidRPr="008114D0">
        <w:rPr>
          <w:rFonts w:ascii="Arial" w:eastAsia="Arial Nova" w:hAnsi="Arial" w:cs="Arial"/>
          <w:bCs/>
          <w:sz w:val="22"/>
          <w:szCs w:val="22"/>
        </w:rPr>
        <w:t>, certificó el contenido</w:t>
      </w:r>
      <w:r w:rsidR="008155D6">
        <w:rPr>
          <w:rFonts w:ascii="Arial" w:eastAsia="Arial Nova" w:hAnsi="Arial" w:cs="Arial"/>
          <w:bCs/>
          <w:sz w:val="22"/>
          <w:szCs w:val="22"/>
        </w:rPr>
        <w:t xml:space="preserve"> y existencia</w:t>
      </w:r>
      <w:r w:rsidRPr="008114D0">
        <w:rPr>
          <w:rFonts w:ascii="Arial" w:eastAsia="Arial Nova" w:hAnsi="Arial" w:cs="Arial"/>
          <w:bCs/>
          <w:sz w:val="22"/>
          <w:szCs w:val="22"/>
        </w:rPr>
        <w:t xml:space="preserve"> </w:t>
      </w:r>
      <w:r w:rsidR="005337D4">
        <w:rPr>
          <w:rFonts w:ascii="Arial" w:eastAsia="Arial Nova" w:hAnsi="Arial" w:cs="Arial"/>
          <w:bCs/>
          <w:sz w:val="22"/>
          <w:szCs w:val="22"/>
        </w:rPr>
        <w:t xml:space="preserve">de propaganda electoral </w:t>
      </w:r>
      <w:r w:rsidR="003C2DC3">
        <w:rPr>
          <w:rFonts w:ascii="Arial" w:eastAsia="Arial Nova" w:hAnsi="Arial" w:cs="Arial"/>
          <w:bCs/>
          <w:sz w:val="22"/>
          <w:szCs w:val="22"/>
        </w:rPr>
        <w:t>colocada</w:t>
      </w:r>
      <w:r w:rsidR="005337D4">
        <w:rPr>
          <w:rFonts w:ascii="Arial" w:eastAsia="Arial Nova" w:hAnsi="Arial" w:cs="Arial"/>
          <w:bCs/>
          <w:sz w:val="22"/>
          <w:szCs w:val="22"/>
        </w:rPr>
        <w:t xml:space="preserve"> en diversos domicilios.</w:t>
      </w:r>
    </w:p>
    <w:p w14:paraId="0AB5622A" w14:textId="6B839C8D" w:rsidR="005337D4" w:rsidRDefault="005337D4" w:rsidP="008155D6">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00355CFC" w14:textId="646938CB" w:rsidR="005337D4" w:rsidRPr="008114D0" w:rsidRDefault="005337D4" w:rsidP="005337D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6</w:t>
      </w:r>
      <w:r w:rsidRPr="008114D0">
        <w:rPr>
          <w:rFonts w:ascii="Arial" w:eastAsia="Arial Nova" w:hAnsi="Arial" w:cs="Arial"/>
          <w:b/>
          <w:sz w:val="22"/>
          <w:szCs w:val="22"/>
        </w:rPr>
        <w:t xml:space="preserve">. Admisión y emplazamiento. </w:t>
      </w:r>
      <w:r w:rsidRPr="008114D0">
        <w:rPr>
          <w:rFonts w:ascii="Arial" w:eastAsia="Arial Nova" w:hAnsi="Arial" w:cs="Arial"/>
          <w:bCs/>
          <w:sz w:val="22"/>
          <w:szCs w:val="22"/>
        </w:rPr>
        <w:t xml:space="preserve">El </w:t>
      </w:r>
      <w:r>
        <w:rPr>
          <w:rFonts w:ascii="Arial" w:eastAsia="Arial Nova" w:hAnsi="Arial" w:cs="Arial"/>
          <w:bCs/>
          <w:sz w:val="22"/>
          <w:szCs w:val="22"/>
        </w:rPr>
        <w:t>cuatro de junio</w:t>
      </w:r>
      <w:r w:rsidRPr="008114D0">
        <w:rPr>
          <w:rFonts w:ascii="Arial" w:eastAsia="Arial Nova" w:hAnsi="Arial" w:cs="Arial"/>
          <w:bCs/>
          <w:sz w:val="22"/>
          <w:szCs w:val="22"/>
        </w:rPr>
        <w:t>, el</w:t>
      </w:r>
      <w:r w:rsidRPr="008114D0">
        <w:rPr>
          <w:rFonts w:ascii="Arial" w:eastAsia="Arial Nova" w:hAnsi="Arial" w:cs="Arial"/>
          <w:sz w:val="22"/>
          <w:szCs w:val="22"/>
        </w:rPr>
        <w:t xml:space="preserve">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procedió a determinar la admisión de la denuncia </w:t>
      </w:r>
      <w:r>
        <w:rPr>
          <w:rFonts w:ascii="Arial" w:eastAsia="Arial Nova" w:hAnsi="Arial" w:cs="Arial"/>
          <w:sz w:val="22"/>
          <w:szCs w:val="22"/>
        </w:rPr>
        <w:t>derivado del</w:t>
      </w:r>
      <w:r w:rsidRPr="008114D0">
        <w:rPr>
          <w:rFonts w:ascii="Arial" w:eastAsia="Arial Nova" w:hAnsi="Arial" w:cs="Arial"/>
          <w:sz w:val="22"/>
          <w:szCs w:val="22"/>
        </w:rPr>
        <w:t xml:space="preserve"> </w:t>
      </w:r>
      <w:r>
        <w:rPr>
          <w:rFonts w:ascii="Arial" w:eastAsia="Arial Nova" w:hAnsi="Arial" w:cs="Arial"/>
          <w:sz w:val="22"/>
          <w:szCs w:val="22"/>
        </w:rPr>
        <w:t>“</w:t>
      </w:r>
      <w:r>
        <w:rPr>
          <w:rFonts w:ascii="Arial" w:eastAsia="Arial Nova" w:hAnsi="Arial" w:cs="Arial"/>
          <w:i/>
          <w:iCs/>
          <w:sz w:val="22"/>
          <w:szCs w:val="22"/>
        </w:rPr>
        <w:t xml:space="preserve">INCIDENTE DE INCUMPLIMIENTO DE SENTENCIA… 12. Por lo que al </w:t>
      </w:r>
      <w:proofErr w:type="spellStart"/>
      <w:r>
        <w:rPr>
          <w:rFonts w:ascii="Arial" w:eastAsia="Arial Nova" w:hAnsi="Arial" w:cs="Arial"/>
          <w:i/>
          <w:iCs/>
          <w:sz w:val="22"/>
          <w:szCs w:val="22"/>
        </w:rPr>
        <w:t>dia</w:t>
      </w:r>
      <w:proofErr w:type="spellEnd"/>
      <w:r>
        <w:rPr>
          <w:rFonts w:ascii="Arial" w:eastAsia="Arial Nova" w:hAnsi="Arial" w:cs="Arial"/>
          <w:i/>
          <w:iCs/>
          <w:sz w:val="22"/>
          <w:szCs w:val="22"/>
        </w:rPr>
        <w:t xml:space="preserve"> de hoy se sigue circulando propaganda de la C. Patricia García </w:t>
      </w:r>
      <w:proofErr w:type="spellStart"/>
      <w:r>
        <w:rPr>
          <w:rFonts w:ascii="Arial" w:eastAsia="Arial Nova" w:hAnsi="Arial" w:cs="Arial"/>
          <w:i/>
          <w:iCs/>
          <w:sz w:val="22"/>
          <w:szCs w:val="22"/>
        </w:rPr>
        <w:t>García</w:t>
      </w:r>
      <w:proofErr w:type="spellEnd"/>
      <w:r>
        <w:rPr>
          <w:rFonts w:ascii="Arial" w:eastAsia="Arial Nova" w:hAnsi="Arial" w:cs="Arial"/>
          <w:i/>
          <w:iCs/>
          <w:sz w:val="22"/>
          <w:szCs w:val="22"/>
        </w:rPr>
        <w:t xml:space="preserve"> aun cuando actualmente no es candidata en este proceso electoral 2020-2021… 14. Por lo que el que siga existiendo circulación de propaganda política de una ciudadana que ya no ostenta la calidad de candidata en este proceso electoral viola la normativa electoral. 15. Además de que el Partido Acción Nacional… incumple su deber de retirar esta publicidad de los establecimientos donde se hayan instalado…”</w:t>
      </w:r>
      <w:r w:rsidRPr="008114D0">
        <w:rPr>
          <w:rFonts w:ascii="Arial" w:eastAsia="Arial Nova" w:hAnsi="Arial" w:cs="Arial"/>
          <w:sz w:val="22"/>
          <w:szCs w:val="22"/>
        </w:rPr>
        <w:t xml:space="preserve">”, </w:t>
      </w:r>
      <w:r>
        <w:rPr>
          <w:rFonts w:ascii="Arial" w:eastAsia="Arial Nova" w:hAnsi="Arial" w:cs="Arial"/>
          <w:sz w:val="22"/>
          <w:szCs w:val="22"/>
        </w:rPr>
        <w:t>luego,</w:t>
      </w:r>
      <w:r w:rsidRPr="008114D0">
        <w:rPr>
          <w:rFonts w:ascii="Arial" w:eastAsia="Arial Nova" w:hAnsi="Arial" w:cs="Arial"/>
          <w:sz w:val="22"/>
          <w:szCs w:val="22"/>
        </w:rPr>
        <w:t xml:space="preserve"> se señaló fecha</w:t>
      </w:r>
      <w:r w:rsidRPr="008114D0">
        <w:rPr>
          <w:rStyle w:val="Refdenotaalpie"/>
          <w:rFonts w:ascii="Arial" w:eastAsia="Arial Nova" w:hAnsi="Arial" w:cs="Arial"/>
          <w:sz w:val="22"/>
          <w:szCs w:val="22"/>
        </w:rPr>
        <w:footnoteReference w:id="1"/>
      </w:r>
      <w:r w:rsidRPr="008114D0">
        <w:rPr>
          <w:rFonts w:ascii="Arial" w:eastAsia="Arial Nova" w:hAnsi="Arial" w:cs="Arial"/>
          <w:sz w:val="22"/>
          <w:szCs w:val="22"/>
        </w:rPr>
        <w:t xml:space="preserve"> para la celebración de la Audiencia de Pruebas y Alegatos.</w:t>
      </w:r>
    </w:p>
    <w:p w14:paraId="3319CF60" w14:textId="77777777" w:rsidR="005337D4" w:rsidRDefault="005337D4" w:rsidP="008155D6">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5A0023E" w14:textId="6D30B817" w:rsidR="002011BB" w:rsidRPr="008114D0" w:rsidRDefault="008155D6"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3C2DC3">
        <w:rPr>
          <w:rFonts w:ascii="Arial" w:eastAsia="Arial Nova" w:hAnsi="Arial" w:cs="Arial"/>
          <w:b/>
          <w:sz w:val="22"/>
          <w:szCs w:val="22"/>
        </w:rPr>
        <w:t>7</w:t>
      </w:r>
      <w:r w:rsidRPr="008114D0">
        <w:rPr>
          <w:rFonts w:ascii="Arial" w:eastAsia="Arial Nova" w:hAnsi="Arial" w:cs="Arial"/>
          <w:b/>
          <w:sz w:val="22"/>
          <w:szCs w:val="22"/>
        </w:rPr>
        <w:t>. Medidas cautelares.</w:t>
      </w:r>
      <w:r w:rsidRPr="008114D0">
        <w:rPr>
          <w:rFonts w:ascii="Arial" w:eastAsia="Arial Nova" w:hAnsi="Arial" w:cs="Arial"/>
          <w:sz w:val="22"/>
          <w:szCs w:val="22"/>
        </w:rPr>
        <w:t xml:space="preserve"> El </w:t>
      </w:r>
      <w:r w:rsidR="003C2DC3">
        <w:rPr>
          <w:rFonts w:ascii="Arial" w:eastAsia="Arial Nova" w:hAnsi="Arial" w:cs="Arial"/>
          <w:sz w:val="22"/>
          <w:szCs w:val="22"/>
        </w:rPr>
        <w:t>seis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w:t>
      </w:r>
      <w:r w:rsidRPr="008114D0">
        <w:rPr>
          <w:rFonts w:ascii="Arial" w:eastAsia="Arial Nova" w:hAnsi="Arial" w:cs="Arial"/>
          <w:bCs/>
          <w:sz w:val="22"/>
          <w:szCs w:val="22"/>
        </w:rPr>
        <w:t>concluyó no 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2"/>
      </w:r>
      <w:r w:rsidRPr="008114D0">
        <w:rPr>
          <w:rFonts w:ascii="Arial" w:eastAsia="Arial Nova" w:hAnsi="Arial" w:cs="Arial"/>
          <w:sz w:val="22"/>
          <w:szCs w:val="22"/>
        </w:rPr>
        <w:t xml:space="preserve"> párrafo segundo del Código Electoral</w:t>
      </w:r>
      <w:r w:rsidR="003C2DC3">
        <w:rPr>
          <w:rFonts w:ascii="Arial" w:eastAsia="Arial Nova" w:hAnsi="Arial" w:cs="Arial"/>
          <w:sz w:val="22"/>
          <w:szCs w:val="22"/>
        </w:rPr>
        <w:t>.</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5A4E76A5"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3C2DC3">
        <w:rPr>
          <w:rFonts w:ascii="Arial" w:eastAsia="Arial Nova" w:hAnsi="Arial" w:cs="Arial"/>
          <w:b/>
          <w:sz w:val="22"/>
          <w:szCs w:val="22"/>
        </w:rPr>
        <w:t>8</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3C2DC3">
        <w:rPr>
          <w:rFonts w:ascii="Arial" w:hAnsi="Arial" w:cs="Arial"/>
          <w:bCs/>
          <w:sz w:val="22"/>
          <w:szCs w:val="22"/>
        </w:rPr>
        <w:t>siete</w:t>
      </w:r>
      <w:r w:rsidR="008155D6">
        <w:rPr>
          <w:rFonts w:ascii="Arial" w:hAnsi="Arial" w:cs="Arial"/>
          <w:bCs/>
          <w:sz w:val="22"/>
          <w:szCs w:val="22"/>
        </w:rPr>
        <w:t xml:space="preserve">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72A0F230"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1.9. Turno del expediente. </w:t>
      </w:r>
      <w:r w:rsidRPr="008114D0">
        <w:rPr>
          <w:rFonts w:ascii="Arial" w:eastAsia="Arial Nova" w:hAnsi="Arial" w:cs="Arial"/>
          <w:sz w:val="22"/>
          <w:szCs w:val="22"/>
        </w:rPr>
        <w:t xml:space="preserve">El </w:t>
      </w:r>
      <w:r w:rsidR="007F4175">
        <w:rPr>
          <w:rFonts w:ascii="Arial" w:eastAsia="Arial Nova" w:hAnsi="Arial" w:cs="Arial"/>
          <w:sz w:val="22"/>
          <w:szCs w:val="22"/>
        </w:rPr>
        <w:t>ocho</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3C2DC3">
        <w:rPr>
          <w:rFonts w:ascii="Arial" w:eastAsia="Arial Nova" w:hAnsi="Arial" w:cs="Arial"/>
          <w:sz w:val="22"/>
          <w:szCs w:val="22"/>
        </w:rPr>
        <w:t>65</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64DAFC3D"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lastRenderedPageBreak/>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Pr="006924ED">
        <w:rPr>
          <w:rFonts w:ascii="Arial" w:eastAsia="Arial Nova" w:hAnsi="Arial" w:cs="Arial"/>
          <w:bCs/>
          <w:sz w:val="22"/>
          <w:szCs w:val="22"/>
        </w:rPr>
        <w:t xml:space="preserve">El </w:t>
      </w:r>
      <w:r w:rsidR="006924ED">
        <w:rPr>
          <w:rFonts w:ascii="Arial" w:eastAsia="Arial Nova" w:hAnsi="Arial" w:cs="Arial"/>
          <w:bCs/>
          <w:sz w:val="22"/>
          <w:szCs w:val="22"/>
        </w:rPr>
        <w:t>trece de junio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7531019C"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Pr>
          <w:rFonts w:ascii="Arial" w:eastAsia="Arial Nova" w:hAnsi="Arial" w:cs="Arial"/>
          <w:sz w:val="22"/>
          <w:szCs w:val="22"/>
        </w:rPr>
        <w:t xml:space="preserve">difusión de </w:t>
      </w:r>
      <w:r w:rsidR="00AA0677">
        <w:rPr>
          <w:rFonts w:ascii="Arial" w:eastAsia="Arial Nova" w:hAnsi="Arial" w:cs="Arial"/>
          <w:sz w:val="22"/>
          <w:szCs w:val="22"/>
        </w:rPr>
        <w:t>propaganda electoral indebida, debido a que sigue circulando publicidad a favor de una ciudadana que actualmente no es candidata en este proceso electoral 2020-2021.</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3"/>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lastRenderedPageBreak/>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F645B61" w14:textId="14734B74" w:rsidR="009B4CEE" w:rsidRDefault="003D56A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 xml:space="preserve">Atendiendo a lo razonado anteriormente, los hechos denunciados en el presente asunto que se </w:t>
      </w:r>
      <w:r w:rsidRPr="006312A8">
        <w:rPr>
          <w:rFonts w:ascii="Arial" w:hAnsi="Arial" w:cs="Arial"/>
          <w:bCs/>
          <w:sz w:val="22"/>
          <w:szCs w:val="22"/>
        </w:rPr>
        <w:t>desprenden del escrito de queja, se hacen consistir sustancialmente en</w:t>
      </w:r>
      <w:r w:rsidR="00844BB8" w:rsidRPr="006312A8">
        <w:rPr>
          <w:rFonts w:ascii="Arial" w:hAnsi="Arial" w:cs="Arial"/>
          <w:bCs/>
          <w:sz w:val="22"/>
          <w:szCs w:val="22"/>
        </w:rPr>
        <w:t xml:space="preserve"> </w:t>
      </w:r>
      <w:r w:rsidR="00AA0677">
        <w:rPr>
          <w:rFonts w:ascii="Arial" w:hAnsi="Arial" w:cs="Arial"/>
          <w:bCs/>
          <w:sz w:val="22"/>
          <w:szCs w:val="22"/>
        </w:rPr>
        <w:t>una violación a las reglas de propaganda electoral.</w:t>
      </w:r>
    </w:p>
    <w:p w14:paraId="4F9446BA" w14:textId="066A2F35" w:rsidR="006312A8" w:rsidRDefault="006312A8"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0C86AF02" w14:textId="0955A93D"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AA0677">
        <w:rPr>
          <w:rFonts w:ascii="Arial" w:eastAsia="Arial Nova" w:hAnsi="Arial" w:cs="Arial"/>
          <w:bCs/>
          <w:sz w:val="22"/>
          <w:szCs w:val="22"/>
        </w:rPr>
        <w:t xml:space="preserve">Lo anterior, derivado de que </w:t>
      </w:r>
      <w:r>
        <w:rPr>
          <w:rFonts w:ascii="Arial" w:eastAsia="Arial Nova" w:hAnsi="Arial" w:cs="Arial"/>
          <w:bCs/>
          <w:sz w:val="22"/>
          <w:szCs w:val="22"/>
        </w:rPr>
        <w:t xml:space="preserve">la resolución de la Sala Regional Monterrey de clave SM-JRC-65/2021 dejó sin efectos el registro de la C. Patricia García </w:t>
      </w:r>
      <w:proofErr w:type="spellStart"/>
      <w:r>
        <w:rPr>
          <w:rFonts w:ascii="Arial" w:eastAsia="Arial Nova" w:hAnsi="Arial" w:cs="Arial"/>
          <w:bCs/>
          <w:sz w:val="22"/>
          <w:szCs w:val="22"/>
        </w:rPr>
        <w:t>García</w:t>
      </w:r>
      <w:proofErr w:type="spellEnd"/>
      <w:r>
        <w:rPr>
          <w:rFonts w:ascii="Arial" w:eastAsia="Arial Nova" w:hAnsi="Arial" w:cs="Arial"/>
          <w:bCs/>
          <w:sz w:val="22"/>
          <w:szCs w:val="22"/>
        </w:rPr>
        <w:t>, quien fue postulada por el Partido Acción Nacional, como candidata a diputada del distrito electoral XV.</w:t>
      </w:r>
    </w:p>
    <w:p w14:paraId="364A348B" w14:textId="57CE98DA"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2BCAD3AA" w14:textId="617E9873"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Pr>
          <w:rFonts w:ascii="Arial" w:eastAsia="Arial Nova" w:hAnsi="Arial" w:cs="Arial"/>
          <w:bCs/>
          <w:sz w:val="22"/>
          <w:szCs w:val="22"/>
        </w:rPr>
        <w:t>Sin embargo, la parte denunciante acusa de que “hasta el día de hoy” se tiene conocimiento de que la propaganda electoral de la referida candidata, sigue causando efectos en el Municipio de Aguascalientes, pese a que ya no es candidata en este proceso electoral 2020-2021.</w:t>
      </w:r>
    </w:p>
    <w:p w14:paraId="50AB60A6" w14:textId="59A79738"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0D613429" w14:textId="7EE84112"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Pr>
          <w:rFonts w:ascii="Arial" w:eastAsia="Arial Nova" w:hAnsi="Arial" w:cs="Arial"/>
          <w:bCs/>
          <w:sz w:val="22"/>
          <w:szCs w:val="22"/>
        </w:rPr>
        <w:t>En tal sentido, apunta que la propaganda se encuentra fijada de la siguiente manera:</w:t>
      </w:r>
    </w:p>
    <w:p w14:paraId="2F154268" w14:textId="5DA154CA" w:rsidR="00AA0677" w:rsidRDefault="00AA0677"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tbl>
      <w:tblPr>
        <w:tblStyle w:val="Tablaconcuadrcula"/>
        <w:tblW w:w="0" w:type="auto"/>
        <w:jc w:val="center"/>
        <w:tblLook w:val="04A0" w:firstRow="1" w:lastRow="0" w:firstColumn="1" w:lastColumn="0" w:noHBand="0" w:noVBand="1"/>
      </w:tblPr>
      <w:tblGrid>
        <w:gridCol w:w="2378"/>
        <w:gridCol w:w="4153"/>
      </w:tblGrid>
      <w:tr w:rsidR="00B966E4" w14:paraId="64AFE689" w14:textId="77777777" w:rsidTr="00B966E4">
        <w:trPr>
          <w:jc w:val="center"/>
        </w:trPr>
        <w:tc>
          <w:tcPr>
            <w:tcW w:w="2378" w:type="dxa"/>
            <w:shd w:val="clear" w:color="auto" w:fill="BFBFBF" w:themeFill="background1" w:themeFillShade="BF"/>
          </w:tcPr>
          <w:p w14:paraId="5944AD35" w14:textId="00389F8A" w:rsidR="00AA0677" w:rsidRDefault="00AA0677" w:rsidP="00AA0677">
            <w:pPr>
              <w:tabs>
                <w:tab w:val="left" w:pos="567"/>
              </w:tabs>
              <w:spacing w:line="360" w:lineRule="auto"/>
              <w:ind w:right="36"/>
              <w:jc w:val="center"/>
              <w:rPr>
                <w:rFonts w:ascii="Arial" w:eastAsia="Arial Nova" w:hAnsi="Arial" w:cs="Arial"/>
                <w:bCs/>
                <w:sz w:val="22"/>
                <w:szCs w:val="22"/>
              </w:rPr>
            </w:pPr>
            <w:r>
              <w:rPr>
                <w:rFonts w:ascii="Arial" w:eastAsia="Arial Nova" w:hAnsi="Arial" w:cs="Arial"/>
                <w:bCs/>
                <w:sz w:val="22"/>
                <w:szCs w:val="22"/>
              </w:rPr>
              <w:t>Ubicación del a propaganda electoral y coordenadas geográficas.</w:t>
            </w:r>
          </w:p>
        </w:tc>
        <w:tc>
          <w:tcPr>
            <w:tcW w:w="4001" w:type="dxa"/>
            <w:shd w:val="clear" w:color="auto" w:fill="BFBFBF" w:themeFill="background1" w:themeFillShade="BF"/>
          </w:tcPr>
          <w:p w14:paraId="3AB59F60" w14:textId="018178FF" w:rsidR="00AA0677" w:rsidRDefault="00AA0677" w:rsidP="00B966E4">
            <w:pPr>
              <w:tabs>
                <w:tab w:val="left" w:pos="567"/>
              </w:tabs>
              <w:spacing w:line="360" w:lineRule="auto"/>
              <w:ind w:right="36"/>
              <w:jc w:val="center"/>
              <w:rPr>
                <w:rFonts w:ascii="Arial" w:eastAsia="Arial Nova" w:hAnsi="Arial" w:cs="Arial"/>
                <w:bCs/>
                <w:sz w:val="22"/>
                <w:szCs w:val="22"/>
              </w:rPr>
            </w:pPr>
            <w:r>
              <w:rPr>
                <w:rFonts w:ascii="Arial" w:eastAsia="Arial Nova" w:hAnsi="Arial" w:cs="Arial"/>
                <w:bCs/>
                <w:sz w:val="22"/>
                <w:szCs w:val="22"/>
              </w:rPr>
              <w:t>Imagen de la propaganda electoral.</w:t>
            </w:r>
          </w:p>
        </w:tc>
      </w:tr>
      <w:tr w:rsidR="00B966E4" w14:paraId="510FEE0B" w14:textId="77777777" w:rsidTr="00B966E4">
        <w:trPr>
          <w:jc w:val="center"/>
        </w:trPr>
        <w:tc>
          <w:tcPr>
            <w:tcW w:w="2378" w:type="dxa"/>
            <w:shd w:val="clear" w:color="auto" w:fill="F2F2F2" w:themeFill="background1" w:themeFillShade="F2"/>
          </w:tcPr>
          <w:p w14:paraId="4B2C0C9B" w14:textId="5BB84D74" w:rsidR="00AA0677" w:rsidRDefault="00AA0677" w:rsidP="005C192D">
            <w:pPr>
              <w:tabs>
                <w:tab w:val="left" w:pos="567"/>
              </w:tabs>
              <w:spacing w:line="360" w:lineRule="auto"/>
              <w:ind w:right="36"/>
              <w:jc w:val="both"/>
              <w:rPr>
                <w:rFonts w:ascii="Arial" w:eastAsia="Arial Nova" w:hAnsi="Arial" w:cs="Arial"/>
                <w:bCs/>
                <w:sz w:val="22"/>
                <w:szCs w:val="22"/>
              </w:rPr>
            </w:pPr>
            <w:r w:rsidRPr="00AA0677">
              <w:rPr>
                <w:rFonts w:ascii="Arial" w:eastAsia="Arial Nova" w:hAnsi="Arial" w:cs="Arial"/>
                <w:bCs/>
                <w:sz w:val="18"/>
                <w:szCs w:val="18"/>
              </w:rPr>
              <w:t xml:space="preserve">Antonio Díaz Soto y Gama 207, Emiliano Zapata, 20298 Aguascalientes, Ags. </w:t>
            </w:r>
            <w:proofErr w:type="gramStart"/>
            <w:r w:rsidRPr="00AA0677">
              <w:rPr>
                <w:rFonts w:ascii="Arial" w:eastAsia="Arial Nova" w:hAnsi="Arial" w:cs="Arial"/>
                <w:bCs/>
                <w:sz w:val="18"/>
                <w:szCs w:val="18"/>
              </w:rPr>
              <w:t>21.8526664435683323,-</w:t>
            </w:r>
            <w:proofErr w:type="gramEnd"/>
            <w:r w:rsidRPr="00AA0677">
              <w:rPr>
                <w:rFonts w:ascii="Arial" w:eastAsia="Arial Nova" w:hAnsi="Arial" w:cs="Arial"/>
                <w:bCs/>
                <w:sz w:val="18"/>
                <w:szCs w:val="18"/>
              </w:rPr>
              <w:t>102.25550171939382</w:t>
            </w:r>
          </w:p>
        </w:tc>
        <w:tc>
          <w:tcPr>
            <w:tcW w:w="4001" w:type="dxa"/>
            <w:shd w:val="clear" w:color="auto" w:fill="F2F2F2" w:themeFill="background1" w:themeFillShade="F2"/>
          </w:tcPr>
          <w:p w14:paraId="73EC734B" w14:textId="5B80ADD7" w:rsidR="00AA0677" w:rsidRDefault="00AA0677" w:rsidP="00B966E4">
            <w:pPr>
              <w:tabs>
                <w:tab w:val="left" w:pos="567"/>
              </w:tabs>
              <w:spacing w:line="360" w:lineRule="auto"/>
              <w:ind w:right="36"/>
              <w:jc w:val="center"/>
              <w:rPr>
                <w:rFonts w:ascii="Arial" w:eastAsia="Arial Nova" w:hAnsi="Arial" w:cs="Arial"/>
                <w:bCs/>
                <w:sz w:val="22"/>
                <w:szCs w:val="22"/>
              </w:rPr>
            </w:pPr>
            <w:r w:rsidRPr="00AA0677">
              <w:rPr>
                <w:rFonts w:ascii="Arial" w:eastAsia="Arial Nova" w:hAnsi="Arial" w:cs="Arial"/>
                <w:bCs/>
                <w:noProof/>
                <w:sz w:val="22"/>
                <w:szCs w:val="22"/>
              </w:rPr>
              <w:drawing>
                <wp:inline distT="0" distB="0" distL="0" distR="0" wp14:anchorId="61AA7AEE" wp14:editId="2A08C913">
                  <wp:extent cx="2175642" cy="149520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9765" cy="1498040"/>
                          </a:xfrm>
                          <a:prstGeom prst="rect">
                            <a:avLst/>
                          </a:prstGeom>
                          <a:noFill/>
                          <a:ln>
                            <a:noFill/>
                          </a:ln>
                        </pic:spPr>
                      </pic:pic>
                    </a:graphicData>
                  </a:graphic>
                </wp:inline>
              </w:drawing>
            </w:r>
          </w:p>
        </w:tc>
      </w:tr>
      <w:tr w:rsidR="008F00FB" w14:paraId="7D825ADB" w14:textId="77777777" w:rsidTr="00B966E4">
        <w:trPr>
          <w:jc w:val="center"/>
        </w:trPr>
        <w:tc>
          <w:tcPr>
            <w:tcW w:w="2378" w:type="dxa"/>
            <w:shd w:val="clear" w:color="auto" w:fill="F2F2F2" w:themeFill="background1" w:themeFillShade="F2"/>
          </w:tcPr>
          <w:p w14:paraId="6BB9E373" w14:textId="420C58BA" w:rsidR="00AA0677"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Hacienda Gracias a Dios, Villerías, 20190 Aguascalientes, Ags.</w:t>
            </w:r>
          </w:p>
          <w:p w14:paraId="1A85FBFC" w14:textId="0AC53552" w:rsidR="008F00FB" w:rsidRPr="00AA0677" w:rsidRDefault="008F00FB" w:rsidP="005C192D">
            <w:pPr>
              <w:tabs>
                <w:tab w:val="left" w:pos="567"/>
              </w:tabs>
              <w:spacing w:line="360" w:lineRule="auto"/>
              <w:ind w:right="36"/>
              <w:jc w:val="both"/>
              <w:rPr>
                <w:rFonts w:ascii="Arial" w:eastAsia="Arial Nova" w:hAnsi="Arial" w:cs="Arial"/>
                <w:bCs/>
                <w:sz w:val="18"/>
                <w:szCs w:val="18"/>
              </w:rPr>
            </w:pPr>
            <w:proofErr w:type="gramStart"/>
            <w:r>
              <w:rPr>
                <w:rFonts w:ascii="Arial" w:eastAsia="Arial Nova" w:hAnsi="Arial" w:cs="Arial"/>
                <w:bCs/>
                <w:sz w:val="18"/>
                <w:szCs w:val="18"/>
              </w:rPr>
              <w:t>21.883959,-</w:t>
            </w:r>
            <w:proofErr w:type="gramEnd"/>
            <w:r>
              <w:rPr>
                <w:rFonts w:ascii="Arial" w:eastAsia="Arial Nova" w:hAnsi="Arial" w:cs="Arial"/>
                <w:bCs/>
                <w:sz w:val="18"/>
                <w:szCs w:val="18"/>
              </w:rPr>
              <w:t>102.247529</w:t>
            </w:r>
          </w:p>
        </w:tc>
        <w:tc>
          <w:tcPr>
            <w:tcW w:w="4001" w:type="dxa"/>
            <w:shd w:val="clear" w:color="auto" w:fill="F2F2F2" w:themeFill="background1" w:themeFillShade="F2"/>
          </w:tcPr>
          <w:p w14:paraId="2120AC65" w14:textId="059BEFC9" w:rsidR="00AA0677" w:rsidRPr="00AA0677" w:rsidRDefault="00AA0677" w:rsidP="00B966E4">
            <w:pPr>
              <w:tabs>
                <w:tab w:val="left" w:pos="567"/>
              </w:tabs>
              <w:spacing w:line="360" w:lineRule="auto"/>
              <w:ind w:right="36"/>
              <w:jc w:val="center"/>
              <w:rPr>
                <w:rFonts w:ascii="Arial" w:eastAsia="Arial Nova" w:hAnsi="Arial" w:cs="Arial"/>
                <w:bCs/>
                <w:noProof/>
                <w:sz w:val="22"/>
                <w:szCs w:val="22"/>
              </w:rPr>
            </w:pPr>
            <w:r w:rsidRPr="00AA0677">
              <w:rPr>
                <w:rFonts w:ascii="Arial" w:eastAsia="Arial Nova" w:hAnsi="Arial" w:cs="Arial"/>
                <w:bCs/>
                <w:noProof/>
                <w:sz w:val="22"/>
                <w:szCs w:val="22"/>
              </w:rPr>
              <w:drawing>
                <wp:inline distT="0" distB="0" distL="0" distR="0" wp14:anchorId="47171B63" wp14:editId="5E40027F">
                  <wp:extent cx="2306472" cy="1290692"/>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5016" cy="1295473"/>
                          </a:xfrm>
                          <a:prstGeom prst="rect">
                            <a:avLst/>
                          </a:prstGeom>
                          <a:noFill/>
                          <a:ln>
                            <a:noFill/>
                          </a:ln>
                        </pic:spPr>
                      </pic:pic>
                    </a:graphicData>
                  </a:graphic>
                </wp:inline>
              </w:drawing>
            </w:r>
          </w:p>
        </w:tc>
      </w:tr>
      <w:tr w:rsidR="008F00FB" w14:paraId="3BFC9977" w14:textId="77777777" w:rsidTr="00B966E4">
        <w:trPr>
          <w:jc w:val="center"/>
        </w:trPr>
        <w:tc>
          <w:tcPr>
            <w:tcW w:w="2378" w:type="dxa"/>
            <w:shd w:val="clear" w:color="auto" w:fill="F2F2F2" w:themeFill="background1" w:themeFillShade="F2"/>
          </w:tcPr>
          <w:p w14:paraId="6DD73AC3"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lastRenderedPageBreak/>
              <w:t>Carlos M. Bustamante 140 Emiliano Zapata</w:t>
            </w:r>
          </w:p>
          <w:p w14:paraId="6BA54BEF" w14:textId="238E6BD4"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21.8537454668903938, 102.254717743966625</w:t>
            </w:r>
          </w:p>
        </w:tc>
        <w:tc>
          <w:tcPr>
            <w:tcW w:w="4001" w:type="dxa"/>
            <w:shd w:val="clear" w:color="auto" w:fill="F2F2F2" w:themeFill="background1" w:themeFillShade="F2"/>
          </w:tcPr>
          <w:p w14:paraId="3F5F0982" w14:textId="41327986"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206AC352" wp14:editId="4EA4FA37">
                  <wp:extent cx="2309860" cy="147395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0794" cy="1480935"/>
                          </a:xfrm>
                          <a:prstGeom prst="rect">
                            <a:avLst/>
                          </a:prstGeom>
                          <a:noFill/>
                          <a:ln>
                            <a:noFill/>
                          </a:ln>
                        </pic:spPr>
                      </pic:pic>
                    </a:graphicData>
                  </a:graphic>
                </wp:inline>
              </w:drawing>
            </w:r>
          </w:p>
        </w:tc>
      </w:tr>
      <w:tr w:rsidR="008F00FB" w14:paraId="576C669C" w14:textId="77777777" w:rsidTr="00B966E4">
        <w:trPr>
          <w:jc w:val="center"/>
        </w:trPr>
        <w:tc>
          <w:tcPr>
            <w:tcW w:w="2378" w:type="dxa"/>
            <w:shd w:val="clear" w:color="auto" w:fill="F2F2F2" w:themeFill="background1" w:themeFillShade="F2"/>
          </w:tcPr>
          <w:p w14:paraId="3244D311"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 xml:space="preserve">José </w:t>
            </w:r>
            <w:proofErr w:type="spellStart"/>
            <w:r>
              <w:rPr>
                <w:rFonts w:ascii="Arial" w:eastAsia="Arial Nova" w:hAnsi="Arial" w:cs="Arial"/>
                <w:bCs/>
                <w:sz w:val="18"/>
                <w:szCs w:val="18"/>
              </w:rPr>
              <w:t>Gonzalez</w:t>
            </w:r>
            <w:proofErr w:type="spellEnd"/>
            <w:r>
              <w:rPr>
                <w:rFonts w:ascii="Arial" w:eastAsia="Arial Nova" w:hAnsi="Arial" w:cs="Arial"/>
                <w:bCs/>
                <w:sz w:val="18"/>
                <w:szCs w:val="18"/>
              </w:rPr>
              <w:t xml:space="preserve"> Carrillo 331 Emiliano Zapata</w:t>
            </w:r>
          </w:p>
          <w:p w14:paraId="3C9A4E52"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20298 Aguascalientes, Ags.</w:t>
            </w:r>
          </w:p>
          <w:p w14:paraId="43B2E5F1" w14:textId="4229510F"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21.854031, - 102.253272</w:t>
            </w:r>
          </w:p>
        </w:tc>
        <w:tc>
          <w:tcPr>
            <w:tcW w:w="4001" w:type="dxa"/>
            <w:shd w:val="clear" w:color="auto" w:fill="F2F2F2" w:themeFill="background1" w:themeFillShade="F2"/>
          </w:tcPr>
          <w:p w14:paraId="412C314E" w14:textId="3F22ADE4"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6B4BC737" wp14:editId="149E7105">
                  <wp:extent cx="2320120" cy="1677998"/>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5980" cy="1682236"/>
                          </a:xfrm>
                          <a:prstGeom prst="rect">
                            <a:avLst/>
                          </a:prstGeom>
                          <a:noFill/>
                          <a:ln>
                            <a:noFill/>
                          </a:ln>
                        </pic:spPr>
                      </pic:pic>
                    </a:graphicData>
                  </a:graphic>
                </wp:inline>
              </w:drawing>
            </w:r>
          </w:p>
        </w:tc>
      </w:tr>
      <w:tr w:rsidR="008F00FB" w14:paraId="131C732C" w14:textId="77777777" w:rsidTr="00B966E4">
        <w:trPr>
          <w:jc w:val="center"/>
        </w:trPr>
        <w:tc>
          <w:tcPr>
            <w:tcW w:w="2378" w:type="dxa"/>
            <w:shd w:val="clear" w:color="auto" w:fill="F2F2F2" w:themeFill="background1" w:themeFillShade="F2"/>
          </w:tcPr>
          <w:p w14:paraId="42E0E60D"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Fraternidad 102</w:t>
            </w:r>
          </w:p>
          <w:p w14:paraId="6A371A7C"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Solidaridad I</w:t>
            </w:r>
          </w:p>
          <w:p w14:paraId="7CA42025"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20190 Aguascalientes, Ags.</w:t>
            </w:r>
          </w:p>
          <w:p w14:paraId="18901FC5" w14:textId="1CF9B316" w:rsidR="008F00FB" w:rsidRDefault="008F00FB" w:rsidP="005C192D">
            <w:pPr>
              <w:tabs>
                <w:tab w:val="left" w:pos="567"/>
              </w:tabs>
              <w:spacing w:line="360" w:lineRule="auto"/>
              <w:ind w:right="36"/>
              <w:jc w:val="both"/>
              <w:rPr>
                <w:rFonts w:ascii="Arial" w:eastAsia="Arial Nova" w:hAnsi="Arial" w:cs="Arial"/>
                <w:bCs/>
                <w:sz w:val="18"/>
                <w:szCs w:val="18"/>
              </w:rPr>
            </w:pPr>
            <w:proofErr w:type="gramStart"/>
            <w:r>
              <w:rPr>
                <w:rFonts w:ascii="Arial" w:eastAsia="Arial Nova" w:hAnsi="Arial" w:cs="Arial"/>
                <w:bCs/>
                <w:sz w:val="18"/>
                <w:szCs w:val="18"/>
              </w:rPr>
              <w:t>21.871183,-</w:t>
            </w:r>
            <w:proofErr w:type="gramEnd"/>
            <w:r>
              <w:rPr>
                <w:rFonts w:ascii="Arial" w:eastAsia="Arial Nova" w:hAnsi="Arial" w:cs="Arial"/>
                <w:bCs/>
                <w:sz w:val="18"/>
                <w:szCs w:val="18"/>
              </w:rPr>
              <w:t>102.243245</w:t>
            </w:r>
          </w:p>
        </w:tc>
        <w:tc>
          <w:tcPr>
            <w:tcW w:w="4001" w:type="dxa"/>
            <w:shd w:val="clear" w:color="auto" w:fill="F2F2F2" w:themeFill="background1" w:themeFillShade="F2"/>
          </w:tcPr>
          <w:p w14:paraId="6C1F9823" w14:textId="30FA72C2"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619D8DD8" wp14:editId="6126DEB6">
                  <wp:extent cx="2361062" cy="1442243"/>
                  <wp:effectExtent l="0" t="0" r="127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9976" cy="1453796"/>
                          </a:xfrm>
                          <a:prstGeom prst="rect">
                            <a:avLst/>
                          </a:prstGeom>
                          <a:noFill/>
                          <a:ln>
                            <a:noFill/>
                          </a:ln>
                        </pic:spPr>
                      </pic:pic>
                    </a:graphicData>
                  </a:graphic>
                </wp:inline>
              </w:drawing>
            </w:r>
          </w:p>
        </w:tc>
      </w:tr>
      <w:tr w:rsidR="008F00FB" w14:paraId="286C4F0F" w14:textId="77777777" w:rsidTr="00B966E4">
        <w:trPr>
          <w:jc w:val="center"/>
        </w:trPr>
        <w:tc>
          <w:tcPr>
            <w:tcW w:w="2378" w:type="dxa"/>
            <w:shd w:val="clear" w:color="auto" w:fill="F2F2F2" w:themeFill="background1" w:themeFillShade="F2"/>
          </w:tcPr>
          <w:p w14:paraId="31B762EA"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Redactores 145, Periodistas, 20294 Aguascalientes, Ags.</w:t>
            </w:r>
          </w:p>
          <w:p w14:paraId="25E7D2BD" w14:textId="678A9913"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21.853053571506837, - 102.2448752787308066</w:t>
            </w:r>
          </w:p>
        </w:tc>
        <w:tc>
          <w:tcPr>
            <w:tcW w:w="4001" w:type="dxa"/>
            <w:shd w:val="clear" w:color="auto" w:fill="F2F2F2" w:themeFill="background1" w:themeFillShade="F2"/>
          </w:tcPr>
          <w:p w14:paraId="498C5A2D" w14:textId="32FFF24B"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6A14897E" wp14:editId="628F0B7A">
                  <wp:extent cx="2429302" cy="134144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7600" cy="1357070"/>
                          </a:xfrm>
                          <a:prstGeom prst="rect">
                            <a:avLst/>
                          </a:prstGeom>
                          <a:noFill/>
                          <a:ln>
                            <a:noFill/>
                          </a:ln>
                        </pic:spPr>
                      </pic:pic>
                    </a:graphicData>
                  </a:graphic>
                </wp:inline>
              </w:drawing>
            </w:r>
          </w:p>
        </w:tc>
      </w:tr>
      <w:tr w:rsidR="008F00FB" w14:paraId="2CB6FB7E" w14:textId="77777777" w:rsidTr="00B966E4">
        <w:trPr>
          <w:jc w:val="center"/>
        </w:trPr>
        <w:tc>
          <w:tcPr>
            <w:tcW w:w="2378" w:type="dxa"/>
            <w:shd w:val="clear" w:color="auto" w:fill="F2F2F2" w:themeFill="background1" w:themeFillShade="F2"/>
          </w:tcPr>
          <w:p w14:paraId="5A8E8FC4" w14:textId="3DD50B09"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Villa de Jesús María 203 Villerías</w:t>
            </w:r>
          </w:p>
          <w:p w14:paraId="44F1978B" w14:textId="77777777" w:rsidR="008F00FB" w:rsidRDefault="008F00FB" w:rsidP="005C192D">
            <w:pPr>
              <w:tabs>
                <w:tab w:val="left" w:pos="567"/>
              </w:tabs>
              <w:spacing w:line="360" w:lineRule="auto"/>
              <w:ind w:right="36"/>
              <w:jc w:val="both"/>
              <w:rPr>
                <w:rFonts w:ascii="Arial" w:eastAsia="Arial Nova" w:hAnsi="Arial" w:cs="Arial"/>
                <w:bCs/>
                <w:sz w:val="18"/>
                <w:szCs w:val="18"/>
              </w:rPr>
            </w:pPr>
            <w:r>
              <w:rPr>
                <w:rFonts w:ascii="Arial" w:eastAsia="Arial Nova" w:hAnsi="Arial" w:cs="Arial"/>
                <w:bCs/>
                <w:sz w:val="18"/>
                <w:szCs w:val="18"/>
              </w:rPr>
              <w:t>20190 Aguascalientes, Ags.</w:t>
            </w:r>
          </w:p>
          <w:p w14:paraId="081A0450" w14:textId="2872876B" w:rsidR="008F00FB" w:rsidRDefault="008F00FB" w:rsidP="005C192D">
            <w:pPr>
              <w:tabs>
                <w:tab w:val="left" w:pos="567"/>
              </w:tabs>
              <w:spacing w:line="360" w:lineRule="auto"/>
              <w:ind w:right="36"/>
              <w:jc w:val="both"/>
              <w:rPr>
                <w:rFonts w:ascii="Arial" w:eastAsia="Arial Nova" w:hAnsi="Arial" w:cs="Arial"/>
                <w:bCs/>
                <w:sz w:val="18"/>
                <w:szCs w:val="18"/>
              </w:rPr>
            </w:pPr>
            <w:proofErr w:type="gramStart"/>
            <w:r>
              <w:rPr>
                <w:rFonts w:ascii="Arial" w:eastAsia="Arial Nova" w:hAnsi="Arial" w:cs="Arial"/>
                <w:bCs/>
                <w:sz w:val="18"/>
                <w:szCs w:val="18"/>
              </w:rPr>
              <w:t>21.883451,-</w:t>
            </w:r>
            <w:proofErr w:type="gramEnd"/>
            <w:r>
              <w:rPr>
                <w:rFonts w:ascii="Arial" w:eastAsia="Arial Nova" w:hAnsi="Arial" w:cs="Arial"/>
                <w:bCs/>
                <w:sz w:val="18"/>
                <w:szCs w:val="18"/>
              </w:rPr>
              <w:t>102.249112</w:t>
            </w:r>
          </w:p>
        </w:tc>
        <w:tc>
          <w:tcPr>
            <w:tcW w:w="4001" w:type="dxa"/>
            <w:shd w:val="clear" w:color="auto" w:fill="F2F2F2" w:themeFill="background1" w:themeFillShade="F2"/>
          </w:tcPr>
          <w:p w14:paraId="6924329F" w14:textId="693F6F84"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1F785A78" wp14:editId="3B8EC6CB">
                  <wp:extent cx="2347415" cy="1553492"/>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2605" cy="1563545"/>
                          </a:xfrm>
                          <a:prstGeom prst="rect">
                            <a:avLst/>
                          </a:prstGeom>
                          <a:noFill/>
                          <a:ln>
                            <a:noFill/>
                          </a:ln>
                        </pic:spPr>
                      </pic:pic>
                    </a:graphicData>
                  </a:graphic>
                </wp:inline>
              </w:drawing>
            </w:r>
          </w:p>
        </w:tc>
      </w:tr>
      <w:tr w:rsidR="008F00FB" w14:paraId="4313B3D9" w14:textId="77777777" w:rsidTr="00B966E4">
        <w:trPr>
          <w:jc w:val="center"/>
        </w:trPr>
        <w:tc>
          <w:tcPr>
            <w:tcW w:w="2378" w:type="dxa"/>
            <w:shd w:val="clear" w:color="auto" w:fill="F2F2F2" w:themeFill="background1" w:themeFillShade="F2"/>
          </w:tcPr>
          <w:p w14:paraId="2F9EB25C"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762D4DEF" w14:textId="770204F3"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2DEB072E" wp14:editId="6D722BDB">
                  <wp:extent cx="2402006" cy="1539406"/>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2860" cy="1546362"/>
                          </a:xfrm>
                          <a:prstGeom prst="rect">
                            <a:avLst/>
                          </a:prstGeom>
                          <a:noFill/>
                          <a:ln>
                            <a:noFill/>
                          </a:ln>
                        </pic:spPr>
                      </pic:pic>
                    </a:graphicData>
                  </a:graphic>
                </wp:inline>
              </w:drawing>
            </w:r>
          </w:p>
        </w:tc>
      </w:tr>
      <w:tr w:rsidR="008F00FB" w14:paraId="2DE6621D" w14:textId="77777777" w:rsidTr="00B966E4">
        <w:trPr>
          <w:jc w:val="center"/>
        </w:trPr>
        <w:tc>
          <w:tcPr>
            <w:tcW w:w="2378" w:type="dxa"/>
            <w:shd w:val="clear" w:color="auto" w:fill="F2F2F2" w:themeFill="background1" w:themeFillShade="F2"/>
          </w:tcPr>
          <w:p w14:paraId="7E89C417"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0634AD3B" w14:textId="21A6A6D1"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67CA6C00" wp14:editId="6FB952B1">
                  <wp:extent cx="2456597" cy="1445832"/>
                  <wp:effectExtent l="0" t="0" r="127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0309" cy="1453902"/>
                          </a:xfrm>
                          <a:prstGeom prst="rect">
                            <a:avLst/>
                          </a:prstGeom>
                          <a:noFill/>
                          <a:ln>
                            <a:noFill/>
                          </a:ln>
                        </pic:spPr>
                      </pic:pic>
                    </a:graphicData>
                  </a:graphic>
                </wp:inline>
              </w:drawing>
            </w:r>
          </w:p>
        </w:tc>
      </w:tr>
      <w:tr w:rsidR="008F00FB" w14:paraId="5D4159DE" w14:textId="77777777" w:rsidTr="00B966E4">
        <w:trPr>
          <w:jc w:val="center"/>
        </w:trPr>
        <w:tc>
          <w:tcPr>
            <w:tcW w:w="2378" w:type="dxa"/>
            <w:shd w:val="clear" w:color="auto" w:fill="F2F2F2" w:themeFill="background1" w:themeFillShade="F2"/>
          </w:tcPr>
          <w:p w14:paraId="41EA6B11"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591A33C8" w14:textId="6E810176"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67CC3F97" wp14:editId="6710FECA">
                  <wp:extent cx="2470245" cy="1346218"/>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869" cy="1355277"/>
                          </a:xfrm>
                          <a:prstGeom prst="rect">
                            <a:avLst/>
                          </a:prstGeom>
                          <a:noFill/>
                          <a:ln>
                            <a:noFill/>
                          </a:ln>
                        </pic:spPr>
                      </pic:pic>
                    </a:graphicData>
                  </a:graphic>
                </wp:inline>
              </w:drawing>
            </w:r>
          </w:p>
        </w:tc>
      </w:tr>
      <w:tr w:rsidR="008F00FB" w14:paraId="46FBB926" w14:textId="77777777" w:rsidTr="00B966E4">
        <w:trPr>
          <w:jc w:val="center"/>
        </w:trPr>
        <w:tc>
          <w:tcPr>
            <w:tcW w:w="2378" w:type="dxa"/>
            <w:shd w:val="clear" w:color="auto" w:fill="F2F2F2" w:themeFill="background1" w:themeFillShade="F2"/>
          </w:tcPr>
          <w:p w14:paraId="57E1D1BF"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0D38615C" w14:textId="15D53CD1"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7CBF24B2" wp14:editId="6F6DFFB5">
                  <wp:extent cx="2429302" cy="160575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8427" cy="1625004"/>
                          </a:xfrm>
                          <a:prstGeom prst="rect">
                            <a:avLst/>
                          </a:prstGeom>
                          <a:noFill/>
                          <a:ln>
                            <a:noFill/>
                          </a:ln>
                        </pic:spPr>
                      </pic:pic>
                    </a:graphicData>
                  </a:graphic>
                </wp:inline>
              </w:drawing>
            </w:r>
          </w:p>
        </w:tc>
      </w:tr>
      <w:tr w:rsidR="008F00FB" w14:paraId="74FBCEF1" w14:textId="77777777" w:rsidTr="00B966E4">
        <w:trPr>
          <w:jc w:val="center"/>
        </w:trPr>
        <w:tc>
          <w:tcPr>
            <w:tcW w:w="2378" w:type="dxa"/>
            <w:shd w:val="clear" w:color="auto" w:fill="F2F2F2" w:themeFill="background1" w:themeFillShade="F2"/>
          </w:tcPr>
          <w:p w14:paraId="12838E87"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5BFF8771" w14:textId="0DCF851C"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6175AAF3" wp14:editId="4841624F">
                  <wp:extent cx="2265529" cy="1442025"/>
                  <wp:effectExtent l="0" t="0" r="1905"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0078" cy="1451286"/>
                          </a:xfrm>
                          <a:prstGeom prst="rect">
                            <a:avLst/>
                          </a:prstGeom>
                          <a:noFill/>
                          <a:ln>
                            <a:noFill/>
                          </a:ln>
                        </pic:spPr>
                      </pic:pic>
                    </a:graphicData>
                  </a:graphic>
                </wp:inline>
              </w:drawing>
            </w:r>
          </w:p>
        </w:tc>
      </w:tr>
      <w:tr w:rsidR="008F00FB" w14:paraId="07D37629" w14:textId="77777777" w:rsidTr="00B966E4">
        <w:trPr>
          <w:jc w:val="center"/>
        </w:trPr>
        <w:tc>
          <w:tcPr>
            <w:tcW w:w="2378" w:type="dxa"/>
            <w:shd w:val="clear" w:color="auto" w:fill="F2F2F2" w:themeFill="background1" w:themeFillShade="F2"/>
          </w:tcPr>
          <w:p w14:paraId="6A0DD29D"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2F55C0D5" w14:textId="53F6B2D9"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1AA90448" wp14:editId="4B1B101A">
                  <wp:extent cx="2364482" cy="1847146"/>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9836" cy="1859141"/>
                          </a:xfrm>
                          <a:prstGeom prst="rect">
                            <a:avLst/>
                          </a:prstGeom>
                          <a:noFill/>
                          <a:ln>
                            <a:noFill/>
                          </a:ln>
                        </pic:spPr>
                      </pic:pic>
                    </a:graphicData>
                  </a:graphic>
                </wp:inline>
              </w:drawing>
            </w:r>
          </w:p>
        </w:tc>
      </w:tr>
      <w:tr w:rsidR="008F00FB" w14:paraId="66A602C9" w14:textId="77777777" w:rsidTr="00B966E4">
        <w:trPr>
          <w:jc w:val="center"/>
        </w:trPr>
        <w:tc>
          <w:tcPr>
            <w:tcW w:w="2378" w:type="dxa"/>
            <w:shd w:val="clear" w:color="auto" w:fill="F2F2F2" w:themeFill="background1" w:themeFillShade="F2"/>
          </w:tcPr>
          <w:p w14:paraId="334E4665" w14:textId="77777777" w:rsidR="008F00FB" w:rsidRDefault="008F00FB" w:rsidP="005C192D">
            <w:pPr>
              <w:tabs>
                <w:tab w:val="left" w:pos="567"/>
              </w:tabs>
              <w:spacing w:line="360" w:lineRule="auto"/>
              <w:ind w:right="36"/>
              <w:jc w:val="both"/>
              <w:rPr>
                <w:rFonts w:ascii="Arial" w:eastAsia="Arial Nova" w:hAnsi="Arial" w:cs="Arial"/>
                <w:bCs/>
                <w:sz w:val="18"/>
                <w:szCs w:val="18"/>
              </w:rPr>
            </w:pPr>
          </w:p>
        </w:tc>
        <w:tc>
          <w:tcPr>
            <w:tcW w:w="4001" w:type="dxa"/>
            <w:shd w:val="clear" w:color="auto" w:fill="F2F2F2" w:themeFill="background1" w:themeFillShade="F2"/>
          </w:tcPr>
          <w:p w14:paraId="5CEF6296" w14:textId="2875BE27" w:rsidR="008F00FB" w:rsidRPr="00AA0677" w:rsidRDefault="008F00FB" w:rsidP="00B966E4">
            <w:pPr>
              <w:tabs>
                <w:tab w:val="left" w:pos="567"/>
              </w:tabs>
              <w:spacing w:line="360" w:lineRule="auto"/>
              <w:ind w:right="36"/>
              <w:jc w:val="center"/>
              <w:rPr>
                <w:rFonts w:ascii="Arial" w:eastAsia="Arial Nova" w:hAnsi="Arial" w:cs="Arial"/>
                <w:bCs/>
                <w:noProof/>
                <w:sz w:val="22"/>
                <w:szCs w:val="22"/>
              </w:rPr>
            </w:pPr>
            <w:r w:rsidRPr="008F00FB">
              <w:rPr>
                <w:rFonts w:ascii="Arial" w:eastAsia="Arial Nova" w:hAnsi="Arial" w:cs="Arial"/>
                <w:bCs/>
                <w:noProof/>
                <w:sz w:val="22"/>
                <w:szCs w:val="22"/>
              </w:rPr>
              <w:drawing>
                <wp:inline distT="0" distB="0" distL="0" distR="0" wp14:anchorId="2FCDC759" wp14:editId="1D3C56E8">
                  <wp:extent cx="1923898" cy="2018668"/>
                  <wp:effectExtent l="0" t="0" r="635"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9515" cy="2035054"/>
                          </a:xfrm>
                          <a:prstGeom prst="rect">
                            <a:avLst/>
                          </a:prstGeom>
                          <a:noFill/>
                          <a:ln>
                            <a:noFill/>
                          </a:ln>
                        </pic:spPr>
                      </pic:pic>
                    </a:graphicData>
                  </a:graphic>
                </wp:inline>
              </w:drawing>
            </w:r>
          </w:p>
        </w:tc>
      </w:tr>
    </w:tbl>
    <w:p w14:paraId="34247387" w14:textId="043796CC" w:rsidR="00AA0677" w:rsidRPr="008F00FB" w:rsidRDefault="008F00FB" w:rsidP="005C192D">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F00FB">
        <w:rPr>
          <w:rFonts w:ascii="Arial" w:eastAsia="Arial Nova" w:hAnsi="Arial" w:cs="Arial"/>
          <w:bCs/>
          <w:sz w:val="22"/>
          <w:szCs w:val="22"/>
        </w:rPr>
        <w:lastRenderedPageBreak/>
        <w:t xml:space="preserve">Concluye señalando que, el hecho de que siga existiendo la circulación de la propaganda </w:t>
      </w:r>
      <w:r>
        <w:rPr>
          <w:rFonts w:ascii="Arial" w:eastAsia="Arial Nova" w:hAnsi="Arial" w:cs="Arial"/>
          <w:bCs/>
          <w:sz w:val="22"/>
          <w:szCs w:val="22"/>
        </w:rPr>
        <w:t xml:space="preserve">política de una ciudadana que ya no ostenta la calidad de candidata en este proceso electoral, viola la normativa, además de que el Partido </w:t>
      </w:r>
      <w:r w:rsidR="00B966E4">
        <w:rPr>
          <w:rFonts w:ascii="Arial" w:eastAsia="Arial Nova" w:hAnsi="Arial" w:cs="Arial"/>
          <w:bCs/>
          <w:sz w:val="22"/>
          <w:szCs w:val="22"/>
        </w:rPr>
        <w:t>Acción</w:t>
      </w:r>
      <w:r>
        <w:rPr>
          <w:rFonts w:ascii="Arial" w:eastAsia="Arial Nova" w:hAnsi="Arial" w:cs="Arial"/>
          <w:bCs/>
          <w:sz w:val="22"/>
          <w:szCs w:val="22"/>
        </w:rPr>
        <w:t xml:space="preserve"> Nacional aún no realiza las labores de producción, almacenamiento y distribución de la propa</w:t>
      </w:r>
      <w:r w:rsidR="00B966E4">
        <w:rPr>
          <w:rFonts w:ascii="Arial" w:eastAsia="Arial Nova" w:hAnsi="Arial" w:cs="Arial"/>
          <w:bCs/>
          <w:sz w:val="22"/>
          <w:szCs w:val="22"/>
        </w:rPr>
        <w:t>ganda de quien ya no es candidata.</w:t>
      </w:r>
    </w:p>
    <w:p w14:paraId="29316687" w14:textId="77777777" w:rsidR="00B966E4" w:rsidRDefault="00B966E4"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C2C2F74" w14:textId="63A0C1A3"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643F0FD9" w14:textId="77777777" w:rsidR="003D56A4" w:rsidRPr="005833FF" w:rsidRDefault="003D56A4" w:rsidP="003D56A4">
      <w:pPr>
        <w:spacing w:line="360" w:lineRule="auto"/>
        <w:jc w:val="both"/>
        <w:rPr>
          <w:rFonts w:ascii="Arial" w:hAnsi="Arial" w:cs="Arial"/>
          <w:b/>
          <w:sz w:val="22"/>
          <w:szCs w:val="22"/>
        </w:rPr>
      </w:pPr>
    </w:p>
    <w:p w14:paraId="5EBC439C" w14:textId="1D08C683" w:rsidR="00890653" w:rsidRDefault="009C6BAC" w:rsidP="001D7982">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1D7982" w:rsidRPr="001D7982">
        <w:rPr>
          <w:rFonts w:ascii="Arial" w:hAnsi="Arial" w:cs="Arial"/>
          <w:bCs/>
          <w:sz w:val="22"/>
          <w:szCs w:val="22"/>
        </w:rPr>
        <w:t xml:space="preserve">solamente compareció el C. </w:t>
      </w:r>
      <w:r w:rsidR="00B966E4">
        <w:rPr>
          <w:rFonts w:ascii="Arial" w:hAnsi="Arial" w:cs="Arial"/>
          <w:bCs/>
          <w:sz w:val="22"/>
          <w:szCs w:val="22"/>
        </w:rPr>
        <w:t>Enrique Fernando Esparza Salazar</w:t>
      </w:r>
      <w:r w:rsidR="001D7982" w:rsidRPr="001D7982">
        <w:rPr>
          <w:rFonts w:ascii="Arial" w:hAnsi="Arial" w:cs="Arial"/>
          <w:bCs/>
          <w:sz w:val="22"/>
          <w:szCs w:val="22"/>
        </w:rPr>
        <w:t xml:space="preserve">, quien es </w:t>
      </w:r>
      <w:r w:rsidR="00B966E4">
        <w:rPr>
          <w:rFonts w:ascii="Arial" w:hAnsi="Arial" w:cs="Arial"/>
          <w:bCs/>
          <w:sz w:val="22"/>
          <w:szCs w:val="22"/>
        </w:rPr>
        <w:t>autorizado del Partido Acción Nacional, y solicitó la declaración de inexistencia de los agravios vertidos por quien denuncia, ya que no se declara la violación a la ley, derivado de que las lonas fueron colocadas de manera consiente por parte de los dueños de los domicilios; luego afirma estar impedido para solicitar que se remuevan, salvo de ser propia decisión de los particulares o encontrarse cerca de una casilla electoral.</w:t>
      </w:r>
    </w:p>
    <w:p w14:paraId="74B453D9" w14:textId="450197E1" w:rsidR="00B966E4" w:rsidRDefault="00B966E4" w:rsidP="00B966E4">
      <w:pPr>
        <w:pStyle w:val="Prrafodelista"/>
        <w:spacing w:line="360" w:lineRule="auto"/>
        <w:jc w:val="both"/>
        <w:rPr>
          <w:rFonts w:ascii="Arial" w:hAnsi="Arial" w:cs="Arial"/>
          <w:bCs/>
          <w:sz w:val="22"/>
          <w:szCs w:val="22"/>
        </w:rPr>
      </w:pPr>
    </w:p>
    <w:p w14:paraId="692C69E1" w14:textId="3F1BC68D" w:rsidR="00B966E4" w:rsidRPr="001D7982" w:rsidRDefault="00B966E4" w:rsidP="00B966E4">
      <w:pPr>
        <w:pStyle w:val="Prrafodelista"/>
        <w:spacing w:line="360" w:lineRule="auto"/>
        <w:jc w:val="both"/>
        <w:rPr>
          <w:rFonts w:ascii="Arial" w:hAnsi="Arial" w:cs="Arial"/>
          <w:bCs/>
          <w:sz w:val="22"/>
          <w:szCs w:val="22"/>
        </w:rPr>
      </w:pPr>
      <w:r>
        <w:rPr>
          <w:rFonts w:ascii="Arial" w:hAnsi="Arial" w:cs="Arial"/>
          <w:bCs/>
          <w:sz w:val="22"/>
          <w:szCs w:val="22"/>
        </w:rPr>
        <w:t xml:space="preserve">Del mismo modo ofreció la escritura </w:t>
      </w:r>
      <w:r w:rsidR="006924ED">
        <w:rPr>
          <w:rFonts w:ascii="Arial" w:hAnsi="Arial" w:cs="Arial"/>
          <w:bCs/>
          <w:sz w:val="22"/>
          <w:szCs w:val="22"/>
        </w:rPr>
        <w:t>número</w:t>
      </w:r>
      <w:r>
        <w:rPr>
          <w:rFonts w:ascii="Arial" w:hAnsi="Arial" w:cs="Arial"/>
          <w:bCs/>
          <w:sz w:val="22"/>
          <w:szCs w:val="22"/>
        </w:rPr>
        <w:t xml:space="preserve"> treinta mil ochenta y cinco expedida por el notario </w:t>
      </w:r>
      <w:r w:rsidR="006924ED">
        <w:rPr>
          <w:rFonts w:ascii="Arial" w:hAnsi="Arial" w:cs="Arial"/>
          <w:bCs/>
          <w:sz w:val="22"/>
          <w:szCs w:val="22"/>
        </w:rPr>
        <w:t>público</w:t>
      </w:r>
      <w:r>
        <w:rPr>
          <w:rFonts w:ascii="Arial" w:hAnsi="Arial" w:cs="Arial"/>
          <w:bCs/>
          <w:sz w:val="22"/>
          <w:szCs w:val="22"/>
        </w:rPr>
        <w:t xml:space="preserve"> </w:t>
      </w:r>
      <w:r w:rsidR="006924ED">
        <w:rPr>
          <w:rFonts w:ascii="Arial" w:hAnsi="Arial" w:cs="Arial"/>
          <w:bCs/>
          <w:sz w:val="22"/>
          <w:szCs w:val="22"/>
        </w:rPr>
        <w:t>número</w:t>
      </w:r>
      <w:r>
        <w:rPr>
          <w:rFonts w:ascii="Arial" w:hAnsi="Arial" w:cs="Arial"/>
          <w:bCs/>
          <w:sz w:val="22"/>
          <w:szCs w:val="22"/>
        </w:rPr>
        <w:t xml:space="preserve"> seis del Estado de Aguascalientes, en la cual se acredita la inexistencia de las bardas denunciadas.</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7A531013" w14:textId="3C73301B"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2A0948E9" w14:textId="413EE8F6" w:rsidR="00266333" w:rsidRDefault="0026633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497" w:type="dxa"/>
        <w:tblInd w:w="279" w:type="dxa"/>
        <w:tblLook w:val="04A0" w:firstRow="1" w:lastRow="0" w:firstColumn="1" w:lastColumn="0" w:noHBand="0" w:noVBand="1"/>
      </w:tblPr>
      <w:tblGrid>
        <w:gridCol w:w="1483"/>
        <w:gridCol w:w="1352"/>
        <w:gridCol w:w="3463"/>
        <w:gridCol w:w="3199"/>
      </w:tblGrid>
      <w:tr w:rsidR="002F2792" w:rsidRPr="00EC5583" w14:paraId="642AEC7D" w14:textId="77777777" w:rsidTr="002F27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5693EDC6" w14:textId="77777777" w:rsidR="002F2792" w:rsidRPr="00EC5583" w:rsidRDefault="002F2792" w:rsidP="00242746">
            <w:pPr>
              <w:jc w:val="both"/>
              <w:rPr>
                <w:rFonts w:ascii="Arial" w:hAnsi="Arial" w:cs="Arial"/>
                <w:sz w:val="20"/>
                <w:szCs w:val="20"/>
              </w:rPr>
            </w:pPr>
            <w:r w:rsidRPr="00EC5583">
              <w:rPr>
                <w:rFonts w:ascii="Arial" w:hAnsi="Arial" w:cs="Arial"/>
                <w:sz w:val="20"/>
                <w:szCs w:val="20"/>
              </w:rPr>
              <w:t>OFERENTE.</w:t>
            </w:r>
          </w:p>
        </w:tc>
        <w:tc>
          <w:tcPr>
            <w:tcW w:w="1352" w:type="dxa"/>
          </w:tcPr>
          <w:p w14:paraId="0415B028" w14:textId="77777777" w:rsidR="002F2792" w:rsidRPr="00EC5583" w:rsidRDefault="002F2792" w:rsidP="00242746">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PRUEBA.</w:t>
            </w:r>
          </w:p>
        </w:tc>
        <w:tc>
          <w:tcPr>
            <w:tcW w:w="3463" w:type="dxa"/>
          </w:tcPr>
          <w:p w14:paraId="4F139F3C" w14:textId="77777777" w:rsidR="002F2792" w:rsidRPr="00EC5583" w:rsidRDefault="002F2792" w:rsidP="00242746">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CONSISTENTE EN:</w:t>
            </w:r>
          </w:p>
        </w:tc>
        <w:tc>
          <w:tcPr>
            <w:tcW w:w="3199" w:type="dxa"/>
          </w:tcPr>
          <w:p w14:paraId="3ED09D2F" w14:textId="77777777" w:rsidR="002F2792" w:rsidRPr="00EC5583" w:rsidRDefault="002F2792" w:rsidP="00242746">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VALORACIÓN.</w:t>
            </w:r>
          </w:p>
        </w:tc>
      </w:tr>
      <w:tr w:rsidR="002F2792" w:rsidRPr="00EC5583" w14:paraId="5F47176A" w14:textId="77777777" w:rsidTr="002F2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shd w:val="clear" w:color="auto" w:fill="F2F2F2" w:themeFill="background1" w:themeFillShade="F2"/>
          </w:tcPr>
          <w:p w14:paraId="5DBF5E23" w14:textId="77777777" w:rsidR="002F2792" w:rsidRPr="002F2792" w:rsidRDefault="002F2792" w:rsidP="002F2792">
            <w:pPr>
              <w:jc w:val="both"/>
              <w:rPr>
                <w:rFonts w:ascii="Arial" w:hAnsi="Arial" w:cs="Arial"/>
                <w:sz w:val="18"/>
                <w:szCs w:val="18"/>
              </w:rPr>
            </w:pPr>
            <w:r w:rsidRPr="002F2792">
              <w:rPr>
                <w:rFonts w:ascii="Arial" w:hAnsi="Arial" w:cs="Arial"/>
                <w:sz w:val="18"/>
                <w:szCs w:val="18"/>
              </w:rPr>
              <w:t xml:space="preserve">Denunciante: </w:t>
            </w:r>
            <w:r w:rsidRPr="002F2792">
              <w:rPr>
                <w:rFonts w:ascii="Arial" w:hAnsi="Arial" w:cs="Arial"/>
                <w:b w:val="0"/>
                <w:bCs w:val="0"/>
                <w:sz w:val="18"/>
                <w:szCs w:val="18"/>
              </w:rPr>
              <w:t>Partido MORENA.</w:t>
            </w:r>
          </w:p>
        </w:tc>
        <w:tc>
          <w:tcPr>
            <w:tcW w:w="1352" w:type="dxa"/>
            <w:shd w:val="clear" w:color="auto" w:fill="F2F2F2" w:themeFill="background1" w:themeFillShade="F2"/>
          </w:tcPr>
          <w:p w14:paraId="118B3FAE" w14:textId="77777777" w:rsidR="002F2792" w:rsidRPr="002F2792" w:rsidRDefault="002F2792" w:rsidP="002F2792">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2F2792">
              <w:rPr>
                <w:rFonts w:ascii="Arial" w:hAnsi="Arial" w:cs="Arial"/>
                <w:b/>
                <w:bCs/>
                <w:sz w:val="18"/>
                <w:szCs w:val="18"/>
              </w:rPr>
              <w:t>Documental Privada.</w:t>
            </w:r>
          </w:p>
        </w:tc>
        <w:tc>
          <w:tcPr>
            <w:tcW w:w="3463" w:type="dxa"/>
            <w:shd w:val="clear" w:color="auto" w:fill="F2F2F2" w:themeFill="background1" w:themeFillShade="F2"/>
          </w:tcPr>
          <w:p w14:paraId="2616BD52" w14:textId="77777777" w:rsidR="002F2792" w:rsidRPr="002F2792" w:rsidRDefault="002F2792" w:rsidP="002F27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2792">
              <w:rPr>
                <w:rFonts w:ascii="Arial" w:hAnsi="Arial" w:cs="Arial"/>
                <w:sz w:val="18"/>
                <w:szCs w:val="18"/>
              </w:rPr>
              <w:t>“Fotografías de la propaganda Electoral descritas en las fotografías que se anexan con la correspondiente localización geográfica a través de las coordenadas geográficas”</w:t>
            </w:r>
          </w:p>
        </w:tc>
        <w:tc>
          <w:tcPr>
            <w:tcW w:w="3199" w:type="dxa"/>
            <w:shd w:val="clear" w:color="auto" w:fill="F2F2F2" w:themeFill="background1" w:themeFillShade="F2"/>
          </w:tcPr>
          <w:p w14:paraId="5169B4BA" w14:textId="77777777" w:rsidR="002F2792" w:rsidRPr="002F2792" w:rsidRDefault="002F2792" w:rsidP="002F27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2792">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F2792" w:rsidRPr="00EC5583" w14:paraId="523462B2" w14:textId="77777777" w:rsidTr="002F2792">
        <w:tc>
          <w:tcPr>
            <w:cnfStyle w:val="001000000000" w:firstRow="0" w:lastRow="0" w:firstColumn="1" w:lastColumn="0" w:oddVBand="0" w:evenVBand="0" w:oddHBand="0" w:evenHBand="0" w:firstRowFirstColumn="0" w:firstRowLastColumn="0" w:lastRowFirstColumn="0" w:lastRowLastColumn="0"/>
            <w:tcW w:w="1483" w:type="dxa"/>
          </w:tcPr>
          <w:p w14:paraId="455A212A" w14:textId="77777777" w:rsidR="002F2792" w:rsidRPr="002F2792" w:rsidRDefault="002F2792" w:rsidP="002F2792">
            <w:pPr>
              <w:jc w:val="both"/>
              <w:rPr>
                <w:rFonts w:ascii="Arial" w:hAnsi="Arial" w:cs="Arial"/>
                <w:sz w:val="18"/>
                <w:szCs w:val="18"/>
              </w:rPr>
            </w:pPr>
            <w:r w:rsidRPr="002F2792">
              <w:rPr>
                <w:rFonts w:ascii="Arial" w:hAnsi="Arial" w:cs="Arial"/>
                <w:sz w:val="18"/>
                <w:szCs w:val="18"/>
              </w:rPr>
              <w:t xml:space="preserve">Denunciante: </w:t>
            </w:r>
            <w:r w:rsidRPr="002F2792">
              <w:rPr>
                <w:rFonts w:ascii="Arial" w:hAnsi="Arial" w:cs="Arial"/>
                <w:b w:val="0"/>
                <w:bCs w:val="0"/>
                <w:sz w:val="18"/>
                <w:szCs w:val="18"/>
              </w:rPr>
              <w:t>Partido MORENA.</w:t>
            </w:r>
          </w:p>
        </w:tc>
        <w:tc>
          <w:tcPr>
            <w:tcW w:w="1352" w:type="dxa"/>
          </w:tcPr>
          <w:p w14:paraId="2DB71210" w14:textId="77777777" w:rsidR="002F2792" w:rsidRPr="002F2792" w:rsidRDefault="002F2792" w:rsidP="002F2792">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2F2792">
              <w:rPr>
                <w:rFonts w:ascii="Arial" w:hAnsi="Arial" w:cs="Arial"/>
                <w:b/>
                <w:bCs/>
                <w:sz w:val="18"/>
                <w:szCs w:val="18"/>
              </w:rPr>
              <w:t>Documental Privada.</w:t>
            </w:r>
          </w:p>
        </w:tc>
        <w:tc>
          <w:tcPr>
            <w:tcW w:w="3463" w:type="dxa"/>
          </w:tcPr>
          <w:p w14:paraId="633CC66E" w14:textId="77777777" w:rsidR="002F2792" w:rsidRPr="002F2792" w:rsidRDefault="002F2792" w:rsidP="002F27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F2792">
              <w:rPr>
                <w:rFonts w:ascii="Arial" w:hAnsi="Arial" w:cs="Arial"/>
                <w:sz w:val="18"/>
                <w:szCs w:val="18"/>
              </w:rPr>
              <w:t>“Copia simple de mi identificación oficial”</w:t>
            </w:r>
          </w:p>
        </w:tc>
        <w:tc>
          <w:tcPr>
            <w:tcW w:w="3199" w:type="dxa"/>
          </w:tcPr>
          <w:p w14:paraId="2D9542E7" w14:textId="77777777" w:rsidR="002F2792" w:rsidRPr="002F2792" w:rsidRDefault="002F2792" w:rsidP="002F27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F2792">
              <w:rPr>
                <w:rFonts w:ascii="Arial" w:hAnsi="Arial" w:cs="Arial"/>
                <w:sz w:val="18"/>
                <w:szCs w:val="18"/>
              </w:rPr>
              <w:t xml:space="preserve">En relación con el artículo 256, tercer párrafo del Código Electoral; Las documentales privadas, técnicas, periciales, e instrumental de </w:t>
            </w:r>
            <w:r w:rsidRPr="002F2792">
              <w:rPr>
                <w:rFonts w:ascii="Arial" w:hAnsi="Arial" w:cs="Arial"/>
                <w:sz w:val="18"/>
                <w:szCs w:val="18"/>
              </w:rPr>
              <w:lastRenderedPageBreak/>
              <w:t>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F2792" w:rsidRPr="00EC5583" w14:paraId="3705356A" w14:textId="77777777" w:rsidTr="002F2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tcPr>
          <w:p w14:paraId="3EBB2B25" w14:textId="77777777" w:rsidR="002F2792" w:rsidRPr="002F2792" w:rsidRDefault="002F2792" w:rsidP="002F2792">
            <w:pPr>
              <w:jc w:val="both"/>
              <w:rPr>
                <w:rFonts w:ascii="Arial" w:hAnsi="Arial" w:cs="Arial"/>
                <w:sz w:val="18"/>
                <w:szCs w:val="18"/>
              </w:rPr>
            </w:pPr>
            <w:r w:rsidRPr="002F2792">
              <w:rPr>
                <w:rFonts w:ascii="Arial" w:hAnsi="Arial" w:cs="Arial"/>
                <w:sz w:val="18"/>
                <w:szCs w:val="18"/>
              </w:rPr>
              <w:lastRenderedPageBreak/>
              <w:t xml:space="preserve">Denunciado: </w:t>
            </w:r>
            <w:r w:rsidRPr="002F2792">
              <w:rPr>
                <w:rFonts w:ascii="Arial" w:hAnsi="Arial" w:cs="Arial"/>
                <w:b w:val="0"/>
                <w:bCs w:val="0"/>
                <w:sz w:val="18"/>
                <w:szCs w:val="18"/>
              </w:rPr>
              <w:t>Partido Acción Nacional.</w:t>
            </w:r>
          </w:p>
        </w:tc>
        <w:tc>
          <w:tcPr>
            <w:tcW w:w="1352" w:type="dxa"/>
            <w:shd w:val="clear" w:color="auto" w:fill="F2F2F2" w:themeFill="background1" w:themeFillShade="F2"/>
          </w:tcPr>
          <w:p w14:paraId="2D72F42C" w14:textId="77777777" w:rsidR="002F2792" w:rsidRPr="002F2792" w:rsidRDefault="002F2792" w:rsidP="002F2792">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roofErr w:type="gramStart"/>
            <w:r w:rsidRPr="002F2792">
              <w:rPr>
                <w:rFonts w:ascii="Arial" w:hAnsi="Arial" w:cs="Arial"/>
                <w:b/>
                <w:bCs/>
                <w:sz w:val="18"/>
                <w:szCs w:val="18"/>
              </w:rPr>
              <w:t>Documental pública</w:t>
            </w:r>
            <w:proofErr w:type="gramEnd"/>
            <w:r w:rsidRPr="002F2792">
              <w:rPr>
                <w:rFonts w:ascii="Arial" w:hAnsi="Arial" w:cs="Arial"/>
                <w:b/>
                <w:bCs/>
                <w:sz w:val="18"/>
                <w:szCs w:val="18"/>
              </w:rPr>
              <w:t>.</w:t>
            </w:r>
          </w:p>
        </w:tc>
        <w:tc>
          <w:tcPr>
            <w:tcW w:w="3463" w:type="dxa"/>
            <w:shd w:val="clear" w:color="auto" w:fill="F2F2F2" w:themeFill="background1" w:themeFillShade="F2"/>
          </w:tcPr>
          <w:p w14:paraId="2E0E0BA2" w14:textId="77777777" w:rsidR="002F2792" w:rsidRPr="002F2792" w:rsidRDefault="002F2792" w:rsidP="002F27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2792">
              <w:rPr>
                <w:rFonts w:ascii="Arial" w:hAnsi="Arial" w:cs="Arial"/>
                <w:sz w:val="18"/>
                <w:szCs w:val="18"/>
              </w:rPr>
              <w:t>“…fe de hechos contenida en la escritura número 30085, volumen 636, de fecha 03 de junio de 2021 signada por el Licenciado Luis Ricardo Martínez Castañeda Notario Público Número seis del Estado, consistente en seis fojas útiles por uno solo de sus lados a excepción de la segunda…”</w:t>
            </w:r>
          </w:p>
        </w:tc>
        <w:tc>
          <w:tcPr>
            <w:tcW w:w="3199" w:type="dxa"/>
            <w:shd w:val="clear" w:color="auto" w:fill="F2F2F2" w:themeFill="background1" w:themeFillShade="F2"/>
          </w:tcPr>
          <w:p w14:paraId="6BE122E9" w14:textId="77777777" w:rsidR="002F2792" w:rsidRPr="002F2792" w:rsidRDefault="002F2792" w:rsidP="002F27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F2792">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bl>
    <w:p w14:paraId="2F9C5AB4" w14:textId="77777777" w:rsidR="00AF5CE0" w:rsidRPr="008114D0" w:rsidRDefault="00AF5CE0" w:rsidP="008114D0">
      <w:pPr>
        <w:spacing w:line="360" w:lineRule="auto"/>
        <w:jc w:val="right"/>
        <w:rPr>
          <w:rFonts w:ascii="Arial" w:hAnsi="Arial" w:cs="Arial"/>
          <w:sz w:val="22"/>
          <w:szCs w:val="22"/>
        </w:rPr>
      </w:pPr>
    </w:p>
    <w:p w14:paraId="1245968D" w14:textId="45CAB230"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43916E55" w14:textId="10EFB0A8"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2F2792">
        <w:rPr>
          <w:rFonts w:ascii="Arial" w:hAnsi="Arial" w:cs="Arial"/>
          <w:sz w:val="22"/>
          <w:szCs w:val="22"/>
        </w:rPr>
        <w:t>la</w:t>
      </w:r>
      <w:r w:rsidR="009354E5" w:rsidRPr="008114D0">
        <w:rPr>
          <w:rFonts w:ascii="Arial" w:hAnsi="Arial" w:cs="Arial"/>
          <w:sz w:val="22"/>
          <w:szCs w:val="22"/>
        </w:rPr>
        <w:t xml:space="preserve">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2F2792">
        <w:rPr>
          <w:rFonts w:ascii="Arial" w:hAnsi="Arial" w:cs="Arial"/>
          <w:sz w:val="22"/>
          <w:szCs w:val="22"/>
        </w:rPr>
        <w:t xml:space="preserve">de MORENA ante el </w:t>
      </w:r>
      <w:r w:rsidR="001D7982">
        <w:rPr>
          <w:rFonts w:ascii="Arial" w:hAnsi="Arial" w:cs="Arial"/>
          <w:sz w:val="22"/>
          <w:szCs w:val="22"/>
        </w:rPr>
        <w:t xml:space="preserve">IEE; y, </w:t>
      </w:r>
      <w:r w:rsidR="001D7982" w:rsidRPr="001D7982">
        <w:rPr>
          <w:rFonts w:ascii="Arial" w:hAnsi="Arial" w:cs="Arial"/>
          <w:b/>
          <w:bCs/>
          <w:sz w:val="22"/>
          <w:szCs w:val="22"/>
        </w:rPr>
        <w:t>b)</w:t>
      </w:r>
      <w:r w:rsidR="001D7982">
        <w:rPr>
          <w:rFonts w:ascii="Arial" w:hAnsi="Arial" w:cs="Arial"/>
          <w:sz w:val="22"/>
          <w:szCs w:val="22"/>
        </w:rPr>
        <w:t xml:space="preserve"> la </w:t>
      </w:r>
      <w:r w:rsidR="00624EB7" w:rsidRPr="008114D0">
        <w:rPr>
          <w:rFonts w:ascii="Arial" w:hAnsi="Arial" w:cs="Arial"/>
          <w:sz w:val="22"/>
          <w:szCs w:val="22"/>
        </w:rPr>
        <w:t>denunciada</w:t>
      </w:r>
      <w:r w:rsidR="002F2792">
        <w:rPr>
          <w:rFonts w:ascii="Arial" w:hAnsi="Arial" w:cs="Arial"/>
          <w:sz w:val="22"/>
          <w:szCs w:val="22"/>
        </w:rPr>
        <w:t xml:space="preserve">, se </w:t>
      </w:r>
      <w:r w:rsidR="006924ED">
        <w:rPr>
          <w:rFonts w:ascii="Arial" w:hAnsi="Arial" w:cs="Arial"/>
          <w:sz w:val="22"/>
          <w:szCs w:val="22"/>
        </w:rPr>
        <w:t>ostentó</w:t>
      </w:r>
      <w:r w:rsidR="002F2792">
        <w:rPr>
          <w:rFonts w:ascii="Arial" w:hAnsi="Arial" w:cs="Arial"/>
          <w:sz w:val="22"/>
          <w:szCs w:val="22"/>
        </w:rPr>
        <w:t xml:space="preserve"> como candidata a diputada local por el distrito XV, hasta que le fue revocada su candidatura por la Sala Regional Monterrey del Tribunal Electoral del Poder Judicial de la </w:t>
      </w:r>
      <w:r w:rsidR="006924ED">
        <w:rPr>
          <w:rFonts w:ascii="Arial" w:hAnsi="Arial" w:cs="Arial"/>
          <w:sz w:val="22"/>
          <w:szCs w:val="22"/>
        </w:rPr>
        <w:t>Federación</w:t>
      </w:r>
      <w:r w:rsidR="002F2792">
        <w:rPr>
          <w:rFonts w:ascii="Arial" w:hAnsi="Arial" w:cs="Arial"/>
          <w:sz w:val="22"/>
          <w:szCs w:val="22"/>
        </w:rPr>
        <w:t>.</w:t>
      </w:r>
    </w:p>
    <w:p w14:paraId="65CD41FD" w14:textId="77777777" w:rsidR="001D7982" w:rsidRPr="008114D0" w:rsidRDefault="001D798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1FAE04A2"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certificado en la oficialía electora,</w:t>
      </w:r>
      <w:r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p w14:paraId="71F46F13" w14:textId="4787CEC7" w:rsidR="00413DA3" w:rsidRDefault="00413DA3" w:rsidP="008114D0">
      <w:pPr>
        <w:spacing w:line="360" w:lineRule="auto"/>
        <w:jc w:val="both"/>
        <w:rPr>
          <w:rFonts w:ascii="Arial" w:hAnsi="Arial" w:cs="Arial"/>
          <w:bCs/>
          <w:sz w:val="22"/>
          <w:szCs w:val="22"/>
          <w:lang w:val="es-ES"/>
        </w:rPr>
      </w:pPr>
    </w:p>
    <w:p w14:paraId="40149371" w14:textId="77777777" w:rsidR="002F2792" w:rsidRDefault="002F2792" w:rsidP="008114D0">
      <w:pPr>
        <w:spacing w:line="360" w:lineRule="auto"/>
        <w:jc w:val="both"/>
        <w:rPr>
          <w:rFonts w:ascii="Arial" w:hAnsi="Arial" w:cs="Arial"/>
          <w:bCs/>
          <w:sz w:val="22"/>
          <w:szCs w:val="22"/>
          <w:lang w:val="es-ES"/>
        </w:rPr>
      </w:pPr>
    </w:p>
    <w:p w14:paraId="20851EE3" w14:textId="1D8FC0C0" w:rsidR="005D4987" w:rsidRDefault="005D4987" w:rsidP="008114D0">
      <w:pPr>
        <w:spacing w:line="360" w:lineRule="auto"/>
        <w:jc w:val="both"/>
        <w:rPr>
          <w:rFonts w:ascii="Arial" w:hAnsi="Arial" w:cs="Arial"/>
          <w:bCs/>
          <w:sz w:val="22"/>
          <w:szCs w:val="22"/>
          <w:lang w:val="es-ES"/>
        </w:rPr>
      </w:pPr>
    </w:p>
    <w:tbl>
      <w:tblPr>
        <w:tblStyle w:val="Tabladecuadrcula4"/>
        <w:tblW w:w="9923" w:type="dxa"/>
        <w:jc w:val="center"/>
        <w:tblLook w:val="04A0" w:firstRow="1" w:lastRow="0" w:firstColumn="1" w:lastColumn="0" w:noHBand="0" w:noVBand="1"/>
      </w:tblPr>
      <w:tblGrid>
        <w:gridCol w:w="2268"/>
        <w:gridCol w:w="7655"/>
      </w:tblGrid>
      <w:tr w:rsidR="002F2792" w14:paraId="093C275F" w14:textId="77777777" w:rsidTr="002F27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23" w:type="dxa"/>
            <w:gridSpan w:val="2"/>
          </w:tcPr>
          <w:p w14:paraId="268CF913" w14:textId="77777777" w:rsidR="002F2792" w:rsidRDefault="002F2792" w:rsidP="00242746">
            <w:pPr>
              <w:jc w:val="center"/>
              <w:rPr>
                <w:rFonts w:ascii="Arial" w:hAnsi="Arial" w:cs="Arial"/>
                <w:sz w:val="20"/>
                <w:szCs w:val="20"/>
              </w:rPr>
            </w:pPr>
            <w:r>
              <w:rPr>
                <w:rFonts w:ascii="Arial" w:hAnsi="Arial" w:cs="Arial"/>
                <w:sz w:val="20"/>
                <w:szCs w:val="20"/>
              </w:rPr>
              <w:lastRenderedPageBreak/>
              <w:t>Oficialía Electoral IEE/OE/214/2021.</w:t>
            </w:r>
          </w:p>
        </w:tc>
      </w:tr>
      <w:tr w:rsidR="002F2792" w14:paraId="12DE6D86" w14:textId="77777777" w:rsidTr="002F27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2F2F2" w:themeFill="background1" w:themeFillShade="F2"/>
          </w:tcPr>
          <w:p w14:paraId="63BF1657"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t xml:space="preserve">1. </w:t>
            </w:r>
            <w:r w:rsidRPr="00C16CB6">
              <w:rPr>
                <w:rFonts w:ascii="Arial" w:hAnsi="Arial" w:cs="Arial"/>
                <w:b w:val="0"/>
                <w:bCs w:val="0"/>
                <w:sz w:val="18"/>
                <w:szCs w:val="18"/>
              </w:rPr>
              <w:t>Calle Antonio Díaz Soto y Gama, número 207, fraccionamiento Emiliano Zapata, Aguascalientes, Ags.</w:t>
            </w:r>
          </w:p>
        </w:tc>
        <w:tc>
          <w:tcPr>
            <w:tcW w:w="7655" w:type="dxa"/>
            <w:shd w:val="clear" w:color="auto" w:fill="F2F2F2" w:themeFill="background1" w:themeFillShade="F2"/>
          </w:tcPr>
          <w:p w14:paraId="34C8F59A"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Observé un inmueble, aparentemente de tipo casa-habitación, ubicado en la esquina de la calle de mérito, con las características siguientes:</w:t>
            </w:r>
          </w:p>
          <w:p w14:paraId="1C82E14D"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409FDF8"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Inmueble de dos plantas, color verde turquesa, en el que se visualiza en la planta baja, un barandal metálico color blanco, con figuras triangulares y franjas rectas a su largo, dividido por una puerta metálica de color amarillo, que sujeta desde su interior dos lonas, colocadas respectivamente, en cada uno de sus costados.</w:t>
            </w:r>
          </w:p>
          <w:p w14:paraId="6E60F95E"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94B8908"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En lo que respecta a la lona que se visualiza en el costado izquierdo del inmueble, se observa la imagen en fotografía de una persona aparentemente mayor de edad y del género femenino, tez morena, cabello castaño oscuro y sonriendo con los brazos cruzados a la altura del pecho, acompañada de las siguientes leyendas: 1. En la parte superior izquierda, se visualiza la leyenda “Coalición por Aguascalientes, VOTA”, señalando que la letra “O” de la palabra “VOTA”, contiene inserto en su centro el emblema del Partido Acción Nacional, lo cual es un hecho notorio para este Instituto, toda vez que en el mismo se encuentra registrado ante la presente autoridad electoral, y ; 2. En la parte inferior derecha, se visualizan las leyendas “PATY GARCÍA” “CANDIDATA A DIPUTADA LOCAL, DISTRITO XV”, “SALDREMOS ADELANTE”, además de las insignias de las redes sociales denominada Facebook e Instagram, seguidas de las leyendas “PATY GACRCÍA” y “PATY.GARCÍA_G”, respectivamente.</w:t>
            </w:r>
          </w:p>
          <w:p w14:paraId="01D4B161"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7A595ED"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A lo que hace a la lona que se observa en el costado derecho del inmueble, se visualiza la imagen en fotografía de una persona aparentemente mayor de edad y del género femenino, cabello rubio y sonriendo, acompañada en la parte superior derecha de las leyendas: “Moni BECERRA”, “DIPUTADA FEDERAL DISTRITO II”, “¡Con los pies en la tierra!”, “VOTA 6 DE JUNIO”, señalando que la letra “O” de la palabra “VOTA”, contiene inserto en su centro el emblema del Partido Acción Nacional, y, “ACCIÓN NACIONAL” en la parte superior izquierda de la misma.</w:t>
            </w:r>
          </w:p>
          <w:p w14:paraId="06758E14"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6D84BBD"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cuatro fotografías insertas en numeral 1 del ANEXO ÚNICO de la presente Acta.</w:t>
            </w:r>
          </w:p>
        </w:tc>
      </w:tr>
      <w:tr w:rsidR="002F2792" w14:paraId="108F8F9D" w14:textId="77777777" w:rsidTr="002F2792">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7A1C7BAD"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t xml:space="preserve">2. </w:t>
            </w:r>
            <w:r w:rsidRPr="00C16CB6">
              <w:rPr>
                <w:rFonts w:ascii="Arial" w:hAnsi="Arial" w:cs="Arial"/>
                <w:b w:val="0"/>
                <w:bCs w:val="0"/>
                <w:sz w:val="18"/>
                <w:szCs w:val="18"/>
              </w:rPr>
              <w:t>Calle Carlos M. Bustamante, número 140, fraccionamiento Emiliano Zapata, Aguascalientes, Ags.</w:t>
            </w:r>
          </w:p>
        </w:tc>
        <w:tc>
          <w:tcPr>
            <w:tcW w:w="7655" w:type="dxa"/>
          </w:tcPr>
          <w:p w14:paraId="31C19F6C"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Observé un inmueble, aparentemente de tipo terreno, con las características siguientes:</w:t>
            </w:r>
          </w:p>
          <w:p w14:paraId="6C0DCA93"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8214929"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Inmueble de tipo terreno, en el que se visualiza al centro una cancha de basquetbol de concreto, rodeada de diversos inmuebles en los que se pueden observar sus paredes laterales, las cuales se encuentran pintadas de color blanco, con algunas leyendas escritas de lo que aparentemente es grafiti, sin que pueda apreciarse el significado de estas, así como tampoco existencia de propaganda electoral alguna.</w:t>
            </w:r>
          </w:p>
          <w:p w14:paraId="60008920"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F998BA9"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cuatro fotografías insertas en numeral 2 del ANEXO ÚNICO de la presente Acta.</w:t>
            </w:r>
          </w:p>
        </w:tc>
      </w:tr>
      <w:tr w:rsidR="002F2792" w14:paraId="42B97AA0" w14:textId="77777777" w:rsidTr="002F27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2F2F2" w:themeFill="background1" w:themeFillShade="F2"/>
          </w:tcPr>
          <w:p w14:paraId="6E853CDE"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t xml:space="preserve">3. </w:t>
            </w:r>
            <w:r w:rsidRPr="00C16CB6">
              <w:rPr>
                <w:rFonts w:ascii="Arial" w:hAnsi="Arial" w:cs="Arial"/>
                <w:b w:val="0"/>
                <w:bCs w:val="0"/>
                <w:sz w:val="18"/>
                <w:szCs w:val="18"/>
              </w:rPr>
              <w:t>Calle José González Carrillo, número 331, fraccionamiento Emiliano Zapata, Aguascalientes, Ags.</w:t>
            </w:r>
          </w:p>
        </w:tc>
        <w:tc>
          <w:tcPr>
            <w:tcW w:w="7655" w:type="dxa"/>
            <w:shd w:val="clear" w:color="auto" w:fill="F2F2F2" w:themeFill="background1" w:themeFillShade="F2"/>
          </w:tcPr>
          <w:p w14:paraId="087D11C1"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 xml:space="preserve">Percatándome de que la nomenclatura del domicilio señalado por la denunciante no es 331, si no 831, de conformidad con la imagen de la fotografía inserta en el escrito de denuncia que hace referencia al mismo, por lo </w:t>
            </w:r>
            <w:proofErr w:type="gramStart"/>
            <w:r w:rsidRPr="00C16CB6">
              <w:rPr>
                <w:rFonts w:ascii="Arial" w:hAnsi="Arial" w:cs="Arial"/>
                <w:sz w:val="18"/>
                <w:szCs w:val="18"/>
              </w:rPr>
              <w:t>que</w:t>
            </w:r>
            <w:proofErr w:type="gramEnd"/>
            <w:r w:rsidRPr="00C16CB6">
              <w:rPr>
                <w:rFonts w:ascii="Arial" w:hAnsi="Arial" w:cs="Arial"/>
                <w:sz w:val="18"/>
                <w:szCs w:val="18"/>
              </w:rPr>
              <w:t xml:space="preserve"> cerciorada de ser el lugar a certificar por así haberlo verificado, observe un inmueble, aparentemente de tipo casa-habitación, con las características siguientes:</w:t>
            </w:r>
          </w:p>
          <w:p w14:paraId="411ECB64"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56D9098"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 xml:space="preserve">Inmueble de dos plantas, de concreto, color gris, en el que se visualiza en la planta alta un barandal de tipo malla color plateado, en el que se encuentran colgadas dos lonas colocadas respectivamente, en cada uno de sus costados. </w:t>
            </w:r>
          </w:p>
          <w:p w14:paraId="67510C2E"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B4D2F4F"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En lo que respecta a la lona que se visualiza en el costado izquierdo, se observa la imagen en fotografía de una persona aparentemente mayor de edad y del género femenino, tez morena, cabello castaño oscuro y sonriendo con los brazos cruzados a la altura del pecho, acompañada de las siguientes leyendas: 1. En la parte superior izquierda, se visualiza la leyenda “Coalición por Aguascalientes, VOTA”, señalando que la letra “O” de la palabra “VOTA”, contiene inserto en su centro el emblema del Partido Acción Nacional, lo cual es un hecho notorio para este Instituto, toda vez que en el mismo se encuentra registrado ante la presente autoridad electoral, y ; 2. En la parte inferior derecha, se visualizan las leyendas “PATY GARCÍA” “CANDIDATA A DIPUTADA LOCAL, DISTRITO XV”, “SALDREMOS ADELANTE”, además de las insignias de las redes sociales denominada Facebook e Instagram, seguidas de las leyendas “PATY GACRCÍA” y “PATY.GARCÍA_G”, respectivamente.</w:t>
            </w:r>
          </w:p>
          <w:p w14:paraId="4B1CA112"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45C124C"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A lo que hace a la lona que se observa en el costado derecho, se visualiza la imagen en fotografía de una persona aparentemente mayor de edad y del género masculino, sonriendo y portando una camisa de color azul, acompañada en la parte superior derecha de las leyendas: “LEO MONTAÑEZ”, “PRESIDENTE MUNICIPAL”, “¡Nuestra propia huella!, “VOTA 6 DE JUNIO”, seguido de los emblemas del Partido Acción Nacional y del Partido de la Revolución Democrática, con la leyenda “Coalición por Aguascalientes”.</w:t>
            </w:r>
          </w:p>
          <w:p w14:paraId="7B36B084"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C1EC005"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tres fotografías insertas en numeral 3 del ANEXO ÚNICO de la presente Acta.</w:t>
            </w:r>
          </w:p>
        </w:tc>
      </w:tr>
      <w:tr w:rsidR="002F2792" w14:paraId="5B29BD1B" w14:textId="77777777" w:rsidTr="002F2792">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60A21ADF"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t xml:space="preserve">4. </w:t>
            </w:r>
            <w:r w:rsidRPr="00C16CB6">
              <w:rPr>
                <w:rFonts w:ascii="Arial" w:hAnsi="Arial" w:cs="Arial"/>
                <w:b w:val="0"/>
                <w:bCs w:val="0"/>
                <w:sz w:val="18"/>
                <w:szCs w:val="18"/>
              </w:rPr>
              <w:t xml:space="preserve">Calle Redactores, número 145, fraccionamiento </w:t>
            </w:r>
            <w:r w:rsidRPr="00C16CB6">
              <w:rPr>
                <w:rFonts w:ascii="Arial" w:hAnsi="Arial" w:cs="Arial"/>
                <w:b w:val="0"/>
                <w:bCs w:val="0"/>
                <w:sz w:val="18"/>
                <w:szCs w:val="18"/>
              </w:rPr>
              <w:lastRenderedPageBreak/>
              <w:t>Periodistas, Aguascalientes, Ags.</w:t>
            </w:r>
          </w:p>
        </w:tc>
        <w:tc>
          <w:tcPr>
            <w:tcW w:w="7655" w:type="dxa"/>
          </w:tcPr>
          <w:p w14:paraId="45EDD98B"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lastRenderedPageBreak/>
              <w:t xml:space="preserve">Observé un inmueble, aparentemente de tipo casa-habitación, de una planta, sin nomenclatura, color blanco, con una ventana con protecciones metálicas color negro, y un </w:t>
            </w:r>
            <w:r w:rsidRPr="00C16CB6">
              <w:rPr>
                <w:rFonts w:ascii="Arial" w:hAnsi="Arial" w:cs="Arial"/>
                <w:sz w:val="18"/>
                <w:szCs w:val="18"/>
              </w:rPr>
              <w:lastRenderedPageBreak/>
              <w:t>protón metálico color azul, seguido a su derecha de dos inmuebles de tipo casa-habitación con nomenclaturas 114 y 116, respectivamente, con las siguientes características:</w:t>
            </w:r>
          </w:p>
          <w:p w14:paraId="50BF7EFD"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D77936A"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En lo que respecta al inmueble ubicado al costado derecho del descrito en supra líneas, se visualiza un inmueble de una planta, el cual cuenta en su costado izquierdo con un barandal metálico de color blanco, en el que se visualiza el número 114, además de un muro de ladrillos que, a su vez, sostiene una ventana con protecciones de color negro.</w:t>
            </w:r>
          </w:p>
          <w:p w14:paraId="4F5F2BBD"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11DD086"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A lo que hace al segundo de estos, se observa un inmueble de dos plantas, color azul turquesa, en el que se visualiza el número 116 y dos lonas en la planta alta del mismo; en lo que respecta a la lona que se visualiza en el costado izquierdo, la imagen en fotografía de una persona aparentemente mayor de edad y del género femenino, cabello rubio y sonriendo, acompañada en la parte superior derecha de las leyendas: “Moni BECERRA”, “DIPUTADA FEDERAL DISTRITO II”, “¡Con los pies en la tierra!”, “VOTA 6 DE JUNIO”, señalando que la letra “O” de la palabra “VOTA”, contiene inserto en su centro el emblema del Partido Acción Nacional, y, “ACCIÓN NACIONAL” en la parte superior izquierda de la misma.</w:t>
            </w:r>
          </w:p>
          <w:p w14:paraId="3FD55682"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6648B0C"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Respecto a la lona ubicada en el costado derecho del inmueble, se observa la imagen en fotografía de una persona aparentemente mayor de edad y del género femenino, tez morena, cabello castaño oscuro y sonriendo con los brazos cruzados a la altura del pecho, acompañada de las siguientes leyendas: 1. En la parte superior izquierda, se visualiza la leyenda “Coalición por Aguascalientes, VOTA”, señalando que la letra “O” de la palabra “VOTA”, contiene inserto en su centro el emblema del Partido Acción Nacional, lo cual es un hecho notorio para este Instituto, toda vez que en el mismo se encuentra registrado ante la presente autoridad electoral, y ; 2. En la parte inferior derecha, se visualizan las leyendas “PATY GARCÍA” “CANDIDATA A DIPUTADA LOCAL, DISTRITO XV”, “SALDREMOS ADELANTE”, además de las insignias de las redes sociales denominada Facebook e Instagram, seguidas de las leyendas “PATY GACRCÍA” y “PATY.GARCÍA_G”, respectivamente.</w:t>
            </w:r>
          </w:p>
          <w:p w14:paraId="0A3732B0"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2A05000"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cuatro fotografías insertas en numeral 4 del ANEXO ÚNICO de la presente Acta.</w:t>
            </w:r>
          </w:p>
        </w:tc>
      </w:tr>
      <w:tr w:rsidR="002F2792" w14:paraId="484B7061" w14:textId="77777777" w:rsidTr="002F27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2F2F2" w:themeFill="background1" w:themeFillShade="F2"/>
          </w:tcPr>
          <w:p w14:paraId="6B489BFC"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lastRenderedPageBreak/>
              <w:t xml:space="preserve">5. </w:t>
            </w:r>
            <w:r w:rsidRPr="00C16CB6">
              <w:rPr>
                <w:rFonts w:ascii="Arial" w:hAnsi="Arial" w:cs="Arial"/>
                <w:b w:val="0"/>
                <w:bCs w:val="0"/>
                <w:sz w:val="18"/>
                <w:szCs w:val="18"/>
              </w:rPr>
              <w:t xml:space="preserve">Calle Fraternidad, número </w:t>
            </w:r>
            <w:proofErr w:type="gramStart"/>
            <w:r w:rsidRPr="00C16CB6">
              <w:rPr>
                <w:rFonts w:ascii="Arial" w:hAnsi="Arial" w:cs="Arial"/>
                <w:b w:val="0"/>
                <w:bCs w:val="0"/>
                <w:sz w:val="18"/>
                <w:szCs w:val="18"/>
              </w:rPr>
              <w:t>102,fraccionamiento</w:t>
            </w:r>
            <w:proofErr w:type="gramEnd"/>
            <w:r w:rsidRPr="00C16CB6">
              <w:rPr>
                <w:rFonts w:ascii="Arial" w:hAnsi="Arial" w:cs="Arial"/>
                <w:b w:val="0"/>
                <w:bCs w:val="0"/>
                <w:sz w:val="18"/>
                <w:szCs w:val="18"/>
              </w:rPr>
              <w:t xml:space="preserve"> Solidaridad I, Aguascalientes, Ags.</w:t>
            </w:r>
          </w:p>
        </w:tc>
        <w:tc>
          <w:tcPr>
            <w:tcW w:w="7655" w:type="dxa"/>
            <w:shd w:val="clear" w:color="auto" w:fill="F2F2F2" w:themeFill="background1" w:themeFillShade="F2"/>
          </w:tcPr>
          <w:p w14:paraId="5B9507F5"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Observé un inmueble, aparentemente de tipo casa-habitación, ubicado en la esquina de la calle de mérito, con las características siguiente:</w:t>
            </w:r>
          </w:p>
          <w:p w14:paraId="7F5F341E"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25F553E"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Inmueble de dos plantas, color rosa, con puerta color blanco y un barandal metálico que en la parte superior sostiene lo que aparentemente es una carpa color rosa que contiene la leyenda “BIONICOS Y DUROS DOÑA MARTHA”, en el que, además, en la planta alta se visualiza un muero de ladrillos que sostiene una lona, en la cual, se observa la imagen en fotografía de una persona aparentemente mayor de edad y del género femenino, tez morena, cabello castaño oscuro y sonriendo con los brazos cruzados a la altura del pecho, acompañada de las siguientes leyendas: 1. En la parte superior izquierda, se visualiza la leyenda “Coalición por Aguascalientes, VOTA”, señalando que la letra “O” de la palabra “VOTA”, contiene inserto en su centro el emblema del Partido Acción Nacional, lo cual es un hecho notorio para este Instituto, toda vez que en el mismo se encuentra registrado ante la presente autoridad electoral, y ; 2. En la parte inferior derecha, se visualizan las leyendas “PATY GARCÍA” “CANDIDATA A DIPUTADA LOCAL, DISTRITO XV”, “SALDREMOS ADELANTE”, además de las insignias de las redes sociales denominada Facebook e Instagram, seguidas de las leyendas “PATY GACRCÍA” y “PATY.GARCÍA_G”, respectivamente.</w:t>
            </w:r>
          </w:p>
          <w:p w14:paraId="1E55E632"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06CC842"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tras fotografías insertas en numeral 5 del ANEXO ÚNICO de la presente Acta.</w:t>
            </w:r>
          </w:p>
        </w:tc>
      </w:tr>
      <w:tr w:rsidR="002F2792" w14:paraId="4F4F8D4D" w14:textId="77777777" w:rsidTr="002F2792">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1123225E"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t xml:space="preserve">6. </w:t>
            </w:r>
            <w:r w:rsidRPr="00C16CB6">
              <w:rPr>
                <w:rFonts w:ascii="Arial" w:hAnsi="Arial" w:cs="Arial"/>
                <w:b w:val="0"/>
                <w:bCs w:val="0"/>
                <w:sz w:val="18"/>
                <w:szCs w:val="18"/>
              </w:rPr>
              <w:t>Calle Villa de Jesús María, número 203, fraccionamiento Villerías, Aguascalientes, Ags.</w:t>
            </w:r>
          </w:p>
        </w:tc>
        <w:tc>
          <w:tcPr>
            <w:tcW w:w="7655" w:type="dxa"/>
          </w:tcPr>
          <w:p w14:paraId="0BEA1D8F"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Observé un inmueble, aparentemente de tipo casa-habitación, de dos plantas, color blanco en el costado izquierdo del mismo, así como un barandal color negro, acompañado de un arbusto en la parte inferior derecha del inmueble, además de un balcón y una ventana con protecciones metálicas de color negro en la planta alta, sin que se aprecie propaganda electoral alguna.</w:t>
            </w:r>
          </w:p>
          <w:p w14:paraId="2F7CAD46"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D10245B" w14:textId="77777777" w:rsidR="002F2792" w:rsidRPr="00C16CB6" w:rsidRDefault="002F2792" w:rsidP="0024274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tres fotografías insertas en numeral 6 del ANEXO ÚNICO de la presente Acta.</w:t>
            </w:r>
          </w:p>
        </w:tc>
      </w:tr>
      <w:tr w:rsidR="002F2792" w14:paraId="0795766E" w14:textId="77777777" w:rsidTr="002F27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2F2F2" w:themeFill="background1" w:themeFillShade="F2"/>
          </w:tcPr>
          <w:p w14:paraId="39EC9F6F" w14:textId="77777777" w:rsidR="002F2792" w:rsidRPr="00C16CB6" w:rsidRDefault="002F2792" w:rsidP="00242746">
            <w:pPr>
              <w:jc w:val="both"/>
              <w:rPr>
                <w:rFonts w:ascii="Arial" w:hAnsi="Arial" w:cs="Arial"/>
                <w:sz w:val="18"/>
                <w:szCs w:val="18"/>
              </w:rPr>
            </w:pPr>
            <w:r w:rsidRPr="00C16CB6">
              <w:rPr>
                <w:rFonts w:ascii="Arial" w:hAnsi="Arial" w:cs="Arial"/>
                <w:sz w:val="18"/>
                <w:szCs w:val="18"/>
              </w:rPr>
              <w:t xml:space="preserve">7. </w:t>
            </w:r>
            <w:r w:rsidRPr="00C16CB6">
              <w:rPr>
                <w:rFonts w:ascii="Arial" w:hAnsi="Arial" w:cs="Arial"/>
                <w:b w:val="0"/>
                <w:bCs w:val="0"/>
                <w:sz w:val="18"/>
                <w:szCs w:val="18"/>
              </w:rPr>
              <w:t>Calle Hacienda de Gracias a Dios, S/N, fraccionamiento Villerías, Aguascalientes, Ags.</w:t>
            </w:r>
          </w:p>
        </w:tc>
        <w:tc>
          <w:tcPr>
            <w:tcW w:w="7655" w:type="dxa"/>
            <w:shd w:val="clear" w:color="auto" w:fill="F2F2F2" w:themeFill="background1" w:themeFillShade="F2"/>
          </w:tcPr>
          <w:p w14:paraId="45AD44B5"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Observé un inmueble, aparentemente de tipo casa-habitación de una planta, ubicado en la esquina de la calle de mérito, color blanco, en el cual se visualiza un barandal metálico, así como un muro pintado completamente de color blanco en el costado lateral derecho del mismo, sin que se aprecie propaganda electoral alguna.</w:t>
            </w:r>
          </w:p>
          <w:p w14:paraId="2331B65D"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52DC2C2" w14:textId="77777777" w:rsidR="002F2792" w:rsidRPr="00C16CB6" w:rsidRDefault="002F2792" w:rsidP="0024274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6CB6">
              <w:rPr>
                <w:rFonts w:ascii="Arial" w:hAnsi="Arial" w:cs="Arial"/>
                <w:sz w:val="18"/>
                <w:szCs w:val="18"/>
              </w:rPr>
              <w:t>Lo anterior tal y como se observa en las tres fotografías insertas en numeral 7 del ANEXO ÚNICO de la presente Acta.</w:t>
            </w:r>
          </w:p>
        </w:tc>
      </w:tr>
      <w:tr w:rsidR="002F2792" w14:paraId="19E1DEC8" w14:textId="77777777" w:rsidTr="002F2792">
        <w:trPr>
          <w:jc w:val="center"/>
        </w:trPr>
        <w:tc>
          <w:tcPr>
            <w:cnfStyle w:val="001000000000" w:firstRow="0" w:lastRow="0" w:firstColumn="1" w:lastColumn="0" w:oddVBand="0" w:evenVBand="0" w:oddHBand="0" w:evenHBand="0" w:firstRowFirstColumn="0" w:firstRowLastColumn="0" w:lastRowFirstColumn="0" w:lastRowLastColumn="0"/>
            <w:tcW w:w="9923" w:type="dxa"/>
            <w:gridSpan w:val="2"/>
          </w:tcPr>
          <w:p w14:paraId="0BED074C" w14:textId="77777777" w:rsidR="002F2792" w:rsidRPr="00A00B29" w:rsidRDefault="002F2792" w:rsidP="00242746">
            <w:pPr>
              <w:jc w:val="both"/>
              <w:rPr>
                <w:rFonts w:ascii="Arial" w:hAnsi="Arial" w:cs="Arial"/>
                <w:b w:val="0"/>
                <w:bCs w:val="0"/>
                <w:sz w:val="20"/>
                <w:szCs w:val="20"/>
              </w:rPr>
            </w:pPr>
            <w:r w:rsidRPr="00A00B29">
              <w:rPr>
                <w:rFonts w:ascii="Arial" w:hAnsi="Arial" w:cs="Arial"/>
                <w:b w:val="0"/>
                <w:bCs w:val="0"/>
                <w:sz w:val="20"/>
                <w:szCs w:val="20"/>
              </w:rPr>
              <w:t>Imágenes.</w:t>
            </w:r>
          </w:p>
          <w:p w14:paraId="1F3D9DF7" w14:textId="79DDAE7B" w:rsidR="002F2792" w:rsidRDefault="002F2792" w:rsidP="002F2792">
            <w:pPr>
              <w:jc w:val="center"/>
              <w:rPr>
                <w:rFonts w:ascii="Arial" w:hAnsi="Arial" w:cs="Arial"/>
                <w:sz w:val="20"/>
                <w:szCs w:val="20"/>
              </w:rPr>
            </w:pPr>
            <w:r>
              <w:rPr>
                <w:noProof/>
              </w:rPr>
              <w:lastRenderedPageBreak/>
              <w:drawing>
                <wp:inline distT="0" distB="0" distL="0" distR="0" wp14:anchorId="092C4E2A" wp14:editId="03BF5AE2">
                  <wp:extent cx="1666875" cy="22288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3774" t="12976" r="36524" b="16415"/>
                          <a:stretch/>
                        </pic:blipFill>
                        <pic:spPr bwMode="auto">
                          <a:xfrm>
                            <a:off x="0" y="0"/>
                            <a:ext cx="1666875" cy="22288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F0E375D" wp14:editId="3F6ECB85">
                  <wp:extent cx="1638300" cy="23050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944" t="16294" r="36864" b="10682"/>
                          <a:stretch/>
                        </pic:blipFill>
                        <pic:spPr bwMode="auto">
                          <a:xfrm>
                            <a:off x="0" y="0"/>
                            <a:ext cx="1638300" cy="23050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8273E7" wp14:editId="5FA51C70">
                  <wp:extent cx="1647825" cy="227647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3774" t="13579" r="36864" b="14303"/>
                          <a:stretch/>
                        </pic:blipFill>
                        <pic:spPr bwMode="auto">
                          <a:xfrm>
                            <a:off x="0" y="0"/>
                            <a:ext cx="1647825" cy="22764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C40E561" wp14:editId="40AC9B45">
                  <wp:extent cx="1628775" cy="23812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4114" t="12371" r="36864" b="12192"/>
                          <a:stretch/>
                        </pic:blipFill>
                        <pic:spPr bwMode="auto">
                          <a:xfrm>
                            <a:off x="0" y="0"/>
                            <a:ext cx="1628775" cy="23812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CD8886" wp14:editId="3FFB4A15">
                  <wp:extent cx="1695450" cy="23431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3605" t="12976" r="36185" b="12793"/>
                          <a:stretch/>
                        </pic:blipFill>
                        <pic:spPr bwMode="auto">
                          <a:xfrm>
                            <a:off x="0" y="0"/>
                            <a:ext cx="1695450" cy="23431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655D375" wp14:editId="459E0273">
                  <wp:extent cx="1628775" cy="25146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3944" t="10864" r="37034" b="9475"/>
                          <a:stretch/>
                        </pic:blipFill>
                        <pic:spPr bwMode="auto">
                          <a:xfrm>
                            <a:off x="0" y="0"/>
                            <a:ext cx="1628775" cy="25146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9D0D28A" wp14:editId="3B29CD07">
                  <wp:extent cx="1676400" cy="24479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3605" t="12976" r="36524" b="9475"/>
                          <a:stretch/>
                        </pic:blipFill>
                        <pic:spPr bwMode="auto">
                          <a:xfrm>
                            <a:off x="0" y="0"/>
                            <a:ext cx="1676400" cy="244792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DAB57AA" wp14:editId="414EF198">
                  <wp:extent cx="1752600" cy="24384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3096" t="12372" r="35676" b="10380"/>
                          <a:stretch/>
                        </pic:blipFill>
                        <pic:spPr bwMode="auto">
                          <a:xfrm>
                            <a:off x="0" y="0"/>
                            <a:ext cx="1752600" cy="24384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C973016" wp14:editId="1F1C63A2">
                  <wp:extent cx="1647825" cy="238125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944" t="13277" r="36694" b="11284"/>
                          <a:stretch/>
                        </pic:blipFill>
                        <pic:spPr bwMode="auto">
                          <a:xfrm>
                            <a:off x="0" y="0"/>
                            <a:ext cx="1647825" cy="23812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26F4B4" wp14:editId="34864F5E">
                  <wp:extent cx="1685925" cy="24003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3266" t="17200" r="36694" b="6760"/>
                          <a:stretch/>
                        </pic:blipFill>
                        <pic:spPr bwMode="auto">
                          <a:xfrm>
                            <a:off x="0" y="0"/>
                            <a:ext cx="1685925" cy="24003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F9FA8E9" wp14:editId="4B1FAB5D">
                  <wp:extent cx="2476500" cy="1819275"/>
                  <wp:effectExtent l="4762" t="0" r="4763" b="4762"/>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6986" t="32287" r="28886" b="10078"/>
                          <a:stretch/>
                        </pic:blipFill>
                        <pic:spPr bwMode="auto">
                          <a:xfrm rot="16200000">
                            <a:off x="0" y="0"/>
                            <a:ext cx="2476500" cy="18192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FDFBE2" wp14:editId="62B4D28F">
                  <wp:extent cx="1647825" cy="240982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4114" t="16295" r="36524" b="7363"/>
                          <a:stretch/>
                        </pic:blipFill>
                        <pic:spPr bwMode="auto">
                          <a:xfrm>
                            <a:off x="0" y="0"/>
                            <a:ext cx="1647825" cy="24098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5848DB3F" w14:textId="069DB0E7" w:rsidR="00E914D1" w:rsidRDefault="00E914D1" w:rsidP="00E914D1">
      <w:pPr>
        <w:tabs>
          <w:tab w:val="left" w:pos="6195"/>
        </w:tabs>
        <w:spacing w:line="360" w:lineRule="auto"/>
        <w:jc w:val="both"/>
        <w:rPr>
          <w:rFonts w:ascii="Arial" w:hAnsi="Arial" w:cs="Arial"/>
          <w:b/>
          <w:sz w:val="22"/>
          <w:szCs w:val="22"/>
          <w:lang w:val="es-ES"/>
        </w:rPr>
      </w:pPr>
    </w:p>
    <w:p w14:paraId="6A983567" w14:textId="4073A30A" w:rsidR="002F2792" w:rsidRDefault="002F2792" w:rsidP="00E914D1">
      <w:pPr>
        <w:tabs>
          <w:tab w:val="left" w:pos="6195"/>
        </w:tabs>
        <w:spacing w:line="360" w:lineRule="auto"/>
        <w:jc w:val="both"/>
        <w:rPr>
          <w:rFonts w:ascii="Arial" w:hAnsi="Arial" w:cs="Arial"/>
          <w:bCs/>
          <w:sz w:val="22"/>
          <w:szCs w:val="22"/>
          <w:lang w:val="es-ES"/>
        </w:rPr>
      </w:pPr>
      <w:r w:rsidRPr="002F2792">
        <w:rPr>
          <w:rFonts w:ascii="Arial" w:hAnsi="Arial" w:cs="Arial"/>
          <w:bCs/>
          <w:sz w:val="22"/>
          <w:szCs w:val="22"/>
          <w:lang w:val="es-ES"/>
        </w:rPr>
        <w:lastRenderedPageBreak/>
        <w:t xml:space="preserve">Luego, el Partido Acción Nacional, </w:t>
      </w:r>
      <w:r>
        <w:rPr>
          <w:rFonts w:ascii="Arial" w:hAnsi="Arial" w:cs="Arial"/>
          <w:bCs/>
          <w:sz w:val="22"/>
          <w:szCs w:val="22"/>
          <w:lang w:val="es-ES"/>
        </w:rPr>
        <w:t>ofreció las siguientes imágenes derivadas de un instrumento notarial, con la finalidad de desacreditar la publicidad en las bardas denunciadas:</w:t>
      </w:r>
    </w:p>
    <w:p w14:paraId="65CC204B" w14:textId="62FFC53F" w:rsidR="002F2792" w:rsidRDefault="002F2792" w:rsidP="00E914D1">
      <w:pPr>
        <w:tabs>
          <w:tab w:val="left" w:pos="6195"/>
        </w:tabs>
        <w:spacing w:line="360" w:lineRule="auto"/>
        <w:jc w:val="both"/>
        <w:rPr>
          <w:rFonts w:ascii="Arial" w:hAnsi="Arial" w:cs="Arial"/>
          <w:bCs/>
          <w:sz w:val="22"/>
          <w:szCs w:val="22"/>
          <w:lang w:val="es-ES"/>
        </w:rPr>
      </w:pPr>
    </w:p>
    <w:tbl>
      <w:tblPr>
        <w:tblStyle w:val="Tablaconcuadrcula"/>
        <w:tblW w:w="0" w:type="auto"/>
        <w:tblLook w:val="04A0" w:firstRow="1" w:lastRow="0" w:firstColumn="1" w:lastColumn="0" w:noHBand="0" w:noVBand="1"/>
      </w:tblPr>
      <w:tblGrid>
        <w:gridCol w:w="3306"/>
        <w:gridCol w:w="3336"/>
        <w:gridCol w:w="3271"/>
      </w:tblGrid>
      <w:tr w:rsidR="002F2792" w14:paraId="2372B621" w14:textId="77777777" w:rsidTr="00F134BD">
        <w:tc>
          <w:tcPr>
            <w:tcW w:w="9913" w:type="dxa"/>
            <w:gridSpan w:val="3"/>
          </w:tcPr>
          <w:p w14:paraId="1AED7A1F" w14:textId="45CB6E3D" w:rsidR="002F2792" w:rsidRPr="002F2792" w:rsidRDefault="002F2792" w:rsidP="002F2792">
            <w:pPr>
              <w:tabs>
                <w:tab w:val="left" w:pos="6195"/>
              </w:tabs>
              <w:spacing w:line="360" w:lineRule="auto"/>
              <w:jc w:val="center"/>
              <w:rPr>
                <w:rFonts w:ascii="Arial" w:hAnsi="Arial" w:cs="Arial"/>
                <w:bCs/>
                <w:sz w:val="22"/>
                <w:szCs w:val="22"/>
                <w:lang w:val="es-ES"/>
              </w:rPr>
            </w:pPr>
            <w:r w:rsidRPr="002F2792">
              <w:rPr>
                <w:rFonts w:ascii="Arial" w:hAnsi="Arial" w:cs="Arial"/>
                <w:bCs/>
                <w:noProof/>
                <w:sz w:val="22"/>
                <w:szCs w:val="22"/>
                <w:lang w:val="es-ES"/>
              </w:rPr>
              <w:drawing>
                <wp:inline distT="0" distB="0" distL="0" distR="0" wp14:anchorId="57C3AEFC" wp14:editId="12A5B702">
                  <wp:extent cx="4747565" cy="3109863"/>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51237" cy="3112268"/>
                          </a:xfrm>
                          <a:prstGeom prst="rect">
                            <a:avLst/>
                          </a:prstGeom>
                          <a:noFill/>
                          <a:ln>
                            <a:noFill/>
                          </a:ln>
                        </pic:spPr>
                      </pic:pic>
                    </a:graphicData>
                  </a:graphic>
                </wp:inline>
              </w:drawing>
            </w:r>
          </w:p>
        </w:tc>
      </w:tr>
      <w:tr w:rsidR="002F2792" w14:paraId="3F7FF224" w14:textId="77777777" w:rsidTr="002F2792">
        <w:tc>
          <w:tcPr>
            <w:tcW w:w="3306" w:type="dxa"/>
          </w:tcPr>
          <w:p w14:paraId="4C649A9B" w14:textId="055762D8" w:rsidR="002F2792" w:rsidRPr="002F2792" w:rsidRDefault="002F2792" w:rsidP="002F2792">
            <w:pPr>
              <w:tabs>
                <w:tab w:val="left" w:pos="6195"/>
              </w:tabs>
              <w:spacing w:line="360" w:lineRule="auto"/>
              <w:jc w:val="right"/>
              <w:rPr>
                <w:rFonts w:ascii="Arial" w:hAnsi="Arial" w:cs="Arial"/>
                <w:bCs/>
                <w:noProof/>
                <w:sz w:val="22"/>
                <w:szCs w:val="22"/>
                <w:lang w:val="es-ES"/>
              </w:rPr>
            </w:pPr>
            <w:r w:rsidRPr="002F2792">
              <w:rPr>
                <w:rFonts w:ascii="Arial" w:hAnsi="Arial" w:cs="Arial"/>
                <w:bCs/>
                <w:noProof/>
                <w:sz w:val="22"/>
                <w:szCs w:val="22"/>
                <w:lang w:val="es-ES"/>
              </w:rPr>
              <w:drawing>
                <wp:inline distT="0" distB="0" distL="0" distR="0" wp14:anchorId="0477B1A5" wp14:editId="7EE6AAC1">
                  <wp:extent cx="1960473" cy="1475444"/>
                  <wp:effectExtent l="0" t="0" r="190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79331" cy="1489636"/>
                          </a:xfrm>
                          <a:prstGeom prst="rect">
                            <a:avLst/>
                          </a:prstGeom>
                          <a:noFill/>
                          <a:ln>
                            <a:noFill/>
                          </a:ln>
                        </pic:spPr>
                      </pic:pic>
                    </a:graphicData>
                  </a:graphic>
                </wp:inline>
              </w:drawing>
            </w:r>
          </w:p>
        </w:tc>
        <w:tc>
          <w:tcPr>
            <w:tcW w:w="3336" w:type="dxa"/>
          </w:tcPr>
          <w:p w14:paraId="4A8C185B" w14:textId="7231A792" w:rsidR="002F2792" w:rsidRPr="002F2792" w:rsidRDefault="002F2792" w:rsidP="002F2792">
            <w:pPr>
              <w:tabs>
                <w:tab w:val="left" w:pos="6195"/>
              </w:tabs>
              <w:spacing w:line="360" w:lineRule="auto"/>
              <w:jc w:val="both"/>
              <w:rPr>
                <w:rFonts w:ascii="Arial" w:hAnsi="Arial" w:cs="Arial"/>
                <w:bCs/>
                <w:noProof/>
                <w:sz w:val="22"/>
                <w:szCs w:val="22"/>
                <w:lang w:val="es-ES"/>
              </w:rPr>
            </w:pPr>
            <w:r w:rsidRPr="002F2792">
              <w:rPr>
                <w:rFonts w:ascii="Arial" w:hAnsi="Arial" w:cs="Arial"/>
                <w:bCs/>
                <w:noProof/>
                <w:sz w:val="22"/>
                <w:szCs w:val="22"/>
                <w:lang w:val="es-ES"/>
              </w:rPr>
              <w:drawing>
                <wp:inline distT="0" distB="0" distL="0" distR="0" wp14:anchorId="75F676CF" wp14:editId="0B38DD43">
                  <wp:extent cx="1979126" cy="1475105"/>
                  <wp:effectExtent l="0" t="0" r="254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00401" cy="1490962"/>
                          </a:xfrm>
                          <a:prstGeom prst="rect">
                            <a:avLst/>
                          </a:prstGeom>
                          <a:noFill/>
                          <a:ln>
                            <a:noFill/>
                          </a:ln>
                        </pic:spPr>
                      </pic:pic>
                    </a:graphicData>
                  </a:graphic>
                </wp:inline>
              </w:drawing>
            </w:r>
          </w:p>
        </w:tc>
        <w:tc>
          <w:tcPr>
            <w:tcW w:w="3271" w:type="dxa"/>
          </w:tcPr>
          <w:p w14:paraId="7B8F320C" w14:textId="1F8D02C6" w:rsidR="002F2792" w:rsidRPr="002F2792" w:rsidRDefault="002F2792" w:rsidP="002F2792">
            <w:pPr>
              <w:tabs>
                <w:tab w:val="left" w:pos="6195"/>
              </w:tabs>
              <w:spacing w:line="360" w:lineRule="auto"/>
              <w:jc w:val="center"/>
              <w:rPr>
                <w:rFonts w:ascii="Arial" w:hAnsi="Arial" w:cs="Arial"/>
                <w:bCs/>
                <w:noProof/>
                <w:sz w:val="22"/>
                <w:szCs w:val="22"/>
                <w:lang w:val="es-ES"/>
              </w:rPr>
            </w:pPr>
            <w:r w:rsidRPr="002F2792">
              <w:rPr>
                <w:rFonts w:ascii="Arial" w:hAnsi="Arial" w:cs="Arial"/>
                <w:bCs/>
                <w:noProof/>
                <w:sz w:val="22"/>
                <w:szCs w:val="22"/>
                <w:lang w:val="es-ES"/>
              </w:rPr>
              <w:drawing>
                <wp:inline distT="0" distB="0" distL="0" distR="0" wp14:anchorId="7FB01894" wp14:editId="21ABDDE1">
                  <wp:extent cx="1117084" cy="1475105"/>
                  <wp:effectExtent l="0" t="0" r="698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22285" cy="1481972"/>
                          </a:xfrm>
                          <a:prstGeom prst="rect">
                            <a:avLst/>
                          </a:prstGeom>
                          <a:noFill/>
                          <a:ln>
                            <a:noFill/>
                          </a:ln>
                        </pic:spPr>
                      </pic:pic>
                    </a:graphicData>
                  </a:graphic>
                </wp:inline>
              </w:drawing>
            </w:r>
          </w:p>
        </w:tc>
      </w:tr>
      <w:tr w:rsidR="002F2792" w14:paraId="1143B518" w14:textId="77777777" w:rsidTr="002F2792">
        <w:tc>
          <w:tcPr>
            <w:tcW w:w="3306" w:type="dxa"/>
          </w:tcPr>
          <w:p w14:paraId="02C1D2AE" w14:textId="30494591" w:rsidR="002F2792" w:rsidRDefault="002F2792" w:rsidP="002F2792">
            <w:pPr>
              <w:tabs>
                <w:tab w:val="left" w:pos="6195"/>
              </w:tabs>
              <w:spacing w:line="360" w:lineRule="auto"/>
              <w:jc w:val="both"/>
              <w:rPr>
                <w:rFonts w:ascii="Arial" w:hAnsi="Arial" w:cs="Arial"/>
                <w:bCs/>
                <w:sz w:val="22"/>
                <w:szCs w:val="22"/>
                <w:lang w:val="es-ES"/>
              </w:rPr>
            </w:pPr>
            <w:r w:rsidRPr="002F2792">
              <w:rPr>
                <w:rFonts w:ascii="Arial" w:hAnsi="Arial" w:cs="Arial"/>
                <w:bCs/>
                <w:noProof/>
                <w:sz w:val="22"/>
                <w:szCs w:val="22"/>
                <w:lang w:val="es-ES"/>
              </w:rPr>
              <w:drawing>
                <wp:inline distT="0" distB="0" distL="0" distR="0" wp14:anchorId="31DA449D" wp14:editId="26E060D4">
                  <wp:extent cx="1953712" cy="1470356"/>
                  <wp:effectExtent l="0" t="0" r="889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60770" cy="1475668"/>
                          </a:xfrm>
                          <a:prstGeom prst="rect">
                            <a:avLst/>
                          </a:prstGeom>
                          <a:noFill/>
                          <a:ln>
                            <a:noFill/>
                          </a:ln>
                        </pic:spPr>
                      </pic:pic>
                    </a:graphicData>
                  </a:graphic>
                </wp:inline>
              </w:drawing>
            </w:r>
          </w:p>
        </w:tc>
        <w:tc>
          <w:tcPr>
            <w:tcW w:w="3336" w:type="dxa"/>
          </w:tcPr>
          <w:p w14:paraId="60BC03A6" w14:textId="6842EB82" w:rsidR="002F2792" w:rsidRDefault="002F2792" w:rsidP="002F2792">
            <w:pPr>
              <w:tabs>
                <w:tab w:val="left" w:pos="6195"/>
              </w:tabs>
              <w:spacing w:line="360" w:lineRule="auto"/>
              <w:jc w:val="center"/>
              <w:rPr>
                <w:rFonts w:ascii="Arial" w:hAnsi="Arial" w:cs="Arial"/>
                <w:bCs/>
                <w:sz w:val="22"/>
                <w:szCs w:val="22"/>
                <w:lang w:val="es-ES"/>
              </w:rPr>
            </w:pPr>
            <w:r w:rsidRPr="002F2792">
              <w:rPr>
                <w:rFonts w:ascii="Arial" w:hAnsi="Arial" w:cs="Arial"/>
                <w:bCs/>
                <w:noProof/>
                <w:sz w:val="22"/>
                <w:szCs w:val="22"/>
                <w:lang w:val="es-ES"/>
              </w:rPr>
              <w:drawing>
                <wp:inline distT="0" distB="0" distL="0" distR="0" wp14:anchorId="1D62C0E7" wp14:editId="11BB186C">
                  <wp:extent cx="1082650" cy="1458560"/>
                  <wp:effectExtent l="0" t="0" r="3810" b="889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8430" cy="1466347"/>
                          </a:xfrm>
                          <a:prstGeom prst="rect">
                            <a:avLst/>
                          </a:prstGeom>
                          <a:noFill/>
                          <a:ln>
                            <a:noFill/>
                          </a:ln>
                        </pic:spPr>
                      </pic:pic>
                    </a:graphicData>
                  </a:graphic>
                </wp:inline>
              </w:drawing>
            </w:r>
          </w:p>
        </w:tc>
        <w:tc>
          <w:tcPr>
            <w:tcW w:w="3271" w:type="dxa"/>
          </w:tcPr>
          <w:p w14:paraId="27E4D81E" w14:textId="0DD2DC11" w:rsidR="002F2792" w:rsidRDefault="002F2792" w:rsidP="002F2792">
            <w:pPr>
              <w:tabs>
                <w:tab w:val="left" w:pos="6195"/>
              </w:tabs>
              <w:spacing w:line="360" w:lineRule="auto"/>
              <w:jc w:val="both"/>
              <w:rPr>
                <w:rFonts w:ascii="Arial" w:hAnsi="Arial" w:cs="Arial"/>
                <w:bCs/>
                <w:sz w:val="22"/>
                <w:szCs w:val="22"/>
                <w:lang w:val="es-ES"/>
              </w:rPr>
            </w:pPr>
            <w:r w:rsidRPr="002F2792">
              <w:rPr>
                <w:rFonts w:ascii="Arial" w:hAnsi="Arial" w:cs="Arial"/>
                <w:bCs/>
                <w:noProof/>
                <w:sz w:val="22"/>
                <w:szCs w:val="22"/>
                <w:lang w:val="es-ES"/>
              </w:rPr>
              <w:drawing>
                <wp:inline distT="0" distB="0" distL="0" distR="0" wp14:anchorId="0F0177B9" wp14:editId="16F7EE0A">
                  <wp:extent cx="1929826" cy="1441095"/>
                  <wp:effectExtent l="0" t="0" r="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4313" cy="1444446"/>
                          </a:xfrm>
                          <a:prstGeom prst="rect">
                            <a:avLst/>
                          </a:prstGeom>
                          <a:noFill/>
                          <a:ln>
                            <a:noFill/>
                          </a:ln>
                        </pic:spPr>
                      </pic:pic>
                    </a:graphicData>
                  </a:graphic>
                </wp:inline>
              </w:drawing>
            </w:r>
          </w:p>
        </w:tc>
      </w:tr>
    </w:tbl>
    <w:p w14:paraId="01C39716" w14:textId="77777777" w:rsidR="002F2792" w:rsidRDefault="002F2792" w:rsidP="00E914D1">
      <w:pPr>
        <w:tabs>
          <w:tab w:val="left" w:pos="6195"/>
        </w:tabs>
        <w:spacing w:line="360" w:lineRule="auto"/>
        <w:jc w:val="both"/>
        <w:rPr>
          <w:rFonts w:ascii="Arial" w:hAnsi="Arial" w:cs="Arial"/>
          <w:b/>
          <w:sz w:val="22"/>
          <w:szCs w:val="22"/>
          <w:lang w:val="es-ES"/>
        </w:rPr>
      </w:pPr>
    </w:p>
    <w:p w14:paraId="4E5FF8F7" w14:textId="29A5DCF1"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B19C4BF" w14:textId="77777777" w:rsidR="002F2792" w:rsidRDefault="002F279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18B8149C"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si </w:t>
      </w:r>
      <w:r w:rsidR="00FE4D00" w:rsidRPr="008114D0">
        <w:rPr>
          <w:rFonts w:ascii="Arial" w:eastAsia="Arial Nova" w:hAnsi="Arial" w:cs="Arial"/>
          <w:bCs/>
          <w:sz w:val="22"/>
          <w:szCs w:val="22"/>
        </w:rPr>
        <w:t xml:space="preserve">se configuran </w:t>
      </w:r>
      <w:r w:rsidR="00F84EF5">
        <w:rPr>
          <w:rFonts w:ascii="Arial" w:eastAsia="Arial Nova" w:hAnsi="Arial" w:cs="Arial"/>
          <w:bCs/>
          <w:sz w:val="22"/>
          <w:szCs w:val="22"/>
        </w:rPr>
        <w:t>una trasgresión al principio de equidad en la contienda, confusión al electorado o violación a alguna normativa electoral</w:t>
      </w:r>
      <w:r w:rsidR="005A7F34" w:rsidRPr="008114D0">
        <w:rPr>
          <w:rFonts w:ascii="Arial" w:eastAsia="Arial Nova" w:hAnsi="Arial" w:cs="Arial"/>
          <w:bCs/>
          <w:sz w:val="22"/>
          <w:szCs w:val="22"/>
        </w:rPr>
        <w:t>, por</w:t>
      </w:r>
      <w:r w:rsidR="0078220C" w:rsidRPr="008114D0">
        <w:rPr>
          <w:rFonts w:ascii="Arial" w:eastAsia="Arial Nova" w:hAnsi="Arial" w:cs="Arial"/>
          <w:bCs/>
          <w:sz w:val="22"/>
          <w:szCs w:val="22"/>
        </w:rPr>
        <w:t xml:space="preserve"> lo que se deberá analizar lo siguiente:</w:t>
      </w:r>
    </w:p>
    <w:p w14:paraId="262F37F9" w14:textId="6B214BB8" w:rsidR="00AF5CE0" w:rsidRDefault="00AF5CE0"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7C830D51" w14:textId="211EB65A" w:rsidR="00AF5CE0" w:rsidRDefault="00BA3D73"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a</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El análisis de si </w:t>
      </w:r>
      <w:r w:rsidR="001D7982">
        <w:rPr>
          <w:rFonts w:ascii="Arial" w:eastAsia="Arial Nova" w:hAnsi="Arial" w:cs="Arial"/>
          <w:bCs/>
          <w:sz w:val="22"/>
          <w:szCs w:val="22"/>
        </w:rPr>
        <w:t>con los</w:t>
      </w:r>
      <w:r w:rsidR="00AF5CE0" w:rsidRPr="0078220C">
        <w:rPr>
          <w:rFonts w:ascii="Arial" w:eastAsia="Arial Nova" w:hAnsi="Arial" w:cs="Arial"/>
          <w:bCs/>
          <w:sz w:val="22"/>
          <w:szCs w:val="22"/>
        </w:rPr>
        <w:t xml:space="preserve"> hechos acreditados</w:t>
      </w:r>
      <w:r w:rsidR="001D7982">
        <w:rPr>
          <w:rFonts w:ascii="Arial" w:eastAsia="Arial Nova" w:hAnsi="Arial" w:cs="Arial"/>
          <w:bCs/>
          <w:sz w:val="22"/>
          <w:szCs w:val="22"/>
        </w:rPr>
        <w:t>,</w:t>
      </w:r>
      <w:r w:rsidR="00AF5CE0" w:rsidRPr="0078220C">
        <w:rPr>
          <w:rFonts w:ascii="Arial" w:eastAsia="Arial Nova" w:hAnsi="Arial" w:cs="Arial"/>
          <w:bCs/>
          <w:sz w:val="22"/>
          <w:szCs w:val="22"/>
        </w:rPr>
        <w:t xml:space="preserve"> </w:t>
      </w:r>
      <w:r w:rsidR="001D7982">
        <w:rPr>
          <w:rFonts w:ascii="Arial" w:eastAsia="Arial Nova" w:hAnsi="Arial" w:cs="Arial"/>
          <w:bCs/>
          <w:sz w:val="22"/>
          <w:szCs w:val="22"/>
        </w:rPr>
        <w:t>se vulnera la normativa electoral</w:t>
      </w:r>
      <w:r w:rsidR="002F2792">
        <w:rPr>
          <w:rFonts w:ascii="Arial" w:eastAsia="Arial Nova" w:hAnsi="Arial" w:cs="Arial"/>
          <w:bCs/>
          <w:sz w:val="22"/>
          <w:szCs w:val="22"/>
        </w:rPr>
        <w:t>.</w:t>
      </w:r>
      <w:r w:rsidR="00AF5CE0" w:rsidRPr="0078220C">
        <w:rPr>
          <w:rFonts w:ascii="Arial" w:eastAsia="Arial Nova" w:hAnsi="Arial" w:cs="Arial"/>
          <w:bCs/>
          <w:sz w:val="22"/>
          <w:szCs w:val="22"/>
        </w:rPr>
        <w:t xml:space="preserve"> </w:t>
      </w:r>
    </w:p>
    <w:p w14:paraId="4AA2CFAA" w14:textId="523C9119" w:rsidR="00AF5CE0" w:rsidRDefault="00BA3D73"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b</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ser procedente, se determinará la responsabilidad del presunto infractor; y </w:t>
      </w:r>
    </w:p>
    <w:p w14:paraId="630594AE" w14:textId="763EA225" w:rsidR="00AF5CE0" w:rsidRDefault="00BA3D73"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c</w:t>
      </w:r>
      <w:r w:rsidR="00AF5CE0" w:rsidRPr="001D7982">
        <w:rPr>
          <w:rFonts w:ascii="Arial" w:eastAsia="Arial Nova" w:hAnsi="Arial" w:cs="Arial"/>
          <w:b/>
          <w:sz w:val="22"/>
          <w:szCs w:val="22"/>
        </w:rPr>
        <w:t>)</w:t>
      </w:r>
      <w:r w:rsidR="00A71D85">
        <w:rPr>
          <w:rFonts w:ascii="Arial" w:eastAsia="Arial Nova" w:hAnsi="Arial" w:cs="Arial"/>
          <w:bCs/>
          <w:sz w:val="22"/>
          <w:szCs w:val="22"/>
        </w:rPr>
        <w:t xml:space="preserve"> R</w:t>
      </w:r>
      <w:r w:rsidR="00AF5CE0" w:rsidRPr="0078220C">
        <w:rPr>
          <w:rFonts w:ascii="Arial" w:eastAsia="Arial Nova" w:hAnsi="Arial" w:cs="Arial"/>
          <w:bCs/>
          <w:sz w:val="22"/>
          <w:szCs w:val="22"/>
        </w:rPr>
        <w:t>esolver sobre la calificación de la falta e individualización de la sanción.</w:t>
      </w:r>
    </w:p>
    <w:p w14:paraId="5BDF5755" w14:textId="77777777" w:rsidR="00BA3D73" w:rsidRDefault="00BA3D73"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4D989E6A" w14:textId="77777777" w:rsidR="001D7982" w:rsidRPr="00FA75EF"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F9F87FE" w14:textId="5071CF7D" w:rsidR="003A00A0" w:rsidRPr="008114D0" w:rsidRDefault="003A00A0" w:rsidP="003A00A0">
      <w:pPr>
        <w:pBdr>
          <w:top w:val="nil"/>
          <w:left w:val="nil"/>
          <w:bottom w:val="nil"/>
          <w:right w:val="nil"/>
          <w:between w:val="nil"/>
        </w:pBdr>
        <w:tabs>
          <w:tab w:val="left" w:pos="284"/>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10.  ESTUDIO DE FONDO.</w:t>
      </w:r>
    </w:p>
    <w:p w14:paraId="0631059A" w14:textId="77777777" w:rsidR="003A00A0" w:rsidRDefault="003A00A0" w:rsidP="003A00A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 Planteamiento del caso.</w:t>
      </w:r>
    </w:p>
    <w:p w14:paraId="21B08EC2" w14:textId="77777777" w:rsidR="003A00A0" w:rsidRPr="008114D0" w:rsidRDefault="003A00A0" w:rsidP="003A00A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0D616998" w14:textId="77777777" w:rsidR="003A00A0" w:rsidRPr="008114D0" w:rsidRDefault="003A00A0" w:rsidP="003A00A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actos que transgreden la normatividad electoral.</w:t>
      </w:r>
    </w:p>
    <w:p w14:paraId="6D1C99C6" w14:textId="77777777" w:rsidR="003A00A0" w:rsidRDefault="003A00A0" w:rsidP="003A00A0">
      <w:pPr>
        <w:spacing w:line="360" w:lineRule="auto"/>
        <w:jc w:val="both"/>
        <w:rPr>
          <w:rFonts w:ascii="Arial" w:hAnsi="Arial" w:cs="Arial"/>
          <w:b/>
          <w:bCs/>
          <w:sz w:val="22"/>
          <w:szCs w:val="22"/>
        </w:rPr>
      </w:pPr>
    </w:p>
    <w:p w14:paraId="7D442B8D" w14:textId="2ED82B4F" w:rsidR="003A00A0" w:rsidRDefault="003A00A0" w:rsidP="003A00A0">
      <w:pPr>
        <w:spacing w:line="360" w:lineRule="auto"/>
        <w:jc w:val="both"/>
        <w:rPr>
          <w:rFonts w:ascii="Arial" w:hAnsi="Arial" w:cs="Arial"/>
          <w:b/>
          <w:bCs/>
          <w:sz w:val="22"/>
          <w:szCs w:val="22"/>
        </w:rPr>
      </w:pPr>
      <w:r w:rsidRPr="008114D0">
        <w:rPr>
          <w:rFonts w:ascii="Arial" w:hAnsi="Arial" w:cs="Arial"/>
          <w:b/>
          <w:bCs/>
          <w:sz w:val="22"/>
          <w:szCs w:val="22"/>
        </w:rPr>
        <w:t>10.</w:t>
      </w:r>
      <w:r w:rsidR="00BA3D73">
        <w:rPr>
          <w:rFonts w:ascii="Arial" w:hAnsi="Arial" w:cs="Arial"/>
          <w:b/>
          <w:bCs/>
          <w:sz w:val="22"/>
          <w:szCs w:val="22"/>
        </w:rPr>
        <w:t>2</w:t>
      </w:r>
      <w:r w:rsidRPr="008114D0">
        <w:rPr>
          <w:rFonts w:ascii="Arial" w:hAnsi="Arial" w:cs="Arial"/>
          <w:b/>
          <w:bCs/>
          <w:sz w:val="22"/>
          <w:szCs w:val="22"/>
        </w:rPr>
        <w:t xml:space="preserve">. </w:t>
      </w:r>
      <w:r>
        <w:rPr>
          <w:rFonts w:ascii="Arial" w:hAnsi="Arial" w:cs="Arial"/>
          <w:b/>
          <w:bCs/>
          <w:sz w:val="22"/>
          <w:szCs w:val="22"/>
        </w:rPr>
        <w:t>Marco Jurídico</w:t>
      </w:r>
      <w:r w:rsidRPr="008114D0">
        <w:rPr>
          <w:rFonts w:ascii="Arial" w:hAnsi="Arial" w:cs="Arial"/>
          <w:b/>
          <w:bCs/>
          <w:sz w:val="22"/>
          <w:szCs w:val="22"/>
        </w:rPr>
        <w:t>.</w:t>
      </w:r>
    </w:p>
    <w:p w14:paraId="3B47AC58" w14:textId="77777777" w:rsidR="003A00A0" w:rsidRDefault="003A00A0" w:rsidP="003A00A0">
      <w:pPr>
        <w:spacing w:line="360" w:lineRule="auto"/>
        <w:jc w:val="both"/>
        <w:rPr>
          <w:rFonts w:ascii="Arial" w:hAnsi="Arial" w:cs="Arial"/>
          <w:b/>
          <w:bCs/>
          <w:sz w:val="22"/>
          <w:szCs w:val="22"/>
        </w:rPr>
      </w:pPr>
    </w:p>
    <w:p w14:paraId="47AB8A01" w14:textId="77777777" w:rsidR="003A00A0" w:rsidRDefault="003A00A0" w:rsidP="003A00A0">
      <w:pPr>
        <w:spacing w:line="360" w:lineRule="auto"/>
        <w:jc w:val="both"/>
        <w:rPr>
          <w:rFonts w:ascii="Arial" w:hAnsi="Arial" w:cs="Arial"/>
          <w:b/>
          <w:bCs/>
          <w:sz w:val="22"/>
          <w:szCs w:val="22"/>
        </w:rPr>
      </w:pPr>
      <w:r>
        <w:rPr>
          <w:rFonts w:ascii="Arial" w:hAnsi="Arial" w:cs="Arial"/>
          <w:b/>
          <w:bCs/>
          <w:sz w:val="22"/>
          <w:szCs w:val="22"/>
        </w:rPr>
        <w:t>Código Electoral del Estado de Aguascalientes.</w:t>
      </w:r>
    </w:p>
    <w:p w14:paraId="1ADA20A2" w14:textId="77777777" w:rsidR="003A00A0" w:rsidRDefault="003A00A0" w:rsidP="003A00A0">
      <w:pPr>
        <w:spacing w:line="360" w:lineRule="auto"/>
        <w:jc w:val="both"/>
        <w:rPr>
          <w:rFonts w:ascii="Arial" w:hAnsi="Arial" w:cs="Arial"/>
          <w:b/>
          <w:bCs/>
          <w:sz w:val="22"/>
          <w:szCs w:val="22"/>
        </w:rPr>
      </w:pPr>
    </w:p>
    <w:p w14:paraId="3D229947" w14:textId="77777777" w:rsidR="003A00A0" w:rsidRDefault="003A00A0" w:rsidP="003A00A0">
      <w:pPr>
        <w:spacing w:line="360" w:lineRule="auto"/>
        <w:jc w:val="both"/>
        <w:rPr>
          <w:rFonts w:ascii="Arial" w:hAnsi="Arial" w:cs="Arial"/>
          <w:sz w:val="22"/>
          <w:szCs w:val="22"/>
        </w:rPr>
      </w:pPr>
      <w:r w:rsidRPr="00A152B7">
        <w:rPr>
          <w:rFonts w:ascii="Arial" w:hAnsi="Arial" w:cs="Arial"/>
          <w:b/>
          <w:bCs/>
          <w:sz w:val="22"/>
          <w:szCs w:val="22"/>
        </w:rPr>
        <w:t>ARTÍCULO 160.-</w:t>
      </w:r>
      <w:r w:rsidRPr="00A152B7">
        <w:rPr>
          <w:rFonts w:ascii="Arial" w:hAnsi="Arial" w:cs="Arial"/>
          <w:sz w:val="22"/>
          <w:szCs w:val="22"/>
        </w:rPr>
        <w:t xml:space="preserve"> La propaganda y mensajes que en el curso de las precampañas y campañas electorales difundan los partidos políticos y los candidatos independientes se ajustarán a lo dispuesto por el primer párrafo del artículo 6º de la CPEUM.</w:t>
      </w:r>
    </w:p>
    <w:p w14:paraId="735F1BFF" w14:textId="77777777" w:rsidR="003A00A0" w:rsidRDefault="003A00A0" w:rsidP="003A00A0">
      <w:pPr>
        <w:spacing w:line="360" w:lineRule="auto"/>
        <w:jc w:val="both"/>
        <w:rPr>
          <w:rFonts w:ascii="Arial" w:hAnsi="Arial" w:cs="Arial"/>
          <w:sz w:val="22"/>
          <w:szCs w:val="22"/>
        </w:rPr>
      </w:pPr>
    </w:p>
    <w:p w14:paraId="22C1F25C"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En la propaganda política o electoral que realicen los partidos políticos, las coaliciones y los candidatos, deberán abstenerse de expresiones que calumnien, discriminen, denigren a las personas o constituyan violencia política contra las mujeres en razón de género. También deberá omitirse la utilización de los datos personales, información o imágenes de niñas, niños o adolescentes, salvo que sea otorgado con su consentimiento y el correspondiente por quien ejerza la patria potestad, de acuerdo con las leyes y reglamentos aplicables en la materia, y que con la difusión no se pongan en riesgo sus derechos.</w:t>
      </w:r>
    </w:p>
    <w:p w14:paraId="057B7C7B" w14:textId="77777777" w:rsidR="003A00A0" w:rsidRDefault="003A00A0" w:rsidP="003A00A0">
      <w:pPr>
        <w:spacing w:line="360" w:lineRule="auto"/>
        <w:jc w:val="both"/>
        <w:rPr>
          <w:rFonts w:ascii="Arial" w:hAnsi="Arial" w:cs="Arial"/>
          <w:sz w:val="22"/>
          <w:szCs w:val="22"/>
        </w:rPr>
      </w:pPr>
    </w:p>
    <w:p w14:paraId="6D6331FA" w14:textId="77777777" w:rsidR="003A00A0" w:rsidRDefault="003A00A0" w:rsidP="003A00A0">
      <w:pPr>
        <w:spacing w:line="360" w:lineRule="auto"/>
        <w:jc w:val="both"/>
        <w:rPr>
          <w:rFonts w:ascii="Arial" w:hAnsi="Arial" w:cs="Arial"/>
          <w:sz w:val="22"/>
          <w:szCs w:val="22"/>
        </w:rPr>
      </w:pPr>
      <w:r w:rsidRPr="00A152B7">
        <w:rPr>
          <w:rFonts w:ascii="Arial" w:hAnsi="Arial" w:cs="Arial"/>
          <w:b/>
          <w:bCs/>
          <w:sz w:val="22"/>
          <w:szCs w:val="22"/>
        </w:rPr>
        <w:t>ARTÍCULO 163.-</w:t>
      </w:r>
      <w:r w:rsidRPr="00A152B7">
        <w:rPr>
          <w:rFonts w:ascii="Arial" w:hAnsi="Arial" w:cs="Arial"/>
          <w:sz w:val="22"/>
          <w:szCs w:val="22"/>
        </w:rPr>
        <w:t xml:space="preserve"> En la colocación o fijación de propaganda electoral, los partidos y candidatos actuarán conforme a las reglas siguientes:</w:t>
      </w:r>
    </w:p>
    <w:p w14:paraId="118145F9" w14:textId="77777777" w:rsidR="003A00A0" w:rsidRDefault="003A00A0" w:rsidP="003A00A0">
      <w:pPr>
        <w:spacing w:line="360" w:lineRule="auto"/>
        <w:jc w:val="both"/>
        <w:rPr>
          <w:rFonts w:ascii="Arial" w:hAnsi="Arial" w:cs="Arial"/>
          <w:sz w:val="22"/>
          <w:szCs w:val="22"/>
        </w:rPr>
      </w:pPr>
    </w:p>
    <w:p w14:paraId="27662891"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I. No podrá colgarse en elementos del equipamiento urbano, ni obstaculizar en forma alguna la visibilidad de los señalamientos que permiten a las personas transitar y orientarse dentro de los centros de población. Las autoridades electorales competentes ordenarán el retiro de la propaganda electoral contraria a esta norma; </w:t>
      </w:r>
    </w:p>
    <w:p w14:paraId="152F049E"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II. En inmuebles de propiedad privada, siempre que medie permiso escrito del propietario; </w:t>
      </w:r>
    </w:p>
    <w:p w14:paraId="47D0CEE1"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III. En lugares de uso común que determine el Consejo, previo acuerdo con las autoridades correspondientes. Los bastidores y mamparas de uso común serán repartidos por sorteo en forma equitativa de conformidad a lo que corresponda a los partidos políticos registrados, conforme al procedimiento acordado en la sesión del Consejo que celebre en enero del año de la elección; </w:t>
      </w:r>
    </w:p>
    <w:p w14:paraId="309D7165"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IV. No podrá fijarse o pintarse en elementos del equipamiento urbano, carretero o ferroviario, ni en accidentes geográficos cualquiera que sea su régimen jurídico; </w:t>
      </w:r>
    </w:p>
    <w:p w14:paraId="2313F97F"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V. No podrá colgarse, fijarse o pintarse en monumentos ni en edificios públicos; </w:t>
      </w:r>
    </w:p>
    <w:p w14:paraId="505753C1"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VI. No podrán emplearse expresiones verbales o escritas contrarias a la moral, que inciten al desorden o que calumnien a las personas; </w:t>
      </w:r>
    </w:p>
    <w:p w14:paraId="4134EC0E"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VII. Cada partido político, coaliciones y candidatos deberán cuidar que su propaganda no modifique el paisaje ni perjudique a los elementos que forman el entorno natural. En consecuencia, se abstendrán </w:t>
      </w:r>
      <w:r w:rsidRPr="00A152B7">
        <w:rPr>
          <w:rFonts w:ascii="Arial" w:hAnsi="Arial" w:cs="Arial"/>
          <w:sz w:val="22"/>
          <w:szCs w:val="22"/>
        </w:rPr>
        <w:lastRenderedPageBreak/>
        <w:t xml:space="preserve">de utilizar con estos fines, árboles y accidentes orográficos tales como: Cerros, colinas, barrancas y montañas para promocionarse, y </w:t>
      </w:r>
    </w:p>
    <w:p w14:paraId="26509FDE" w14:textId="77777777" w:rsidR="003A00A0" w:rsidRDefault="003A00A0" w:rsidP="003A00A0">
      <w:pPr>
        <w:spacing w:line="360" w:lineRule="auto"/>
        <w:jc w:val="both"/>
        <w:rPr>
          <w:rFonts w:ascii="Arial" w:hAnsi="Arial" w:cs="Arial"/>
          <w:sz w:val="22"/>
          <w:szCs w:val="22"/>
        </w:rPr>
      </w:pPr>
    </w:p>
    <w:p w14:paraId="7E11C5C3"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VIII. El Consejo Distrital hará una revisión en las secciones electorales y ordenará al personal del Instituto quitar o eliminar dentro de los tres días anteriores a la elección, la propaganda electoral de los candidatos, partidos políticos que se encuentren a una distancia menor de cincuenta metros del lugar donde se instalará la casilla electoral. </w:t>
      </w:r>
    </w:p>
    <w:p w14:paraId="0ADCB9F0" w14:textId="77777777" w:rsidR="003A00A0" w:rsidRDefault="003A00A0" w:rsidP="003A00A0">
      <w:pPr>
        <w:spacing w:line="360" w:lineRule="auto"/>
        <w:jc w:val="both"/>
        <w:rPr>
          <w:rFonts w:ascii="Arial" w:hAnsi="Arial" w:cs="Arial"/>
          <w:sz w:val="22"/>
          <w:szCs w:val="22"/>
        </w:rPr>
      </w:pPr>
    </w:p>
    <w:p w14:paraId="50D5D579"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Toda la propaganda electoral impresa deberá ser reciclable, fabricada con materiales biodegradables que no contengan sustancias tóxicas o nocivas para la salud o el medio ambiente. Los partidos políticos y candidatos independientes deberán presentar un plan de reciclaje de la propaganda que utilizarán durante su campaña. </w:t>
      </w:r>
    </w:p>
    <w:p w14:paraId="366B6005" w14:textId="77777777" w:rsidR="003A00A0" w:rsidRDefault="003A00A0" w:rsidP="003A00A0">
      <w:pPr>
        <w:spacing w:line="360" w:lineRule="auto"/>
        <w:jc w:val="both"/>
        <w:rPr>
          <w:rFonts w:ascii="Arial" w:hAnsi="Arial" w:cs="Arial"/>
          <w:sz w:val="22"/>
          <w:szCs w:val="22"/>
        </w:rPr>
      </w:pPr>
    </w:p>
    <w:p w14:paraId="504F6A38"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La propaganda que contravenga las disposiciones de este Código, será retirada de inmediato y el costo generado será cargado a las prerrogativas del partido político o del candidato independiente en su caso</w:t>
      </w:r>
      <w:r>
        <w:rPr>
          <w:rFonts w:ascii="Arial" w:hAnsi="Arial" w:cs="Arial"/>
          <w:sz w:val="22"/>
          <w:szCs w:val="22"/>
        </w:rPr>
        <w:t>.</w:t>
      </w:r>
    </w:p>
    <w:p w14:paraId="11AACE59" w14:textId="77777777" w:rsidR="003A00A0" w:rsidRDefault="003A00A0" w:rsidP="003A00A0">
      <w:pPr>
        <w:spacing w:line="360" w:lineRule="auto"/>
        <w:jc w:val="both"/>
        <w:rPr>
          <w:rFonts w:ascii="Arial" w:hAnsi="Arial" w:cs="Arial"/>
          <w:sz w:val="22"/>
          <w:szCs w:val="22"/>
        </w:rPr>
      </w:pPr>
    </w:p>
    <w:p w14:paraId="60BAE44D" w14:textId="77777777" w:rsidR="003A00A0" w:rsidRDefault="003A00A0" w:rsidP="003A00A0">
      <w:pPr>
        <w:spacing w:line="360" w:lineRule="auto"/>
        <w:jc w:val="both"/>
        <w:rPr>
          <w:rFonts w:ascii="Arial" w:hAnsi="Arial" w:cs="Arial"/>
          <w:sz w:val="22"/>
          <w:szCs w:val="22"/>
        </w:rPr>
      </w:pPr>
      <w:r w:rsidRPr="00A152B7">
        <w:rPr>
          <w:rFonts w:ascii="Arial" w:hAnsi="Arial" w:cs="Arial"/>
          <w:b/>
          <w:bCs/>
          <w:sz w:val="22"/>
          <w:szCs w:val="22"/>
        </w:rPr>
        <w:t>Los partidos políticos, coaliciones, candidaturas comunes y candidatos independientes deberán retirar, para su reciclaje, su propaganda electoral</w:t>
      </w:r>
      <w:r w:rsidRPr="00A152B7">
        <w:rPr>
          <w:rFonts w:ascii="Arial" w:hAnsi="Arial" w:cs="Arial"/>
          <w:sz w:val="22"/>
          <w:szCs w:val="22"/>
        </w:rPr>
        <w:t xml:space="preserve"> </w:t>
      </w:r>
      <w:r w:rsidRPr="00BE1ADF">
        <w:rPr>
          <w:rFonts w:ascii="Arial" w:hAnsi="Arial" w:cs="Arial"/>
          <w:b/>
          <w:bCs/>
          <w:sz w:val="22"/>
          <w:szCs w:val="22"/>
        </w:rPr>
        <w:t>dentro de los treinta días siguientes al de la jornada electoral</w:t>
      </w:r>
      <w:r w:rsidRPr="00A152B7">
        <w:rPr>
          <w:rFonts w:ascii="Arial" w:hAnsi="Arial" w:cs="Arial"/>
          <w:sz w:val="22"/>
          <w:szCs w:val="22"/>
        </w:rPr>
        <w:t xml:space="preserve"> de no retirarla, el Consejo con el auxilio de las</w:t>
      </w:r>
      <w:r>
        <w:rPr>
          <w:rFonts w:ascii="Arial" w:hAnsi="Arial" w:cs="Arial"/>
          <w:sz w:val="22"/>
          <w:szCs w:val="22"/>
        </w:rPr>
        <w:t xml:space="preserve"> </w:t>
      </w:r>
      <w:r w:rsidRPr="00A152B7">
        <w:rPr>
          <w:rFonts w:ascii="Arial" w:hAnsi="Arial" w:cs="Arial"/>
          <w:sz w:val="22"/>
          <w:szCs w:val="22"/>
        </w:rPr>
        <w:t>autoridades competentes tomará las medidas necesarias para su retiro, con cargo a las ministraciones de financiamiento público que correspondan al partido político.</w:t>
      </w:r>
    </w:p>
    <w:p w14:paraId="7CD5521C" w14:textId="77777777" w:rsidR="003A00A0" w:rsidRDefault="003A00A0" w:rsidP="003A00A0">
      <w:pPr>
        <w:spacing w:line="360" w:lineRule="auto"/>
        <w:jc w:val="both"/>
        <w:rPr>
          <w:rFonts w:ascii="Arial" w:hAnsi="Arial" w:cs="Arial"/>
          <w:sz w:val="22"/>
          <w:szCs w:val="22"/>
        </w:rPr>
      </w:pPr>
    </w:p>
    <w:p w14:paraId="1EBBEAD8"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 Los candidatos independientes que incurran en la falta señalada en el párrafo anterior se harán acreedores de una multa en los términos previstos en el presente Código. </w:t>
      </w:r>
    </w:p>
    <w:p w14:paraId="2A2D1EE3" w14:textId="77777777" w:rsidR="003A00A0" w:rsidRDefault="003A00A0" w:rsidP="003A00A0">
      <w:pPr>
        <w:spacing w:line="360" w:lineRule="auto"/>
        <w:jc w:val="both"/>
        <w:rPr>
          <w:rFonts w:ascii="Arial" w:hAnsi="Arial" w:cs="Arial"/>
          <w:sz w:val="22"/>
          <w:szCs w:val="22"/>
        </w:rPr>
      </w:pPr>
    </w:p>
    <w:p w14:paraId="2006A9B5" w14:textId="77777777" w:rsidR="003A00A0" w:rsidRDefault="003A00A0" w:rsidP="003A00A0">
      <w:pPr>
        <w:spacing w:line="360" w:lineRule="auto"/>
        <w:jc w:val="both"/>
        <w:rPr>
          <w:rFonts w:ascii="Arial" w:hAnsi="Arial" w:cs="Arial"/>
          <w:sz w:val="22"/>
          <w:szCs w:val="22"/>
        </w:rPr>
      </w:pPr>
      <w:r w:rsidRPr="00A152B7">
        <w:rPr>
          <w:rFonts w:ascii="Arial" w:hAnsi="Arial" w:cs="Arial"/>
          <w:sz w:val="22"/>
          <w:szCs w:val="22"/>
        </w:rPr>
        <w:t xml:space="preserve">Las quejas motivadas por la propaganda impresa de los partidos políticos y candidatos serán presentadas al </w:t>
      </w:r>
      <w:proofErr w:type="gramStart"/>
      <w:r w:rsidRPr="00A152B7">
        <w:rPr>
          <w:rFonts w:ascii="Arial" w:hAnsi="Arial" w:cs="Arial"/>
          <w:sz w:val="22"/>
          <w:szCs w:val="22"/>
        </w:rPr>
        <w:t>Secretario Ejecutivo</w:t>
      </w:r>
      <w:proofErr w:type="gramEnd"/>
      <w:r w:rsidRPr="00A152B7">
        <w:rPr>
          <w:rFonts w:ascii="Arial" w:hAnsi="Arial" w:cs="Arial"/>
          <w:sz w:val="22"/>
          <w:szCs w:val="22"/>
        </w:rPr>
        <w:t xml:space="preserve"> o al Secretario Técnico respectivo, a fin de que se verifiquen los hechos, se integre el expediente y se remita al Tribunal para su resolución.</w:t>
      </w:r>
    </w:p>
    <w:p w14:paraId="3AA943EB" w14:textId="63E5CA89" w:rsidR="003A00A0" w:rsidRDefault="003A00A0" w:rsidP="003A00A0">
      <w:pPr>
        <w:spacing w:line="360" w:lineRule="auto"/>
        <w:jc w:val="both"/>
        <w:rPr>
          <w:rFonts w:ascii="Arial" w:hAnsi="Arial" w:cs="Arial"/>
          <w:sz w:val="22"/>
          <w:szCs w:val="22"/>
        </w:rPr>
      </w:pPr>
    </w:p>
    <w:p w14:paraId="068AA2A6" w14:textId="77777777" w:rsidR="00BA3D73" w:rsidRPr="00604F2F" w:rsidRDefault="00BA3D73" w:rsidP="00BA3D73">
      <w:pPr>
        <w:spacing w:line="360" w:lineRule="auto"/>
        <w:jc w:val="both"/>
        <w:rPr>
          <w:rFonts w:ascii="Arial" w:hAnsi="Arial" w:cs="Arial"/>
          <w:b/>
          <w:bCs/>
          <w:sz w:val="22"/>
          <w:szCs w:val="22"/>
        </w:rPr>
      </w:pPr>
      <w:r w:rsidRPr="00BA3D73">
        <w:rPr>
          <w:rFonts w:ascii="Arial" w:hAnsi="Arial" w:cs="Arial"/>
          <w:b/>
          <w:bCs/>
          <w:sz w:val="22"/>
          <w:szCs w:val="22"/>
        </w:rPr>
        <w:t>10.3.</w:t>
      </w:r>
      <w:r>
        <w:rPr>
          <w:rFonts w:ascii="Arial" w:hAnsi="Arial" w:cs="Arial"/>
          <w:sz w:val="22"/>
          <w:szCs w:val="22"/>
        </w:rPr>
        <w:t xml:space="preserve"> </w:t>
      </w:r>
      <w:r w:rsidRPr="00604F2F">
        <w:rPr>
          <w:rFonts w:ascii="Arial" w:hAnsi="Arial" w:cs="Arial"/>
          <w:b/>
          <w:bCs/>
          <w:sz w:val="22"/>
          <w:szCs w:val="22"/>
        </w:rPr>
        <w:t>Cuestión previa.</w:t>
      </w:r>
    </w:p>
    <w:p w14:paraId="0F8E62B2" w14:textId="77777777" w:rsidR="00BA3D73" w:rsidRDefault="00BA3D73" w:rsidP="00BA3D73">
      <w:pPr>
        <w:tabs>
          <w:tab w:val="left" w:pos="942"/>
        </w:tabs>
        <w:spacing w:line="360" w:lineRule="auto"/>
        <w:jc w:val="both"/>
        <w:rPr>
          <w:rFonts w:ascii="Arial" w:hAnsi="Arial" w:cs="Arial"/>
          <w:sz w:val="22"/>
          <w:szCs w:val="22"/>
        </w:rPr>
      </w:pPr>
      <w:r>
        <w:rPr>
          <w:rFonts w:ascii="Arial" w:hAnsi="Arial" w:cs="Arial"/>
          <w:sz w:val="22"/>
          <w:szCs w:val="22"/>
        </w:rPr>
        <w:tab/>
      </w:r>
    </w:p>
    <w:p w14:paraId="646CF677" w14:textId="77777777" w:rsidR="00BA3D73" w:rsidRDefault="00BA3D73" w:rsidP="00BA3D73">
      <w:pPr>
        <w:tabs>
          <w:tab w:val="left" w:pos="942"/>
        </w:tabs>
        <w:spacing w:line="360" w:lineRule="auto"/>
        <w:jc w:val="both"/>
        <w:rPr>
          <w:rFonts w:ascii="Arial" w:hAnsi="Arial" w:cs="Arial"/>
          <w:sz w:val="22"/>
          <w:szCs w:val="22"/>
        </w:rPr>
      </w:pPr>
      <w:r>
        <w:rPr>
          <w:rFonts w:ascii="Arial" w:hAnsi="Arial" w:cs="Arial"/>
          <w:sz w:val="22"/>
          <w:szCs w:val="22"/>
        </w:rPr>
        <w:t>Para mayor comprensión, este Tribunal Electoral estima oportuno pormenorizar los hechos que derivan del motivo de la denuncia que se estudia en la presente resolución de la siguiente manera:</w:t>
      </w:r>
    </w:p>
    <w:p w14:paraId="43382F16" w14:textId="77777777" w:rsidR="00BA3D73" w:rsidRDefault="00BA3D73" w:rsidP="00BA3D73">
      <w:pPr>
        <w:tabs>
          <w:tab w:val="left" w:pos="942"/>
        </w:tabs>
        <w:spacing w:line="360" w:lineRule="auto"/>
        <w:jc w:val="both"/>
        <w:rPr>
          <w:rFonts w:ascii="Arial" w:hAnsi="Arial" w:cs="Arial"/>
          <w:sz w:val="22"/>
          <w:szCs w:val="22"/>
        </w:rPr>
      </w:pPr>
    </w:p>
    <w:p w14:paraId="5D73427F" w14:textId="77777777" w:rsidR="00BA3D73" w:rsidRDefault="00BA3D73" w:rsidP="00BA3D73">
      <w:pPr>
        <w:tabs>
          <w:tab w:val="left" w:pos="942"/>
        </w:tabs>
        <w:spacing w:line="360" w:lineRule="auto"/>
        <w:jc w:val="both"/>
        <w:rPr>
          <w:rFonts w:ascii="Arial" w:hAnsi="Arial" w:cs="Arial"/>
          <w:sz w:val="22"/>
          <w:szCs w:val="22"/>
        </w:rPr>
      </w:pPr>
      <w:r>
        <w:rPr>
          <w:rFonts w:ascii="Arial" w:hAnsi="Arial" w:cs="Arial"/>
          <w:sz w:val="22"/>
          <w:szCs w:val="22"/>
        </w:rPr>
        <w:t xml:space="preserve">La C. Patricia García </w:t>
      </w:r>
      <w:proofErr w:type="spellStart"/>
      <w:r>
        <w:rPr>
          <w:rFonts w:ascii="Arial" w:hAnsi="Arial" w:cs="Arial"/>
          <w:sz w:val="22"/>
          <w:szCs w:val="22"/>
        </w:rPr>
        <w:t>García</w:t>
      </w:r>
      <w:proofErr w:type="spellEnd"/>
      <w:r>
        <w:rPr>
          <w:rFonts w:ascii="Arial" w:hAnsi="Arial" w:cs="Arial"/>
          <w:sz w:val="22"/>
          <w:szCs w:val="22"/>
        </w:rPr>
        <w:t>, quien es la parte denunciada en el procedimiento que nos ocupa, resultó electa en el proceso electoral 2017-2018 como diputada integrante de la LXIV Legislatura del Congreso del Estado; esto tras competir en los comicios de mérito dentro del distrito electoral XVII.</w:t>
      </w:r>
    </w:p>
    <w:p w14:paraId="29CAE45F" w14:textId="77777777" w:rsidR="00BA3D73" w:rsidRDefault="00BA3D73" w:rsidP="00BA3D73">
      <w:pPr>
        <w:tabs>
          <w:tab w:val="left" w:pos="942"/>
        </w:tabs>
        <w:spacing w:line="360" w:lineRule="auto"/>
        <w:jc w:val="both"/>
        <w:rPr>
          <w:rFonts w:ascii="Arial" w:hAnsi="Arial" w:cs="Arial"/>
          <w:sz w:val="22"/>
          <w:szCs w:val="22"/>
        </w:rPr>
      </w:pPr>
    </w:p>
    <w:p w14:paraId="67A7C901" w14:textId="77777777" w:rsidR="00BA3D73" w:rsidRDefault="00BA3D73" w:rsidP="00BA3D73">
      <w:pPr>
        <w:tabs>
          <w:tab w:val="left" w:pos="942"/>
        </w:tabs>
        <w:spacing w:line="360" w:lineRule="auto"/>
        <w:jc w:val="both"/>
        <w:rPr>
          <w:rFonts w:ascii="Arial" w:hAnsi="Arial" w:cs="Arial"/>
          <w:sz w:val="22"/>
          <w:szCs w:val="22"/>
        </w:rPr>
      </w:pPr>
      <w:r>
        <w:rPr>
          <w:rFonts w:ascii="Arial" w:hAnsi="Arial" w:cs="Arial"/>
          <w:sz w:val="22"/>
          <w:szCs w:val="22"/>
        </w:rPr>
        <w:t xml:space="preserve">De manera posterior dentro del proceso electoral 2020-2021, el quince de marzo, se presentó ante el Consejo Distrital XV la solicitud de registro de candidatura de la denunciada, para nuevamente </w:t>
      </w:r>
      <w:r>
        <w:rPr>
          <w:rFonts w:ascii="Arial" w:hAnsi="Arial" w:cs="Arial"/>
          <w:sz w:val="22"/>
          <w:szCs w:val="22"/>
        </w:rPr>
        <w:lastRenderedPageBreak/>
        <w:t>contender como candidata a diputada local por dicho distrito; lo cual fue aprobado por la autoridad administrativa electoral mediante la resolución identificada con la clave CG-R-38/21.</w:t>
      </w:r>
    </w:p>
    <w:p w14:paraId="2AD729EB" w14:textId="77777777" w:rsidR="00BA3D73" w:rsidRDefault="00BA3D73" w:rsidP="00BA3D73">
      <w:pPr>
        <w:tabs>
          <w:tab w:val="left" w:pos="942"/>
        </w:tabs>
        <w:spacing w:line="360" w:lineRule="auto"/>
        <w:jc w:val="both"/>
        <w:rPr>
          <w:rFonts w:ascii="Arial" w:hAnsi="Arial" w:cs="Arial"/>
          <w:sz w:val="22"/>
          <w:szCs w:val="22"/>
        </w:rPr>
      </w:pPr>
    </w:p>
    <w:p w14:paraId="1B6FEE32" w14:textId="77777777" w:rsidR="00BA3D73" w:rsidRDefault="00BA3D73" w:rsidP="00BA3D73">
      <w:pPr>
        <w:tabs>
          <w:tab w:val="left" w:pos="942"/>
        </w:tabs>
        <w:spacing w:line="360" w:lineRule="auto"/>
        <w:jc w:val="both"/>
        <w:rPr>
          <w:rFonts w:ascii="Arial" w:hAnsi="Arial" w:cs="Arial"/>
          <w:sz w:val="22"/>
          <w:szCs w:val="22"/>
        </w:rPr>
      </w:pPr>
      <w:r>
        <w:rPr>
          <w:rFonts w:ascii="Arial" w:hAnsi="Arial" w:cs="Arial"/>
          <w:sz w:val="22"/>
          <w:szCs w:val="22"/>
        </w:rPr>
        <w:t>Luego tras diversos medios de impugnación, la Sala Regional Monterrey en el SM-JRC-65/2021, declaró improcedente el registro de la denunciada, y los efectos de la sentencia versaron únicamente en ordenar a la autoridad administrativa electoral que requiriera al PAN a proceder a realizar la respectiva sustitución.</w:t>
      </w:r>
    </w:p>
    <w:p w14:paraId="3011B521" w14:textId="77777777" w:rsidR="00BA3D73" w:rsidRDefault="00BA3D73" w:rsidP="00BA3D73">
      <w:pPr>
        <w:tabs>
          <w:tab w:val="left" w:pos="942"/>
        </w:tabs>
        <w:spacing w:line="360" w:lineRule="auto"/>
        <w:jc w:val="both"/>
        <w:rPr>
          <w:rFonts w:ascii="Arial" w:hAnsi="Arial" w:cs="Arial"/>
          <w:sz w:val="22"/>
          <w:szCs w:val="22"/>
        </w:rPr>
      </w:pPr>
    </w:p>
    <w:p w14:paraId="325E78F9" w14:textId="31414B7E" w:rsidR="00BA3D73" w:rsidRDefault="00BA3D73" w:rsidP="00BA3D73">
      <w:pPr>
        <w:spacing w:line="360" w:lineRule="auto"/>
        <w:jc w:val="both"/>
        <w:rPr>
          <w:rFonts w:ascii="Arial" w:hAnsi="Arial" w:cs="Arial"/>
          <w:b/>
          <w:bCs/>
          <w:sz w:val="22"/>
          <w:szCs w:val="22"/>
        </w:rPr>
      </w:pPr>
      <w:r>
        <w:rPr>
          <w:rFonts w:ascii="Arial" w:hAnsi="Arial" w:cs="Arial"/>
          <w:sz w:val="22"/>
          <w:szCs w:val="22"/>
        </w:rPr>
        <w:t xml:space="preserve">Por lo que, al atender el ordenamiento precisado, derivó la presunta infracción denunciada, motivo del presente procedimiento, en donde la quejosa apunta una violación a las reglas de propaganda electoral, por encontrarse fijada publicidad de Patricia García </w:t>
      </w:r>
      <w:proofErr w:type="spellStart"/>
      <w:r>
        <w:rPr>
          <w:rFonts w:ascii="Arial" w:hAnsi="Arial" w:cs="Arial"/>
          <w:sz w:val="22"/>
          <w:szCs w:val="22"/>
        </w:rPr>
        <w:t>García</w:t>
      </w:r>
      <w:proofErr w:type="spellEnd"/>
      <w:r>
        <w:rPr>
          <w:rFonts w:ascii="Arial" w:hAnsi="Arial" w:cs="Arial"/>
          <w:sz w:val="22"/>
          <w:szCs w:val="22"/>
        </w:rPr>
        <w:t xml:space="preserve"> en diversos domicilios, pese a que su candidatura quedó insubsistente</w:t>
      </w:r>
      <w:r w:rsidR="00C15AF5">
        <w:rPr>
          <w:rFonts w:ascii="Arial" w:hAnsi="Arial" w:cs="Arial"/>
          <w:sz w:val="22"/>
          <w:szCs w:val="22"/>
        </w:rPr>
        <w:t xml:space="preserve"> en fecha catorce de mayo.</w:t>
      </w:r>
    </w:p>
    <w:p w14:paraId="10BAFDEE" w14:textId="6D53B4F5" w:rsidR="00BA3D73" w:rsidRDefault="00BA3D73" w:rsidP="003A00A0">
      <w:pPr>
        <w:spacing w:line="360" w:lineRule="auto"/>
        <w:jc w:val="both"/>
        <w:rPr>
          <w:rFonts w:ascii="Arial" w:hAnsi="Arial" w:cs="Arial"/>
          <w:sz w:val="22"/>
          <w:szCs w:val="22"/>
        </w:rPr>
      </w:pPr>
    </w:p>
    <w:p w14:paraId="0A9F6CEF" w14:textId="577BCDD1" w:rsidR="003A00A0" w:rsidRDefault="003A00A0" w:rsidP="003A00A0">
      <w:pPr>
        <w:spacing w:line="360" w:lineRule="auto"/>
        <w:jc w:val="both"/>
        <w:rPr>
          <w:rFonts w:ascii="Arial" w:hAnsi="Arial" w:cs="Arial"/>
          <w:b/>
          <w:bCs/>
          <w:sz w:val="22"/>
          <w:szCs w:val="22"/>
        </w:rPr>
      </w:pPr>
      <w:r w:rsidRPr="008114D0">
        <w:rPr>
          <w:rFonts w:ascii="Arial" w:hAnsi="Arial" w:cs="Arial"/>
          <w:b/>
          <w:bCs/>
          <w:sz w:val="22"/>
          <w:szCs w:val="22"/>
        </w:rPr>
        <w:t>10.</w:t>
      </w:r>
      <w:r w:rsidR="001C20E4">
        <w:rPr>
          <w:rFonts w:ascii="Arial" w:hAnsi="Arial" w:cs="Arial"/>
          <w:b/>
          <w:bCs/>
          <w:sz w:val="22"/>
          <w:szCs w:val="22"/>
        </w:rPr>
        <w:t>4</w:t>
      </w:r>
      <w:r w:rsidRPr="008114D0">
        <w:rPr>
          <w:rFonts w:ascii="Arial" w:hAnsi="Arial" w:cs="Arial"/>
          <w:b/>
          <w:bCs/>
          <w:sz w:val="22"/>
          <w:szCs w:val="22"/>
        </w:rPr>
        <w:t xml:space="preserve">. </w:t>
      </w:r>
      <w:r>
        <w:rPr>
          <w:rFonts w:ascii="Arial" w:hAnsi="Arial" w:cs="Arial"/>
          <w:b/>
          <w:bCs/>
          <w:sz w:val="22"/>
          <w:szCs w:val="22"/>
        </w:rPr>
        <w:t>Caso concreto</w:t>
      </w:r>
      <w:r w:rsidRPr="008114D0">
        <w:rPr>
          <w:rFonts w:ascii="Arial" w:hAnsi="Arial" w:cs="Arial"/>
          <w:b/>
          <w:bCs/>
          <w:sz w:val="22"/>
          <w:szCs w:val="22"/>
        </w:rPr>
        <w:t>.</w:t>
      </w:r>
    </w:p>
    <w:p w14:paraId="2122C925" w14:textId="77777777" w:rsidR="003A00A0" w:rsidRDefault="003A00A0" w:rsidP="003A00A0">
      <w:pPr>
        <w:spacing w:line="360" w:lineRule="auto"/>
        <w:jc w:val="both"/>
        <w:rPr>
          <w:rFonts w:ascii="Arial" w:hAnsi="Arial" w:cs="Arial"/>
          <w:sz w:val="22"/>
          <w:szCs w:val="22"/>
        </w:rPr>
      </w:pPr>
    </w:p>
    <w:p w14:paraId="280DA19A" w14:textId="77777777" w:rsidR="001C20E4" w:rsidRDefault="001C20E4" w:rsidP="001C20E4">
      <w:pPr>
        <w:spacing w:line="360" w:lineRule="auto"/>
        <w:jc w:val="both"/>
        <w:rPr>
          <w:rFonts w:ascii="Arial" w:hAnsi="Arial" w:cs="Arial"/>
          <w:sz w:val="22"/>
          <w:szCs w:val="22"/>
        </w:rPr>
      </w:pPr>
      <w:r>
        <w:rPr>
          <w:rFonts w:ascii="Arial" w:hAnsi="Arial" w:cs="Arial"/>
          <w:sz w:val="22"/>
          <w:szCs w:val="22"/>
        </w:rPr>
        <w:t>Tal y como se estableció con anterioridad, el planteamiento jurídico a resolver en el presente procedimiento, se circunscribe en dilucidar si la publicidad electoral denunciada causa un perjuicio ante el electorado, en virtud de que la candidatura que se exhibe en ella, fue declara improcedente por el Tribunal de alzada, por lo que presumiblemente se incurriría en una violación a la normativa en la materia electoral.</w:t>
      </w:r>
    </w:p>
    <w:p w14:paraId="2DFD4AB7" w14:textId="77777777" w:rsidR="001C20E4" w:rsidRDefault="001C20E4" w:rsidP="001C20E4">
      <w:pPr>
        <w:spacing w:line="360" w:lineRule="auto"/>
        <w:jc w:val="both"/>
        <w:rPr>
          <w:rFonts w:ascii="Arial" w:hAnsi="Arial" w:cs="Arial"/>
          <w:sz w:val="22"/>
          <w:szCs w:val="22"/>
        </w:rPr>
      </w:pPr>
    </w:p>
    <w:p w14:paraId="69282A0A" w14:textId="77777777" w:rsidR="001C20E4" w:rsidRDefault="001C20E4" w:rsidP="001C20E4">
      <w:pPr>
        <w:spacing w:line="360" w:lineRule="auto"/>
        <w:jc w:val="both"/>
        <w:rPr>
          <w:rFonts w:ascii="Arial" w:hAnsi="Arial" w:cs="Arial"/>
          <w:sz w:val="22"/>
          <w:szCs w:val="22"/>
        </w:rPr>
      </w:pPr>
      <w:r>
        <w:rPr>
          <w:rFonts w:ascii="Arial" w:hAnsi="Arial" w:cs="Arial"/>
          <w:sz w:val="22"/>
          <w:szCs w:val="22"/>
        </w:rPr>
        <w:t>En esta tesitura, la autoridad instructora certificó la existencia y contenido de la publicidad apuntada en el escrito de denuncia, encontrándose únicamente cuatro lonas colocadas en domicilios particulares, siendo los ubicados en:</w:t>
      </w:r>
    </w:p>
    <w:p w14:paraId="44E1C07D" w14:textId="77777777" w:rsidR="001C20E4" w:rsidRDefault="001C20E4" w:rsidP="001C20E4">
      <w:pPr>
        <w:spacing w:line="360" w:lineRule="auto"/>
        <w:jc w:val="both"/>
        <w:rPr>
          <w:rFonts w:ascii="Arial" w:hAnsi="Arial" w:cs="Arial"/>
          <w:sz w:val="22"/>
          <w:szCs w:val="22"/>
        </w:rPr>
      </w:pPr>
    </w:p>
    <w:p w14:paraId="23A242BE" w14:textId="77777777" w:rsidR="001C20E4" w:rsidRPr="0016677E" w:rsidRDefault="001C20E4" w:rsidP="001C20E4">
      <w:pPr>
        <w:pStyle w:val="Prrafodelista"/>
        <w:numPr>
          <w:ilvl w:val="0"/>
          <w:numId w:val="19"/>
        </w:numPr>
        <w:spacing w:line="360" w:lineRule="auto"/>
        <w:rPr>
          <w:rFonts w:ascii="Arial" w:hAnsi="Arial" w:cs="Arial"/>
          <w:sz w:val="22"/>
          <w:szCs w:val="22"/>
        </w:rPr>
      </w:pPr>
      <w:r w:rsidRPr="0016677E">
        <w:rPr>
          <w:rFonts w:ascii="Arial" w:hAnsi="Arial" w:cs="Arial"/>
          <w:sz w:val="22"/>
          <w:szCs w:val="22"/>
        </w:rPr>
        <w:t>Calle Antonio Díaz Soto y Gama, número 207, fraccionamiento Emiliano Zapata, Aguascalientes, Ags.</w:t>
      </w:r>
    </w:p>
    <w:p w14:paraId="22E749DE" w14:textId="77777777" w:rsidR="001C20E4" w:rsidRPr="0016677E" w:rsidRDefault="001C20E4" w:rsidP="001C20E4">
      <w:pPr>
        <w:pStyle w:val="Prrafodelista"/>
        <w:numPr>
          <w:ilvl w:val="0"/>
          <w:numId w:val="19"/>
        </w:numPr>
        <w:spacing w:line="360" w:lineRule="auto"/>
        <w:rPr>
          <w:rFonts w:ascii="Arial" w:hAnsi="Arial" w:cs="Arial"/>
          <w:sz w:val="22"/>
          <w:szCs w:val="22"/>
        </w:rPr>
      </w:pPr>
      <w:r w:rsidRPr="0016677E">
        <w:rPr>
          <w:rFonts w:ascii="Arial" w:hAnsi="Arial" w:cs="Arial"/>
          <w:sz w:val="22"/>
          <w:szCs w:val="22"/>
        </w:rPr>
        <w:t>Calle José González Carrillo, número 331, fraccionamiento Emiliano Zapata, Aguascalientes, Ags.</w:t>
      </w:r>
    </w:p>
    <w:p w14:paraId="1E099122" w14:textId="77777777" w:rsidR="001C20E4" w:rsidRPr="0016677E" w:rsidRDefault="001C20E4" w:rsidP="001C20E4">
      <w:pPr>
        <w:pStyle w:val="Prrafodelista"/>
        <w:numPr>
          <w:ilvl w:val="0"/>
          <w:numId w:val="19"/>
        </w:numPr>
        <w:spacing w:line="360" w:lineRule="auto"/>
        <w:rPr>
          <w:rFonts w:ascii="Arial" w:hAnsi="Arial" w:cs="Arial"/>
          <w:sz w:val="22"/>
          <w:szCs w:val="22"/>
        </w:rPr>
      </w:pPr>
      <w:r w:rsidRPr="0016677E">
        <w:rPr>
          <w:rFonts w:ascii="Arial" w:hAnsi="Arial" w:cs="Arial"/>
          <w:sz w:val="22"/>
          <w:szCs w:val="22"/>
        </w:rPr>
        <w:t>Calle Redactores, número 145, fraccionamiento Periodistas, Aguascalientes, Ags.</w:t>
      </w:r>
    </w:p>
    <w:p w14:paraId="701183C4" w14:textId="77777777" w:rsidR="001C20E4" w:rsidRDefault="001C20E4" w:rsidP="001C20E4">
      <w:pPr>
        <w:pStyle w:val="Prrafodelista"/>
        <w:numPr>
          <w:ilvl w:val="0"/>
          <w:numId w:val="19"/>
        </w:numPr>
        <w:spacing w:line="360" w:lineRule="auto"/>
        <w:rPr>
          <w:rFonts w:ascii="Arial" w:hAnsi="Arial" w:cs="Arial"/>
          <w:sz w:val="22"/>
          <w:szCs w:val="22"/>
        </w:rPr>
      </w:pPr>
      <w:r w:rsidRPr="0016677E">
        <w:rPr>
          <w:rFonts w:ascii="Arial" w:hAnsi="Arial" w:cs="Arial"/>
          <w:sz w:val="22"/>
          <w:szCs w:val="22"/>
        </w:rPr>
        <w:t>Calle Fraternidad, número 102,</w:t>
      </w:r>
      <w:r>
        <w:rPr>
          <w:rFonts w:ascii="Arial" w:hAnsi="Arial" w:cs="Arial"/>
          <w:sz w:val="22"/>
          <w:szCs w:val="22"/>
        </w:rPr>
        <w:t xml:space="preserve"> </w:t>
      </w:r>
      <w:r w:rsidRPr="0016677E">
        <w:rPr>
          <w:rFonts w:ascii="Arial" w:hAnsi="Arial" w:cs="Arial"/>
          <w:sz w:val="22"/>
          <w:szCs w:val="22"/>
        </w:rPr>
        <w:t>fraccionamiento Solidaridad I, Aguascalientes, Ags.</w:t>
      </w:r>
    </w:p>
    <w:p w14:paraId="6AF8DBCE" w14:textId="77777777" w:rsidR="001C20E4" w:rsidRDefault="001C20E4" w:rsidP="001C20E4">
      <w:pPr>
        <w:spacing w:line="360" w:lineRule="auto"/>
        <w:rPr>
          <w:rFonts w:ascii="Arial" w:hAnsi="Arial" w:cs="Arial"/>
          <w:sz w:val="22"/>
          <w:szCs w:val="22"/>
        </w:rPr>
      </w:pPr>
    </w:p>
    <w:p w14:paraId="6815535D" w14:textId="03D27A35" w:rsidR="001C20E4" w:rsidRDefault="001C20E4" w:rsidP="001C20E4">
      <w:pPr>
        <w:spacing w:line="360" w:lineRule="auto"/>
        <w:jc w:val="both"/>
        <w:rPr>
          <w:rFonts w:ascii="Arial" w:hAnsi="Arial" w:cs="Arial"/>
          <w:sz w:val="22"/>
          <w:szCs w:val="22"/>
        </w:rPr>
      </w:pPr>
      <w:r>
        <w:rPr>
          <w:rFonts w:ascii="Arial" w:hAnsi="Arial" w:cs="Arial"/>
          <w:sz w:val="22"/>
          <w:szCs w:val="22"/>
        </w:rPr>
        <w:t>Si bien es cierto que se denuncian más promocionales, la funcionaria electoral que dio fe de los hechos solo pudo cerciorarse de la existencia de la publicidad en los cuatro lugares precisados con anterioridad, toda vez que en las demás ubicaciones no fue posible localizar algún indicio de la presencia de colocación de lonas o pinta de bardas.</w:t>
      </w:r>
    </w:p>
    <w:p w14:paraId="152BF56C" w14:textId="77777777" w:rsidR="001C20E4" w:rsidRDefault="001C20E4" w:rsidP="001C20E4">
      <w:pPr>
        <w:spacing w:line="360" w:lineRule="auto"/>
        <w:jc w:val="both"/>
        <w:rPr>
          <w:rFonts w:ascii="Arial" w:hAnsi="Arial" w:cs="Arial"/>
          <w:sz w:val="22"/>
          <w:szCs w:val="22"/>
        </w:rPr>
      </w:pPr>
    </w:p>
    <w:p w14:paraId="5272F385" w14:textId="1EEB19CA" w:rsidR="001C20E4" w:rsidRDefault="00202875" w:rsidP="001C20E4">
      <w:pPr>
        <w:spacing w:line="360" w:lineRule="auto"/>
        <w:jc w:val="both"/>
        <w:rPr>
          <w:rFonts w:ascii="Arial" w:hAnsi="Arial" w:cs="Arial"/>
          <w:sz w:val="22"/>
          <w:szCs w:val="22"/>
        </w:rPr>
      </w:pPr>
      <w:r>
        <w:rPr>
          <w:rFonts w:ascii="Arial" w:hAnsi="Arial" w:cs="Arial"/>
          <w:sz w:val="22"/>
          <w:szCs w:val="22"/>
        </w:rPr>
        <w:t>Ahora bien, e</w:t>
      </w:r>
      <w:r w:rsidR="001C20E4" w:rsidRPr="0016677E">
        <w:rPr>
          <w:rFonts w:ascii="Arial" w:hAnsi="Arial" w:cs="Arial"/>
          <w:sz w:val="22"/>
          <w:szCs w:val="22"/>
        </w:rPr>
        <w:t>n virtud</w:t>
      </w:r>
      <w:r>
        <w:rPr>
          <w:rFonts w:ascii="Arial" w:hAnsi="Arial" w:cs="Arial"/>
          <w:sz w:val="22"/>
          <w:szCs w:val="22"/>
        </w:rPr>
        <w:t xml:space="preserve"> de </w:t>
      </w:r>
      <w:r w:rsidR="001C20E4" w:rsidRPr="0016677E">
        <w:rPr>
          <w:rFonts w:ascii="Arial" w:hAnsi="Arial" w:cs="Arial"/>
          <w:sz w:val="22"/>
          <w:szCs w:val="22"/>
        </w:rPr>
        <w:t>que la publicidad en alusión</w:t>
      </w:r>
      <w:r w:rsidR="001C20E4">
        <w:rPr>
          <w:rFonts w:ascii="Arial" w:hAnsi="Arial" w:cs="Arial"/>
          <w:sz w:val="22"/>
          <w:szCs w:val="22"/>
        </w:rPr>
        <w:t>,</w:t>
      </w:r>
      <w:r w:rsidR="001C20E4" w:rsidRPr="0016677E">
        <w:rPr>
          <w:rFonts w:ascii="Arial" w:hAnsi="Arial" w:cs="Arial"/>
          <w:sz w:val="22"/>
          <w:szCs w:val="22"/>
        </w:rPr>
        <w:t xml:space="preserve"> fue fijada en razón de una actividad lícita como lo</w:t>
      </w:r>
      <w:r w:rsidR="001C20E4">
        <w:rPr>
          <w:rFonts w:ascii="Arial" w:hAnsi="Arial" w:cs="Arial"/>
          <w:sz w:val="22"/>
          <w:szCs w:val="22"/>
        </w:rPr>
        <w:t xml:space="preserve"> </w:t>
      </w:r>
      <w:r w:rsidR="001C20E4" w:rsidRPr="0016677E">
        <w:rPr>
          <w:rFonts w:ascii="Arial" w:hAnsi="Arial" w:cs="Arial"/>
          <w:sz w:val="22"/>
          <w:szCs w:val="22"/>
        </w:rPr>
        <w:t>es dentro del periodo</w:t>
      </w:r>
      <w:r w:rsidR="001C20E4">
        <w:rPr>
          <w:rFonts w:ascii="Arial" w:hAnsi="Arial" w:cs="Arial"/>
          <w:sz w:val="22"/>
          <w:szCs w:val="22"/>
        </w:rPr>
        <w:t xml:space="preserve"> </w:t>
      </w:r>
      <w:r w:rsidR="001C20E4" w:rsidRPr="0016677E">
        <w:rPr>
          <w:rFonts w:ascii="Arial" w:hAnsi="Arial" w:cs="Arial"/>
          <w:sz w:val="22"/>
          <w:szCs w:val="22"/>
        </w:rPr>
        <w:t xml:space="preserve">de campañas electorales para </w:t>
      </w:r>
      <w:r w:rsidR="001C20E4">
        <w:rPr>
          <w:rFonts w:ascii="Arial" w:hAnsi="Arial" w:cs="Arial"/>
          <w:sz w:val="22"/>
          <w:szCs w:val="22"/>
        </w:rPr>
        <w:t>la elección de candidatos a diputados locales</w:t>
      </w:r>
      <w:r w:rsidR="001C20E4" w:rsidRPr="0016677E">
        <w:rPr>
          <w:rFonts w:ascii="Arial" w:hAnsi="Arial" w:cs="Arial"/>
          <w:sz w:val="22"/>
          <w:szCs w:val="22"/>
        </w:rPr>
        <w:t>, resulta indispensable</w:t>
      </w:r>
      <w:r w:rsidR="001C20E4">
        <w:rPr>
          <w:rFonts w:ascii="Arial" w:hAnsi="Arial" w:cs="Arial"/>
          <w:sz w:val="22"/>
          <w:szCs w:val="22"/>
        </w:rPr>
        <w:t xml:space="preserve"> </w:t>
      </w:r>
      <w:r w:rsidR="001C20E4" w:rsidRPr="0016677E">
        <w:rPr>
          <w:rFonts w:ascii="Arial" w:hAnsi="Arial" w:cs="Arial"/>
          <w:sz w:val="22"/>
          <w:szCs w:val="22"/>
        </w:rPr>
        <w:t>verificar las obligaciones jurídicas que subyacen a su retiro en cuanto a espacios</w:t>
      </w:r>
      <w:r w:rsidR="001C20E4">
        <w:rPr>
          <w:rFonts w:ascii="Arial" w:hAnsi="Arial" w:cs="Arial"/>
          <w:sz w:val="22"/>
          <w:szCs w:val="22"/>
        </w:rPr>
        <w:t xml:space="preserve"> </w:t>
      </w:r>
      <w:r w:rsidR="001C20E4" w:rsidRPr="0016677E">
        <w:rPr>
          <w:rFonts w:ascii="Arial" w:hAnsi="Arial" w:cs="Arial"/>
          <w:sz w:val="22"/>
          <w:szCs w:val="22"/>
        </w:rPr>
        <w:t>públicos y particulares</w:t>
      </w:r>
      <w:r w:rsidR="001C20E4">
        <w:rPr>
          <w:rFonts w:ascii="Arial" w:hAnsi="Arial" w:cs="Arial"/>
          <w:sz w:val="22"/>
          <w:szCs w:val="22"/>
        </w:rPr>
        <w:t>.</w:t>
      </w:r>
    </w:p>
    <w:p w14:paraId="1EF51381" w14:textId="77777777" w:rsidR="001C20E4" w:rsidRDefault="001C20E4" w:rsidP="001C20E4">
      <w:pPr>
        <w:spacing w:line="360" w:lineRule="auto"/>
        <w:jc w:val="both"/>
        <w:rPr>
          <w:rFonts w:ascii="Arial" w:hAnsi="Arial" w:cs="Arial"/>
          <w:sz w:val="22"/>
          <w:szCs w:val="22"/>
        </w:rPr>
      </w:pPr>
    </w:p>
    <w:p w14:paraId="3AF9FBB4" w14:textId="17068F20" w:rsidR="001C20E4" w:rsidRDefault="001C20E4" w:rsidP="001C20E4">
      <w:pPr>
        <w:spacing w:line="360" w:lineRule="auto"/>
        <w:jc w:val="both"/>
        <w:rPr>
          <w:rFonts w:ascii="Arial" w:hAnsi="Arial" w:cs="Arial"/>
          <w:sz w:val="22"/>
          <w:szCs w:val="22"/>
        </w:rPr>
      </w:pPr>
      <w:r>
        <w:rPr>
          <w:rFonts w:ascii="Arial" w:hAnsi="Arial" w:cs="Arial"/>
          <w:sz w:val="22"/>
          <w:szCs w:val="22"/>
        </w:rPr>
        <w:lastRenderedPageBreak/>
        <w:t>Entonces, conforme a lo establecido en el marco normativo del presente fallo, el Código Electoral del Estado establece que l</w:t>
      </w:r>
      <w:r w:rsidRPr="00A152B7">
        <w:rPr>
          <w:rFonts w:ascii="Arial" w:hAnsi="Arial" w:cs="Arial"/>
          <w:sz w:val="22"/>
          <w:szCs w:val="22"/>
        </w:rPr>
        <w:t>a propaganda electoral puede ser fijada en bienes de dominio privado, siempre que exista permiso escrito del propietario o de quien conforme a la Ley pueda otorgarlo</w:t>
      </w:r>
      <w:r w:rsidR="00BE1ADF">
        <w:rPr>
          <w:rFonts w:ascii="Arial" w:hAnsi="Arial" w:cs="Arial"/>
          <w:sz w:val="22"/>
          <w:szCs w:val="22"/>
        </w:rPr>
        <w:t>, así como que ésta deberá ser retirada dentro de los 30 días posteriores a la jornada electoral.</w:t>
      </w:r>
    </w:p>
    <w:p w14:paraId="71AD78FE" w14:textId="27079539" w:rsidR="00BE1ADF" w:rsidRDefault="00BE1ADF" w:rsidP="001C20E4">
      <w:pPr>
        <w:spacing w:line="360" w:lineRule="auto"/>
        <w:jc w:val="both"/>
        <w:rPr>
          <w:rFonts w:ascii="Arial" w:hAnsi="Arial" w:cs="Arial"/>
          <w:sz w:val="22"/>
          <w:szCs w:val="22"/>
        </w:rPr>
      </w:pPr>
    </w:p>
    <w:p w14:paraId="020FF325" w14:textId="77777777" w:rsidR="001C20E4" w:rsidRDefault="001C20E4" w:rsidP="001C20E4">
      <w:pPr>
        <w:spacing w:line="360" w:lineRule="auto"/>
        <w:jc w:val="both"/>
        <w:rPr>
          <w:rFonts w:ascii="Arial" w:hAnsi="Arial" w:cs="Arial"/>
          <w:sz w:val="22"/>
          <w:szCs w:val="22"/>
        </w:rPr>
      </w:pPr>
      <w:r w:rsidRPr="00A152B7">
        <w:rPr>
          <w:rFonts w:ascii="Arial" w:hAnsi="Arial" w:cs="Arial"/>
          <w:sz w:val="22"/>
          <w:szCs w:val="22"/>
        </w:rPr>
        <w:t xml:space="preserve">Así bien, en el caso de la colocación de propaganda en bienes de dominio privado opera una situación diversa a lo que se regula tratándose de los relativos al dominio público, </w:t>
      </w:r>
      <w:r>
        <w:rPr>
          <w:rFonts w:ascii="Arial" w:hAnsi="Arial" w:cs="Arial"/>
          <w:sz w:val="22"/>
          <w:szCs w:val="22"/>
        </w:rPr>
        <w:t>e</w:t>
      </w:r>
      <w:r w:rsidRPr="00A152B7">
        <w:rPr>
          <w:rFonts w:ascii="Arial" w:hAnsi="Arial" w:cs="Arial"/>
          <w:sz w:val="22"/>
          <w:szCs w:val="22"/>
        </w:rPr>
        <w:t>sta diferenciación normativa se estima razonable si se parte de la premisa que en los bienes del dominio privado deben prevalecer los derechos del tercero – propietario o poseedor– ya que es la misma legislación la que distingue en materia de divulgación a través de las dos vertientes previstas, siendo que en el dominio particular para fijar propaganda resulta necesario contar con una autorización o permiso.</w:t>
      </w:r>
    </w:p>
    <w:p w14:paraId="38EF91C2" w14:textId="77777777" w:rsidR="001C20E4" w:rsidRDefault="001C20E4" w:rsidP="001C20E4">
      <w:pPr>
        <w:spacing w:line="360" w:lineRule="auto"/>
        <w:jc w:val="both"/>
        <w:rPr>
          <w:rFonts w:ascii="Arial" w:hAnsi="Arial" w:cs="Arial"/>
          <w:sz w:val="22"/>
          <w:szCs w:val="22"/>
        </w:rPr>
      </w:pPr>
    </w:p>
    <w:p w14:paraId="59B7859C" w14:textId="4E137401" w:rsidR="001C20E4" w:rsidRDefault="001C20E4" w:rsidP="001C20E4">
      <w:pPr>
        <w:spacing w:line="360" w:lineRule="auto"/>
        <w:jc w:val="both"/>
        <w:rPr>
          <w:rFonts w:ascii="Arial" w:hAnsi="Arial" w:cs="Arial"/>
          <w:sz w:val="22"/>
          <w:szCs w:val="22"/>
        </w:rPr>
      </w:pPr>
      <w:r w:rsidRPr="006F6B14">
        <w:rPr>
          <w:rFonts w:ascii="Arial" w:hAnsi="Arial" w:cs="Arial"/>
          <w:sz w:val="22"/>
          <w:szCs w:val="22"/>
        </w:rPr>
        <w:t xml:space="preserve">La distinción de trato que el legislador prevé, obedece a que en el dominio privado la única carga impuesta a los actores políticos se circunscribe a solicitar un permiso para la colocación de propaganda, al encontrarse intrínsecamente relacionados los derechos del propietario o poseedor del bien, lo que a su vez evidencia que el retiro de esa publicidad queda </w:t>
      </w:r>
      <w:proofErr w:type="gramStart"/>
      <w:r w:rsidR="00330117" w:rsidRPr="006F6B14">
        <w:rPr>
          <w:rFonts w:ascii="Arial" w:hAnsi="Arial" w:cs="Arial"/>
          <w:sz w:val="22"/>
          <w:szCs w:val="22"/>
        </w:rPr>
        <w:t>circunscrit</w:t>
      </w:r>
      <w:r w:rsidR="00330117">
        <w:rPr>
          <w:rFonts w:ascii="Arial" w:hAnsi="Arial" w:cs="Arial"/>
          <w:sz w:val="22"/>
          <w:szCs w:val="22"/>
        </w:rPr>
        <w:t>a</w:t>
      </w:r>
      <w:proofErr w:type="gramEnd"/>
      <w:r w:rsidRPr="006F6B14">
        <w:rPr>
          <w:rFonts w:ascii="Arial" w:hAnsi="Arial" w:cs="Arial"/>
          <w:sz w:val="22"/>
          <w:szCs w:val="22"/>
        </w:rPr>
        <w:t xml:space="preserve"> a éstos últimos</w:t>
      </w:r>
      <w:r>
        <w:rPr>
          <w:rFonts w:ascii="Arial" w:hAnsi="Arial" w:cs="Arial"/>
          <w:sz w:val="22"/>
          <w:szCs w:val="22"/>
        </w:rPr>
        <w:t>.</w:t>
      </w:r>
    </w:p>
    <w:p w14:paraId="708DA31C" w14:textId="77777777" w:rsidR="001C20E4" w:rsidRDefault="001C20E4" w:rsidP="001C20E4">
      <w:pPr>
        <w:spacing w:line="360" w:lineRule="auto"/>
        <w:jc w:val="both"/>
        <w:rPr>
          <w:rFonts w:ascii="Arial" w:hAnsi="Arial" w:cs="Arial"/>
          <w:sz w:val="22"/>
          <w:szCs w:val="22"/>
        </w:rPr>
      </w:pPr>
    </w:p>
    <w:p w14:paraId="04B76987" w14:textId="77777777" w:rsidR="001C20E4" w:rsidRDefault="001C20E4" w:rsidP="001C20E4">
      <w:pPr>
        <w:spacing w:line="360" w:lineRule="auto"/>
        <w:jc w:val="both"/>
        <w:rPr>
          <w:rFonts w:ascii="Arial" w:hAnsi="Arial" w:cs="Arial"/>
          <w:sz w:val="22"/>
          <w:szCs w:val="22"/>
        </w:rPr>
      </w:pPr>
      <w:r>
        <w:rPr>
          <w:rFonts w:ascii="Arial" w:hAnsi="Arial" w:cs="Arial"/>
          <w:sz w:val="22"/>
          <w:szCs w:val="22"/>
        </w:rPr>
        <w:t>M</w:t>
      </w:r>
      <w:r w:rsidRPr="006F6B14">
        <w:rPr>
          <w:rFonts w:ascii="Arial" w:hAnsi="Arial" w:cs="Arial"/>
          <w:sz w:val="22"/>
          <w:szCs w:val="22"/>
        </w:rPr>
        <w:t>ientras que en el caso de la fijada en bienes del dominio público se contempla una obligación de retiro para los primeros, al grado de señalarse un deber de vigilancia a cargo de la autoridad administrativa para tal efecto, lo cual está plenamente justificado por la naturaleza del bien, pues su objeto consiste en la prestación de un servicio público y no de interés particular como acontece en la vertiente del dominio privado.</w:t>
      </w:r>
    </w:p>
    <w:p w14:paraId="0B58195E" w14:textId="444FCDBF" w:rsidR="001C20E4" w:rsidRDefault="001C20E4" w:rsidP="001C20E4">
      <w:pPr>
        <w:spacing w:line="360" w:lineRule="auto"/>
        <w:jc w:val="both"/>
        <w:rPr>
          <w:rFonts w:ascii="Arial" w:hAnsi="Arial" w:cs="Arial"/>
          <w:sz w:val="22"/>
          <w:szCs w:val="22"/>
        </w:rPr>
      </w:pPr>
    </w:p>
    <w:p w14:paraId="2FDC7540" w14:textId="2D23A3FC" w:rsidR="00FB3624" w:rsidRDefault="00FB3624" w:rsidP="00FB3624">
      <w:pPr>
        <w:spacing w:line="360" w:lineRule="auto"/>
        <w:jc w:val="both"/>
        <w:rPr>
          <w:rFonts w:ascii="Arial" w:hAnsi="Arial" w:cs="Arial"/>
          <w:sz w:val="22"/>
          <w:szCs w:val="22"/>
        </w:rPr>
      </w:pPr>
      <w:r>
        <w:rPr>
          <w:rFonts w:ascii="Arial" w:hAnsi="Arial" w:cs="Arial"/>
          <w:sz w:val="22"/>
          <w:szCs w:val="22"/>
        </w:rPr>
        <w:t xml:space="preserve">Se suma que, derivado de la situación extraordinaria que se vivió en el distrito XV, </w:t>
      </w:r>
      <w:r w:rsidRPr="007774D3">
        <w:rPr>
          <w:rFonts w:ascii="Arial" w:hAnsi="Arial" w:cs="Arial"/>
          <w:sz w:val="22"/>
          <w:szCs w:val="22"/>
        </w:rPr>
        <w:t xml:space="preserve">no existe en nuestro sistema normativo electoral de la </w:t>
      </w:r>
      <w:r>
        <w:rPr>
          <w:rFonts w:ascii="Arial" w:hAnsi="Arial" w:cs="Arial"/>
          <w:sz w:val="22"/>
          <w:szCs w:val="22"/>
        </w:rPr>
        <w:t>e</w:t>
      </w:r>
      <w:r w:rsidRPr="007774D3">
        <w:rPr>
          <w:rFonts w:ascii="Arial" w:hAnsi="Arial" w:cs="Arial"/>
          <w:sz w:val="22"/>
          <w:szCs w:val="22"/>
        </w:rPr>
        <w:t xml:space="preserve">ntidad, ni tampoco en otras legislaciones en materia electoral que tengan efectos generales para el </w:t>
      </w:r>
      <w:r>
        <w:rPr>
          <w:rFonts w:ascii="Arial" w:hAnsi="Arial" w:cs="Arial"/>
          <w:sz w:val="22"/>
          <w:szCs w:val="22"/>
        </w:rPr>
        <w:t>e</w:t>
      </w:r>
      <w:r w:rsidRPr="007774D3">
        <w:rPr>
          <w:rFonts w:ascii="Arial" w:hAnsi="Arial" w:cs="Arial"/>
          <w:sz w:val="22"/>
          <w:szCs w:val="22"/>
        </w:rPr>
        <w:t xml:space="preserve">stado de </w:t>
      </w:r>
      <w:r>
        <w:rPr>
          <w:rFonts w:ascii="Arial" w:hAnsi="Arial" w:cs="Arial"/>
          <w:sz w:val="22"/>
          <w:szCs w:val="22"/>
        </w:rPr>
        <w:t>Aguascalientes</w:t>
      </w:r>
      <w:r w:rsidRPr="007774D3">
        <w:rPr>
          <w:rFonts w:ascii="Arial" w:hAnsi="Arial" w:cs="Arial"/>
          <w:sz w:val="22"/>
          <w:szCs w:val="22"/>
        </w:rPr>
        <w:t xml:space="preserve">, </w:t>
      </w:r>
      <w:r>
        <w:rPr>
          <w:rFonts w:ascii="Arial" w:hAnsi="Arial" w:cs="Arial"/>
          <w:sz w:val="22"/>
          <w:szCs w:val="22"/>
        </w:rPr>
        <w:t xml:space="preserve">la obligación para retirar propaganda electoral antes de la jornada electoral. </w:t>
      </w:r>
      <w:r w:rsidRPr="007774D3">
        <w:rPr>
          <w:rFonts w:ascii="Arial" w:hAnsi="Arial" w:cs="Arial"/>
          <w:sz w:val="22"/>
          <w:szCs w:val="22"/>
        </w:rPr>
        <w:t xml:space="preserve"> </w:t>
      </w:r>
    </w:p>
    <w:p w14:paraId="4B56C52D" w14:textId="5AD725E3" w:rsidR="00DC3C6F" w:rsidRDefault="00DC3C6F" w:rsidP="00FB3624">
      <w:pPr>
        <w:spacing w:line="360" w:lineRule="auto"/>
        <w:jc w:val="both"/>
        <w:rPr>
          <w:rFonts w:ascii="Arial" w:hAnsi="Arial" w:cs="Arial"/>
          <w:sz w:val="22"/>
          <w:szCs w:val="22"/>
        </w:rPr>
      </w:pPr>
    </w:p>
    <w:p w14:paraId="0AD56DCE" w14:textId="2EE7AC70" w:rsidR="00DC3C6F" w:rsidRDefault="00DC3C6F" w:rsidP="00FB3624">
      <w:pPr>
        <w:spacing w:line="360" w:lineRule="auto"/>
        <w:jc w:val="both"/>
        <w:rPr>
          <w:rFonts w:ascii="Arial" w:hAnsi="Arial" w:cs="Arial"/>
          <w:sz w:val="22"/>
          <w:szCs w:val="22"/>
        </w:rPr>
      </w:pPr>
      <w:r>
        <w:rPr>
          <w:rFonts w:ascii="Arial" w:hAnsi="Arial" w:cs="Arial"/>
          <w:sz w:val="22"/>
          <w:szCs w:val="22"/>
        </w:rPr>
        <w:t>Ello, en el entendido que ni en la normativa, ni por orden del IEE o de Sala Monterrey, se precisó la obligación urgente de retiro de propaganda electoral a la otrora candidat</w:t>
      </w:r>
      <w:r w:rsidR="00E361D9">
        <w:rPr>
          <w:rFonts w:ascii="Arial" w:hAnsi="Arial" w:cs="Arial"/>
          <w:sz w:val="22"/>
          <w:szCs w:val="22"/>
        </w:rPr>
        <w:t>a</w:t>
      </w:r>
      <w:r>
        <w:rPr>
          <w:rFonts w:ascii="Arial" w:hAnsi="Arial" w:cs="Arial"/>
          <w:sz w:val="22"/>
          <w:szCs w:val="22"/>
        </w:rPr>
        <w:t xml:space="preserve"> por ese distrito local, por lo que no existía la obligación para la denunciada de hacerlo.</w:t>
      </w:r>
    </w:p>
    <w:p w14:paraId="08CF1FA7" w14:textId="0CFE10C7" w:rsidR="00B32403" w:rsidRDefault="00B32403" w:rsidP="00FB3624">
      <w:pPr>
        <w:spacing w:line="360" w:lineRule="auto"/>
        <w:jc w:val="both"/>
        <w:rPr>
          <w:rFonts w:ascii="Arial" w:hAnsi="Arial" w:cs="Arial"/>
          <w:sz w:val="22"/>
          <w:szCs w:val="22"/>
        </w:rPr>
      </w:pPr>
    </w:p>
    <w:p w14:paraId="0BA66526" w14:textId="77777777" w:rsidR="00D51F9F" w:rsidRDefault="00B32403" w:rsidP="00FB3624">
      <w:pPr>
        <w:spacing w:line="360" w:lineRule="auto"/>
        <w:jc w:val="both"/>
        <w:rPr>
          <w:rFonts w:ascii="Arial" w:hAnsi="Arial" w:cs="Arial"/>
          <w:sz w:val="22"/>
          <w:szCs w:val="22"/>
        </w:rPr>
      </w:pPr>
      <w:r>
        <w:rPr>
          <w:rFonts w:ascii="Arial" w:hAnsi="Arial" w:cs="Arial"/>
          <w:sz w:val="22"/>
          <w:szCs w:val="22"/>
        </w:rPr>
        <w:t xml:space="preserve">Aunado a ello, el artículo 155 del Código Electoral, prevé la posibilidad de la sustitución de candidaturas, </w:t>
      </w:r>
      <w:r w:rsidR="00D51F9F" w:rsidRPr="00D51F9F">
        <w:rPr>
          <w:rFonts w:ascii="Arial" w:hAnsi="Arial" w:cs="Arial"/>
          <w:sz w:val="22"/>
          <w:szCs w:val="22"/>
        </w:rPr>
        <w:t xml:space="preserve">de acuerdo con las disposiciones siguientes: </w:t>
      </w:r>
    </w:p>
    <w:p w14:paraId="07FA174D" w14:textId="77777777" w:rsidR="00D51F9F" w:rsidRDefault="00D51F9F" w:rsidP="00FB3624">
      <w:pPr>
        <w:spacing w:line="360" w:lineRule="auto"/>
        <w:jc w:val="both"/>
        <w:rPr>
          <w:rFonts w:ascii="Arial" w:hAnsi="Arial" w:cs="Arial"/>
          <w:sz w:val="22"/>
          <w:szCs w:val="22"/>
        </w:rPr>
      </w:pPr>
    </w:p>
    <w:p w14:paraId="1D149126" w14:textId="39111700" w:rsidR="00D51F9F" w:rsidRPr="00D51F9F" w:rsidRDefault="00D51F9F" w:rsidP="00D51F9F">
      <w:pPr>
        <w:pStyle w:val="Prrafodelista"/>
        <w:numPr>
          <w:ilvl w:val="0"/>
          <w:numId w:val="22"/>
        </w:numPr>
        <w:spacing w:line="360" w:lineRule="auto"/>
        <w:jc w:val="both"/>
        <w:rPr>
          <w:rFonts w:ascii="Arial" w:hAnsi="Arial" w:cs="Arial"/>
          <w:sz w:val="22"/>
          <w:szCs w:val="22"/>
        </w:rPr>
      </w:pPr>
      <w:r w:rsidRPr="00D51F9F">
        <w:rPr>
          <w:rFonts w:ascii="Arial" w:hAnsi="Arial" w:cs="Arial"/>
          <w:sz w:val="22"/>
          <w:szCs w:val="22"/>
        </w:rPr>
        <w:t xml:space="preserve">Solicitarlo por escrito ante el Consejo o consejos distritales o municipales correspondientes; </w:t>
      </w:r>
    </w:p>
    <w:p w14:paraId="5F9C6CCE" w14:textId="3BDEEB24" w:rsidR="00D51F9F" w:rsidRDefault="00D51F9F" w:rsidP="00D51F9F">
      <w:pPr>
        <w:pStyle w:val="Prrafodelista"/>
        <w:numPr>
          <w:ilvl w:val="0"/>
          <w:numId w:val="22"/>
        </w:numPr>
        <w:spacing w:line="360" w:lineRule="auto"/>
        <w:jc w:val="both"/>
        <w:rPr>
          <w:rFonts w:ascii="Arial" w:hAnsi="Arial" w:cs="Arial"/>
          <w:sz w:val="22"/>
          <w:szCs w:val="22"/>
        </w:rPr>
      </w:pPr>
      <w:r w:rsidRPr="00D51F9F">
        <w:rPr>
          <w:rFonts w:ascii="Arial" w:hAnsi="Arial" w:cs="Arial"/>
          <w:sz w:val="22"/>
          <w:szCs w:val="22"/>
        </w:rPr>
        <w:t>Podrán sustituirlos libremente dentro de</w:t>
      </w:r>
      <w:r>
        <w:rPr>
          <w:rFonts w:ascii="Arial" w:hAnsi="Arial" w:cs="Arial"/>
          <w:sz w:val="22"/>
          <w:szCs w:val="22"/>
        </w:rPr>
        <w:t xml:space="preserve"> </w:t>
      </w:r>
      <w:r w:rsidRPr="00D51F9F">
        <w:rPr>
          <w:rFonts w:ascii="Arial" w:hAnsi="Arial" w:cs="Arial"/>
          <w:sz w:val="22"/>
          <w:szCs w:val="22"/>
        </w:rPr>
        <w:t>l</w:t>
      </w:r>
      <w:r>
        <w:rPr>
          <w:rFonts w:ascii="Arial" w:hAnsi="Arial" w:cs="Arial"/>
          <w:sz w:val="22"/>
          <w:szCs w:val="22"/>
        </w:rPr>
        <w:t>os</w:t>
      </w:r>
      <w:r w:rsidRPr="00D51F9F">
        <w:rPr>
          <w:rFonts w:ascii="Arial" w:hAnsi="Arial" w:cs="Arial"/>
          <w:sz w:val="22"/>
          <w:szCs w:val="22"/>
        </w:rPr>
        <w:t xml:space="preserve"> plazo</w:t>
      </w:r>
      <w:r>
        <w:rPr>
          <w:rFonts w:ascii="Arial" w:hAnsi="Arial" w:cs="Arial"/>
          <w:sz w:val="22"/>
          <w:szCs w:val="22"/>
        </w:rPr>
        <w:t>s</w:t>
      </w:r>
      <w:r w:rsidRPr="00D51F9F">
        <w:rPr>
          <w:rFonts w:ascii="Arial" w:hAnsi="Arial" w:cs="Arial"/>
          <w:sz w:val="22"/>
          <w:szCs w:val="22"/>
        </w:rPr>
        <w:t xml:space="preserve"> referi</w:t>
      </w:r>
      <w:r>
        <w:rPr>
          <w:rFonts w:ascii="Arial" w:hAnsi="Arial" w:cs="Arial"/>
          <w:sz w:val="22"/>
          <w:szCs w:val="22"/>
        </w:rPr>
        <w:t>dos en</w:t>
      </w:r>
      <w:r w:rsidRPr="00D51F9F">
        <w:rPr>
          <w:rFonts w:ascii="Arial" w:hAnsi="Arial" w:cs="Arial"/>
          <w:sz w:val="22"/>
          <w:szCs w:val="22"/>
        </w:rPr>
        <w:t xml:space="preserve"> el artículo 144 de</w:t>
      </w:r>
      <w:r>
        <w:rPr>
          <w:rFonts w:ascii="Arial" w:hAnsi="Arial" w:cs="Arial"/>
          <w:sz w:val="22"/>
          <w:szCs w:val="22"/>
        </w:rPr>
        <w:t>l</w:t>
      </w:r>
      <w:r w:rsidRPr="00D51F9F">
        <w:rPr>
          <w:rFonts w:ascii="Arial" w:hAnsi="Arial" w:cs="Arial"/>
          <w:sz w:val="22"/>
          <w:szCs w:val="22"/>
        </w:rPr>
        <w:t xml:space="preserve"> Código; </w:t>
      </w:r>
    </w:p>
    <w:p w14:paraId="0ABDF214" w14:textId="77777777" w:rsidR="00781006" w:rsidRDefault="00D51F9F" w:rsidP="00D51F9F">
      <w:pPr>
        <w:pStyle w:val="Prrafodelista"/>
        <w:numPr>
          <w:ilvl w:val="0"/>
          <w:numId w:val="22"/>
        </w:numPr>
        <w:spacing w:line="360" w:lineRule="auto"/>
        <w:jc w:val="both"/>
        <w:rPr>
          <w:rFonts w:ascii="Arial" w:hAnsi="Arial" w:cs="Arial"/>
          <w:sz w:val="22"/>
          <w:szCs w:val="22"/>
        </w:rPr>
      </w:pPr>
      <w:r w:rsidRPr="00D51F9F">
        <w:rPr>
          <w:rFonts w:ascii="Arial" w:hAnsi="Arial" w:cs="Arial"/>
          <w:sz w:val="22"/>
          <w:szCs w:val="22"/>
        </w:rPr>
        <w:t>Vencido el plaz</w:t>
      </w:r>
      <w:r w:rsidR="00781006">
        <w:rPr>
          <w:rFonts w:ascii="Arial" w:hAnsi="Arial" w:cs="Arial"/>
          <w:sz w:val="22"/>
          <w:szCs w:val="22"/>
        </w:rPr>
        <w:t xml:space="preserve">o, </w:t>
      </w:r>
      <w:r w:rsidRPr="00D51F9F">
        <w:rPr>
          <w:rFonts w:ascii="Arial" w:hAnsi="Arial" w:cs="Arial"/>
          <w:sz w:val="22"/>
          <w:szCs w:val="22"/>
        </w:rPr>
        <w:t xml:space="preserve">sólo podrán sustituirlo por fallecimiento, inhabilitación, incapacidad, expulsión del partido que lo postula, renuncia o ubicarse en alguno de los supuestos establecidos en el artículo 10 de </w:t>
      </w:r>
      <w:r w:rsidR="00781006">
        <w:rPr>
          <w:rFonts w:ascii="Arial" w:hAnsi="Arial" w:cs="Arial"/>
          <w:sz w:val="22"/>
          <w:szCs w:val="22"/>
        </w:rPr>
        <w:t>ese</w:t>
      </w:r>
      <w:r w:rsidRPr="00D51F9F">
        <w:rPr>
          <w:rFonts w:ascii="Arial" w:hAnsi="Arial" w:cs="Arial"/>
          <w:sz w:val="22"/>
          <w:szCs w:val="22"/>
        </w:rPr>
        <w:t xml:space="preserve"> Código; </w:t>
      </w:r>
    </w:p>
    <w:p w14:paraId="3B28521D" w14:textId="77777777" w:rsidR="00781006" w:rsidRDefault="00781006" w:rsidP="00D51F9F">
      <w:pPr>
        <w:pStyle w:val="Prrafodelista"/>
        <w:numPr>
          <w:ilvl w:val="0"/>
          <w:numId w:val="22"/>
        </w:numPr>
        <w:spacing w:line="360" w:lineRule="auto"/>
        <w:jc w:val="both"/>
        <w:rPr>
          <w:rFonts w:ascii="Arial" w:hAnsi="Arial" w:cs="Arial"/>
          <w:sz w:val="22"/>
          <w:szCs w:val="22"/>
        </w:rPr>
      </w:pPr>
      <w:r>
        <w:rPr>
          <w:rFonts w:ascii="Arial" w:hAnsi="Arial" w:cs="Arial"/>
          <w:sz w:val="22"/>
          <w:szCs w:val="22"/>
        </w:rPr>
        <w:t>E</w:t>
      </w:r>
      <w:r w:rsidR="00D51F9F" w:rsidRPr="00D51F9F">
        <w:rPr>
          <w:rFonts w:ascii="Arial" w:hAnsi="Arial" w:cs="Arial"/>
          <w:sz w:val="22"/>
          <w:szCs w:val="22"/>
        </w:rPr>
        <w:t xml:space="preserve">n caso de renuncia no podrá sustituirlos cuando se presente dentro de los quince días anteriores al de la elección. </w:t>
      </w:r>
    </w:p>
    <w:p w14:paraId="6215F266" w14:textId="67CD365A" w:rsidR="00FB3624" w:rsidRDefault="00D51F9F" w:rsidP="00781006">
      <w:pPr>
        <w:pStyle w:val="Prrafodelista"/>
        <w:spacing w:line="360" w:lineRule="auto"/>
        <w:ind w:left="1080"/>
        <w:jc w:val="both"/>
        <w:rPr>
          <w:rFonts w:ascii="Arial" w:hAnsi="Arial" w:cs="Arial"/>
          <w:sz w:val="22"/>
          <w:szCs w:val="22"/>
        </w:rPr>
      </w:pPr>
      <w:r w:rsidRPr="00D51F9F">
        <w:rPr>
          <w:rFonts w:ascii="Arial" w:hAnsi="Arial" w:cs="Arial"/>
          <w:sz w:val="22"/>
          <w:szCs w:val="22"/>
        </w:rPr>
        <w:lastRenderedPageBreak/>
        <w:t>Para la corrección o sustitución de boletas electorales se estará a lo dispuesto por la LGIPE y este Código</w:t>
      </w:r>
      <w:r w:rsidR="00781006">
        <w:rPr>
          <w:rFonts w:ascii="Arial" w:hAnsi="Arial" w:cs="Arial"/>
          <w:sz w:val="22"/>
          <w:szCs w:val="22"/>
        </w:rPr>
        <w:t>.</w:t>
      </w:r>
    </w:p>
    <w:p w14:paraId="1F3A3855" w14:textId="00F4AA92" w:rsidR="00781006" w:rsidRDefault="00781006" w:rsidP="00781006">
      <w:pPr>
        <w:spacing w:line="360" w:lineRule="auto"/>
        <w:jc w:val="both"/>
        <w:rPr>
          <w:rFonts w:ascii="Arial" w:hAnsi="Arial" w:cs="Arial"/>
          <w:sz w:val="22"/>
          <w:szCs w:val="22"/>
        </w:rPr>
      </w:pPr>
    </w:p>
    <w:p w14:paraId="097ABAA2" w14:textId="04AF6713" w:rsidR="00986A20" w:rsidRDefault="00061960" w:rsidP="00061960">
      <w:pPr>
        <w:pStyle w:val="NormalWeb"/>
        <w:shd w:val="clear" w:color="auto" w:fill="FFFFFF"/>
        <w:spacing w:before="0" w:beforeAutospacing="0" w:after="0" w:afterAutospacing="0" w:line="360" w:lineRule="auto"/>
        <w:jc w:val="both"/>
        <w:rPr>
          <w:rFonts w:ascii="Arial" w:hAnsi="Arial" w:cs="Arial"/>
          <w:sz w:val="22"/>
          <w:szCs w:val="22"/>
        </w:rPr>
      </w:pPr>
      <w:r w:rsidRPr="004A01C7">
        <w:rPr>
          <w:rFonts w:ascii="Arial" w:hAnsi="Arial" w:cs="Arial"/>
          <w:sz w:val="22"/>
          <w:szCs w:val="22"/>
        </w:rPr>
        <w:t>De lo señalado, se advierte que la legislación electoral reconoce el derecho de los partidos políticos para sustituir candidaturas, los plazos para ello y las causas</w:t>
      </w:r>
      <w:r>
        <w:rPr>
          <w:rFonts w:ascii="Arial" w:hAnsi="Arial" w:cs="Arial"/>
          <w:sz w:val="22"/>
          <w:szCs w:val="22"/>
        </w:rPr>
        <w:t>, pero</w:t>
      </w:r>
      <w:r w:rsidR="00781006">
        <w:rPr>
          <w:rFonts w:ascii="Arial" w:hAnsi="Arial" w:cs="Arial"/>
          <w:sz w:val="22"/>
          <w:szCs w:val="22"/>
        </w:rPr>
        <w:t xml:space="preserve"> en forma a</w:t>
      </w:r>
      <w:r>
        <w:rPr>
          <w:rFonts w:ascii="Arial" w:hAnsi="Arial" w:cs="Arial"/>
          <w:sz w:val="22"/>
          <w:szCs w:val="22"/>
        </w:rPr>
        <w:t>l</w:t>
      </w:r>
      <w:r w:rsidR="00781006">
        <w:rPr>
          <w:rFonts w:ascii="Arial" w:hAnsi="Arial" w:cs="Arial"/>
          <w:sz w:val="22"/>
          <w:szCs w:val="22"/>
        </w:rPr>
        <w:t xml:space="preserve">guna establece </w:t>
      </w:r>
      <w:r w:rsidR="00986A20">
        <w:rPr>
          <w:rFonts w:ascii="Arial" w:hAnsi="Arial" w:cs="Arial"/>
          <w:sz w:val="22"/>
          <w:szCs w:val="22"/>
        </w:rPr>
        <w:t>una obligación</w:t>
      </w:r>
      <w:r w:rsidR="00781006">
        <w:rPr>
          <w:rFonts w:ascii="Arial" w:hAnsi="Arial" w:cs="Arial"/>
          <w:sz w:val="22"/>
          <w:szCs w:val="22"/>
        </w:rPr>
        <w:t xml:space="preserve"> en cuanto al retiro de propaganda</w:t>
      </w:r>
      <w:r>
        <w:rPr>
          <w:rFonts w:ascii="Arial" w:hAnsi="Arial" w:cs="Arial"/>
          <w:sz w:val="22"/>
          <w:szCs w:val="22"/>
        </w:rPr>
        <w:t>.</w:t>
      </w:r>
    </w:p>
    <w:p w14:paraId="46F92832" w14:textId="77777777" w:rsidR="00986A20" w:rsidRDefault="00986A20" w:rsidP="00061960">
      <w:pPr>
        <w:pStyle w:val="NormalWeb"/>
        <w:shd w:val="clear" w:color="auto" w:fill="FFFFFF"/>
        <w:spacing w:before="0" w:beforeAutospacing="0" w:after="0" w:afterAutospacing="0" w:line="360" w:lineRule="auto"/>
        <w:jc w:val="both"/>
        <w:rPr>
          <w:rFonts w:ascii="Arial" w:hAnsi="Arial" w:cs="Arial"/>
          <w:sz w:val="22"/>
          <w:szCs w:val="22"/>
        </w:rPr>
      </w:pPr>
    </w:p>
    <w:p w14:paraId="45406653" w14:textId="7C1FAC13" w:rsidR="00781006" w:rsidRDefault="00986A20" w:rsidP="003A0E81">
      <w:pPr>
        <w:spacing w:line="360" w:lineRule="auto"/>
        <w:jc w:val="both"/>
        <w:rPr>
          <w:rFonts w:ascii="Arial" w:hAnsi="Arial" w:cs="Arial"/>
          <w:sz w:val="22"/>
          <w:szCs w:val="22"/>
        </w:rPr>
      </w:pPr>
      <w:r>
        <w:rPr>
          <w:rFonts w:ascii="Arial" w:hAnsi="Arial" w:cs="Arial"/>
          <w:color w:val="000000"/>
          <w:sz w:val="22"/>
          <w:szCs w:val="22"/>
        </w:rPr>
        <w:t xml:space="preserve">Por lo que, la permanencia de la propaganda denunciada </w:t>
      </w:r>
      <w:r w:rsidRPr="00732DBB">
        <w:rPr>
          <w:rFonts w:ascii="Arial" w:hAnsi="Arial" w:cs="Arial"/>
          <w:color w:val="000000"/>
          <w:sz w:val="22"/>
          <w:szCs w:val="22"/>
        </w:rPr>
        <w:t>por sí sol</w:t>
      </w:r>
      <w:r>
        <w:rPr>
          <w:rFonts w:ascii="Arial" w:hAnsi="Arial" w:cs="Arial"/>
          <w:color w:val="000000"/>
          <w:sz w:val="22"/>
          <w:szCs w:val="22"/>
        </w:rPr>
        <w:t>o</w:t>
      </w:r>
      <w:r w:rsidRPr="00732DBB">
        <w:rPr>
          <w:rFonts w:ascii="Arial" w:hAnsi="Arial" w:cs="Arial"/>
          <w:color w:val="000000"/>
          <w:sz w:val="22"/>
          <w:szCs w:val="22"/>
        </w:rPr>
        <w:t> </w:t>
      </w:r>
      <w:r w:rsidRPr="0023383E">
        <w:rPr>
          <w:rFonts w:ascii="Arial" w:hAnsi="Arial" w:cs="Arial"/>
          <w:b/>
          <w:bCs/>
          <w:color w:val="000000"/>
          <w:sz w:val="22"/>
          <w:szCs w:val="22"/>
        </w:rPr>
        <w:t xml:space="preserve">no genera alguna afectación a los principios de </w:t>
      </w:r>
      <w:r>
        <w:rPr>
          <w:rFonts w:ascii="Arial" w:hAnsi="Arial" w:cs="Arial"/>
          <w:b/>
          <w:bCs/>
          <w:color w:val="000000"/>
          <w:sz w:val="22"/>
          <w:szCs w:val="22"/>
        </w:rPr>
        <w:t xml:space="preserve">equidad, </w:t>
      </w:r>
      <w:r w:rsidRPr="0023383E">
        <w:rPr>
          <w:rFonts w:ascii="Arial" w:hAnsi="Arial" w:cs="Arial"/>
          <w:b/>
          <w:bCs/>
          <w:color w:val="000000"/>
          <w:sz w:val="22"/>
          <w:szCs w:val="22"/>
        </w:rPr>
        <w:t>certeza y autenticidad del sufragio</w:t>
      </w:r>
      <w:r w:rsidRPr="00732DBB">
        <w:rPr>
          <w:rFonts w:ascii="Arial" w:hAnsi="Arial" w:cs="Arial"/>
          <w:color w:val="000000"/>
          <w:sz w:val="22"/>
          <w:szCs w:val="22"/>
        </w:rPr>
        <w:t xml:space="preserve">, debido a que, como se mencionó, la normativa aplicable prevé la posibilidad de sustitución de candidatos incluso iniciado y avanzado el periodo de campañas y la validez de los sufragios en favor del candidato finalmente registrado, </w:t>
      </w:r>
      <w:r w:rsidR="003A0E81">
        <w:rPr>
          <w:rFonts w:ascii="Arial" w:hAnsi="Arial" w:cs="Arial"/>
          <w:color w:val="000000"/>
          <w:sz w:val="22"/>
          <w:szCs w:val="22"/>
        </w:rPr>
        <w:t>sin establecer alguna medida para el retiro de la propaganda anterior.</w:t>
      </w:r>
      <w:r w:rsidR="00781006">
        <w:rPr>
          <w:rFonts w:ascii="Arial" w:hAnsi="Arial" w:cs="Arial"/>
          <w:sz w:val="22"/>
          <w:szCs w:val="22"/>
        </w:rPr>
        <w:t xml:space="preserve"> </w:t>
      </w:r>
    </w:p>
    <w:p w14:paraId="2767FC13" w14:textId="77777777" w:rsidR="00061960" w:rsidRPr="00781006" w:rsidRDefault="00061960" w:rsidP="00781006">
      <w:pPr>
        <w:spacing w:line="360" w:lineRule="auto"/>
        <w:jc w:val="both"/>
        <w:rPr>
          <w:rFonts w:ascii="Arial" w:hAnsi="Arial" w:cs="Arial"/>
          <w:sz w:val="22"/>
          <w:szCs w:val="22"/>
        </w:rPr>
      </w:pPr>
    </w:p>
    <w:p w14:paraId="0EDF5870" w14:textId="77777777" w:rsidR="00FB3624" w:rsidRDefault="00FB3624" w:rsidP="00FB3624">
      <w:pPr>
        <w:spacing w:line="360" w:lineRule="auto"/>
        <w:jc w:val="both"/>
        <w:rPr>
          <w:rFonts w:ascii="Arial" w:hAnsi="Arial" w:cs="Arial"/>
          <w:sz w:val="22"/>
          <w:szCs w:val="22"/>
        </w:rPr>
      </w:pPr>
      <w:r w:rsidRPr="007774D3">
        <w:rPr>
          <w:rFonts w:ascii="Arial" w:hAnsi="Arial" w:cs="Arial"/>
          <w:sz w:val="22"/>
          <w:szCs w:val="22"/>
        </w:rPr>
        <w:t>Esto es, en el caso concreto</w:t>
      </w:r>
      <w:r>
        <w:rPr>
          <w:rFonts w:ascii="Arial" w:hAnsi="Arial" w:cs="Arial"/>
          <w:sz w:val="22"/>
          <w:szCs w:val="22"/>
        </w:rPr>
        <w:t>,</w:t>
      </w:r>
      <w:r w:rsidRPr="007774D3">
        <w:rPr>
          <w:rFonts w:ascii="Arial" w:hAnsi="Arial" w:cs="Arial"/>
          <w:sz w:val="22"/>
          <w:szCs w:val="22"/>
        </w:rPr>
        <w:t xml:space="preserve"> existe ausencia del tipo normativo de una infracción, por lo que cabe traer a estudio la figura jurídica denominado "principio de tipicidad"</w:t>
      </w:r>
      <w:r>
        <w:rPr>
          <w:rFonts w:ascii="Arial" w:hAnsi="Arial" w:cs="Arial"/>
          <w:sz w:val="22"/>
          <w:szCs w:val="22"/>
        </w:rPr>
        <w:t>,</w:t>
      </w:r>
      <w:r w:rsidRPr="007774D3">
        <w:rPr>
          <w:rFonts w:ascii="Arial" w:hAnsi="Arial" w:cs="Arial"/>
          <w:sz w:val="22"/>
          <w:szCs w:val="22"/>
        </w:rPr>
        <w:t xml:space="preserve"> que es aplicable al Derecho Administrativo Sancionador Electoral, con sus adecuaciones y características propias, así como los principios reconocidos del </w:t>
      </w:r>
      <w:r w:rsidRPr="007774D3">
        <w:rPr>
          <w:rFonts w:ascii="Arial" w:hAnsi="Arial" w:cs="Arial"/>
          <w:i/>
          <w:iCs/>
          <w:sz w:val="22"/>
          <w:szCs w:val="22"/>
        </w:rPr>
        <w:t>Ius Puniendi</w:t>
      </w:r>
      <w:r>
        <w:rPr>
          <w:rFonts w:ascii="Arial" w:hAnsi="Arial" w:cs="Arial"/>
          <w:sz w:val="22"/>
          <w:szCs w:val="22"/>
        </w:rPr>
        <w:t>,</w:t>
      </w:r>
      <w:r w:rsidRPr="007774D3">
        <w:rPr>
          <w:rFonts w:ascii="Arial" w:hAnsi="Arial" w:cs="Arial"/>
          <w:sz w:val="22"/>
          <w:szCs w:val="22"/>
        </w:rPr>
        <w:t xml:space="preserve"> desarrollados en la teoría y en la normativa del Derecho Penal y, en época reciente, en el Derecho Administrativo Sancionador en general</w:t>
      </w:r>
      <w:r>
        <w:rPr>
          <w:rFonts w:ascii="Arial" w:hAnsi="Arial" w:cs="Arial"/>
          <w:sz w:val="22"/>
          <w:szCs w:val="22"/>
        </w:rPr>
        <w:t>;</w:t>
      </w:r>
      <w:r w:rsidRPr="007774D3">
        <w:rPr>
          <w:rFonts w:ascii="Arial" w:hAnsi="Arial" w:cs="Arial"/>
          <w:sz w:val="22"/>
          <w:szCs w:val="22"/>
        </w:rPr>
        <w:t xml:space="preserve"> lo anterior por ser un criterio sostenido por la Sala Superior del Tribunal Electoral del Poder Judicial de la Federación en la tesis relevante con la clave XLV/2002 identificada con el rubro</w:t>
      </w:r>
      <w:r>
        <w:rPr>
          <w:rFonts w:ascii="Arial" w:hAnsi="Arial" w:cs="Arial"/>
          <w:sz w:val="22"/>
          <w:szCs w:val="22"/>
        </w:rPr>
        <w:t>:</w:t>
      </w:r>
      <w:r w:rsidRPr="007774D3">
        <w:rPr>
          <w:rFonts w:ascii="Arial" w:hAnsi="Arial" w:cs="Arial"/>
          <w:sz w:val="22"/>
          <w:szCs w:val="22"/>
        </w:rPr>
        <w:t xml:space="preserve"> DERECHO ADMINISTRATIVO SANCIONADOR</w:t>
      </w:r>
      <w:r>
        <w:rPr>
          <w:rFonts w:ascii="Arial" w:hAnsi="Arial" w:cs="Arial"/>
          <w:sz w:val="22"/>
          <w:szCs w:val="22"/>
        </w:rPr>
        <w:t xml:space="preserve"> </w:t>
      </w:r>
      <w:r w:rsidRPr="007774D3">
        <w:rPr>
          <w:rFonts w:ascii="Arial" w:hAnsi="Arial" w:cs="Arial"/>
          <w:sz w:val="22"/>
          <w:szCs w:val="22"/>
        </w:rPr>
        <w:t>ELECTORAL. LE SON APLICABLES LOS PRINCIPIOS DEL IUS PUNIENDI DESARROLLADOS POR EL DERECHO PENAL</w:t>
      </w:r>
      <w:r>
        <w:rPr>
          <w:rFonts w:ascii="Arial" w:hAnsi="Arial" w:cs="Arial"/>
          <w:sz w:val="22"/>
          <w:szCs w:val="22"/>
        </w:rPr>
        <w:t>.</w:t>
      </w:r>
    </w:p>
    <w:p w14:paraId="29507570" w14:textId="77777777" w:rsidR="00FB3624" w:rsidRDefault="00FB3624" w:rsidP="00FB3624">
      <w:pPr>
        <w:spacing w:line="360" w:lineRule="auto"/>
        <w:jc w:val="both"/>
        <w:rPr>
          <w:rFonts w:ascii="Arial" w:hAnsi="Arial" w:cs="Arial"/>
          <w:sz w:val="22"/>
          <w:szCs w:val="22"/>
        </w:rPr>
      </w:pPr>
    </w:p>
    <w:p w14:paraId="0EB61EBC" w14:textId="77777777" w:rsidR="00FB3624" w:rsidRDefault="00FB3624" w:rsidP="00FB3624">
      <w:pPr>
        <w:spacing w:line="360" w:lineRule="auto"/>
        <w:jc w:val="both"/>
        <w:rPr>
          <w:rFonts w:ascii="Arial" w:hAnsi="Arial" w:cs="Arial"/>
          <w:sz w:val="22"/>
          <w:szCs w:val="22"/>
        </w:rPr>
      </w:pPr>
      <w:r w:rsidRPr="007774D3">
        <w:rPr>
          <w:rFonts w:ascii="Arial" w:hAnsi="Arial" w:cs="Arial"/>
          <w:sz w:val="22"/>
          <w:szCs w:val="22"/>
        </w:rPr>
        <w:t>Lo anterior</w:t>
      </w:r>
      <w:r>
        <w:rPr>
          <w:rFonts w:ascii="Arial" w:hAnsi="Arial" w:cs="Arial"/>
          <w:sz w:val="22"/>
          <w:szCs w:val="22"/>
        </w:rPr>
        <w:t xml:space="preserve"> </w:t>
      </w:r>
      <w:r w:rsidRPr="007774D3">
        <w:rPr>
          <w:rFonts w:ascii="Arial" w:hAnsi="Arial" w:cs="Arial"/>
          <w:sz w:val="22"/>
          <w:szCs w:val="22"/>
        </w:rPr>
        <w:t xml:space="preserve">cobra relevancia para decir que, en el ámbito del Derecho Administrativo Sancionador, el ilícito, falta, infracción o contravención normativa, en sentido </w:t>
      </w:r>
      <w:r w:rsidRPr="007774D3">
        <w:rPr>
          <w:rFonts w:ascii="Arial" w:hAnsi="Arial" w:cs="Arial"/>
          <w:i/>
          <w:iCs/>
          <w:sz w:val="22"/>
          <w:szCs w:val="22"/>
        </w:rPr>
        <w:t>lato</w:t>
      </w:r>
      <w:r w:rsidRPr="007774D3">
        <w:rPr>
          <w:rFonts w:ascii="Arial" w:hAnsi="Arial" w:cs="Arial"/>
          <w:sz w:val="22"/>
          <w:szCs w:val="22"/>
        </w:rPr>
        <w:t xml:space="preserve">, se identifica como la conducta antijurídica, típica y culpable, que un sujeto de </w:t>
      </w:r>
      <w:r>
        <w:rPr>
          <w:rFonts w:ascii="Arial" w:hAnsi="Arial" w:cs="Arial"/>
          <w:sz w:val="22"/>
          <w:szCs w:val="22"/>
        </w:rPr>
        <w:t>d</w:t>
      </w:r>
      <w:r w:rsidRPr="007774D3">
        <w:rPr>
          <w:rFonts w:ascii="Arial" w:hAnsi="Arial" w:cs="Arial"/>
          <w:sz w:val="22"/>
          <w:szCs w:val="22"/>
        </w:rPr>
        <w:t>erecho lleva a cabo</w:t>
      </w:r>
      <w:r>
        <w:rPr>
          <w:rFonts w:ascii="Arial" w:hAnsi="Arial" w:cs="Arial"/>
          <w:sz w:val="22"/>
          <w:szCs w:val="22"/>
        </w:rPr>
        <w:t>;</w:t>
      </w:r>
      <w:r w:rsidRPr="007774D3">
        <w:rPr>
          <w:rFonts w:ascii="Arial" w:hAnsi="Arial" w:cs="Arial"/>
          <w:sz w:val="22"/>
          <w:szCs w:val="22"/>
        </w:rPr>
        <w:t xml:space="preserve"> con la cual, conculca el vigente sistema normativo, por tanto, ante la comisión de esa conducta antijurídica, típica y culpable, el legislador prevé como consecuencia por regla, la imposición de una sanción para el sujeto activo o responsable de dicha conducta.</w:t>
      </w:r>
    </w:p>
    <w:p w14:paraId="7BC5CBFD" w14:textId="77777777" w:rsidR="00FB3624" w:rsidRDefault="00FB3624" w:rsidP="00FB3624">
      <w:pPr>
        <w:spacing w:line="360" w:lineRule="auto"/>
        <w:jc w:val="both"/>
        <w:rPr>
          <w:rFonts w:ascii="Arial" w:hAnsi="Arial" w:cs="Arial"/>
          <w:sz w:val="22"/>
          <w:szCs w:val="22"/>
        </w:rPr>
      </w:pPr>
    </w:p>
    <w:p w14:paraId="6E2FA3DD" w14:textId="77777777" w:rsidR="00FB3624" w:rsidRDefault="00FB3624" w:rsidP="00FB3624">
      <w:pPr>
        <w:spacing w:line="360" w:lineRule="auto"/>
        <w:jc w:val="both"/>
        <w:rPr>
          <w:rFonts w:ascii="Arial" w:hAnsi="Arial" w:cs="Arial"/>
          <w:sz w:val="22"/>
          <w:szCs w:val="22"/>
        </w:rPr>
      </w:pPr>
      <w:r w:rsidRPr="007774D3">
        <w:rPr>
          <w:rFonts w:ascii="Arial" w:hAnsi="Arial" w:cs="Arial"/>
          <w:sz w:val="22"/>
          <w:szCs w:val="22"/>
        </w:rPr>
        <w:t>En efecto, para que la conducta (ya sea de acción u omisión) se considere constitutiva de una falta o infracción administrativa debe estar previa y expresamente prevista o tipificada en la vigente normativa electoral aplicable. Por ello tanto en Derecho Penal como en el Derecho Administrativo Sancionador, rige el principio de estricta aplicación de la ley, en cuanto que no se puede imponer una sanción por simple analogía y tampoco por mayoría de razón; sólo se puede imponer sanción en los supuestos previstos en la ley, por la comisión de una conducta expresamente descrita como antijuridica. Tal razonamiento encuentra su fundamento en el tercer párrafo del artículo 14 de la Constitución Política de los Estados Unidos Mexicanos</w:t>
      </w:r>
      <w:r>
        <w:rPr>
          <w:rFonts w:ascii="Arial" w:hAnsi="Arial" w:cs="Arial"/>
          <w:sz w:val="22"/>
          <w:szCs w:val="22"/>
        </w:rPr>
        <w:t>; además s</w:t>
      </w:r>
      <w:r w:rsidRPr="007774D3">
        <w:rPr>
          <w:rFonts w:ascii="Arial" w:hAnsi="Arial" w:cs="Arial"/>
          <w:sz w:val="22"/>
          <w:szCs w:val="22"/>
        </w:rPr>
        <w:t>ustenta lo anterior, el criterio de la señalada Sala Superior en la tesis XLV/20015: "</w:t>
      </w:r>
      <w:r w:rsidRPr="007774D3">
        <w:rPr>
          <w:rFonts w:ascii="Arial" w:hAnsi="Arial" w:cs="Arial"/>
          <w:b/>
          <w:bCs/>
          <w:sz w:val="22"/>
          <w:szCs w:val="22"/>
        </w:rPr>
        <w:t>ANALOGÍA Y MAYORÍA DE RAZÓN. ALCANCES EN EL PROCEDIMIENTO ADMINISTRATIVO SANCIONADOR ELECTORAL</w:t>
      </w:r>
      <w:r w:rsidRPr="007774D3">
        <w:rPr>
          <w:rFonts w:ascii="Arial" w:hAnsi="Arial" w:cs="Arial"/>
          <w:sz w:val="22"/>
          <w:szCs w:val="22"/>
        </w:rPr>
        <w:t>".</w:t>
      </w:r>
    </w:p>
    <w:p w14:paraId="34AE5856" w14:textId="77777777" w:rsidR="00FB3624" w:rsidRDefault="00FB3624" w:rsidP="00FB3624">
      <w:pPr>
        <w:spacing w:line="360" w:lineRule="auto"/>
        <w:jc w:val="both"/>
        <w:rPr>
          <w:rFonts w:ascii="Arial" w:hAnsi="Arial" w:cs="Arial"/>
          <w:sz w:val="22"/>
          <w:szCs w:val="22"/>
        </w:rPr>
      </w:pPr>
    </w:p>
    <w:p w14:paraId="1F7FA93F" w14:textId="73CBC94D" w:rsidR="00FB3624" w:rsidRDefault="00FB3624" w:rsidP="00FB3624">
      <w:pPr>
        <w:spacing w:line="360" w:lineRule="auto"/>
        <w:jc w:val="both"/>
        <w:rPr>
          <w:rFonts w:ascii="Arial" w:hAnsi="Arial" w:cs="Arial"/>
          <w:bCs/>
          <w:sz w:val="22"/>
          <w:szCs w:val="22"/>
        </w:rPr>
      </w:pPr>
      <w:r w:rsidRPr="007774D3">
        <w:rPr>
          <w:rFonts w:ascii="Arial" w:hAnsi="Arial" w:cs="Arial"/>
          <w:sz w:val="22"/>
          <w:szCs w:val="22"/>
        </w:rPr>
        <w:lastRenderedPageBreak/>
        <w:t>Por otro lado, es pertinente advertir la diferencia entre ausencia de "tipo" y ausencia de tipicidad</w:t>
      </w:r>
      <w:r>
        <w:rPr>
          <w:rFonts w:ascii="Arial" w:hAnsi="Arial" w:cs="Arial"/>
          <w:sz w:val="22"/>
          <w:szCs w:val="22"/>
        </w:rPr>
        <w:t>;</w:t>
      </w:r>
      <w:r w:rsidRPr="007774D3">
        <w:rPr>
          <w:rFonts w:ascii="Arial" w:hAnsi="Arial" w:cs="Arial"/>
          <w:sz w:val="22"/>
          <w:szCs w:val="22"/>
        </w:rPr>
        <w:t xml:space="preserve"> la primera se presenta cuando el legislador, deliberada o inadvertidamente, omite describir una conducta como delito, falta o infracción administrativa; en tanto que la ausencia de tipicidad</w:t>
      </w:r>
      <w:r>
        <w:rPr>
          <w:rFonts w:ascii="Arial" w:hAnsi="Arial" w:cs="Arial"/>
          <w:sz w:val="22"/>
          <w:szCs w:val="22"/>
        </w:rPr>
        <w:t xml:space="preserve"> </w:t>
      </w:r>
      <w:r w:rsidRPr="007774D3">
        <w:rPr>
          <w:rFonts w:ascii="Arial" w:hAnsi="Arial" w:cs="Arial"/>
          <w:sz w:val="22"/>
          <w:szCs w:val="22"/>
        </w:rPr>
        <w:t>surge cuando existe el tipo, pero la conducta cometida no encuadra, no se ajusta, no se adecua o no se amolda al tipo legalmente establecido.</w:t>
      </w:r>
      <w:r>
        <w:rPr>
          <w:rFonts w:ascii="Arial" w:hAnsi="Arial" w:cs="Arial"/>
          <w:sz w:val="22"/>
          <w:szCs w:val="22"/>
        </w:rPr>
        <w:t xml:space="preserve"> </w:t>
      </w:r>
      <w:r w:rsidRPr="007774D3">
        <w:rPr>
          <w:rFonts w:ascii="Arial" w:hAnsi="Arial" w:cs="Arial"/>
          <w:bCs/>
          <w:sz w:val="22"/>
          <w:szCs w:val="22"/>
        </w:rPr>
        <w:t xml:space="preserve">Por ello, en el caso concreto, la </w:t>
      </w:r>
      <w:r w:rsidR="00807042">
        <w:rPr>
          <w:rFonts w:ascii="Arial" w:hAnsi="Arial" w:cs="Arial"/>
          <w:bCs/>
          <w:sz w:val="22"/>
          <w:szCs w:val="22"/>
        </w:rPr>
        <w:t xml:space="preserve">omisión </w:t>
      </w:r>
      <w:r w:rsidRPr="007774D3">
        <w:rPr>
          <w:rFonts w:ascii="Arial" w:hAnsi="Arial" w:cs="Arial"/>
          <w:bCs/>
          <w:sz w:val="22"/>
          <w:szCs w:val="22"/>
        </w:rPr>
        <w:t>que se atribuyó al denunciado no está prevista legalmente como una falta administrativa o infracción, esto es, existe ausencia del "tipo" normativo, en consecuencia, tampoco sería fundado aplicar una sanción</w:t>
      </w:r>
      <w:r>
        <w:rPr>
          <w:rFonts w:ascii="Arial" w:hAnsi="Arial" w:cs="Arial"/>
          <w:bCs/>
          <w:sz w:val="22"/>
          <w:szCs w:val="22"/>
        </w:rPr>
        <w:t>.</w:t>
      </w:r>
    </w:p>
    <w:p w14:paraId="342F1D43" w14:textId="77777777" w:rsidR="00FB3624" w:rsidRDefault="00FB3624" w:rsidP="001C20E4">
      <w:pPr>
        <w:spacing w:line="360" w:lineRule="auto"/>
        <w:jc w:val="both"/>
        <w:rPr>
          <w:rFonts w:ascii="Arial" w:hAnsi="Arial" w:cs="Arial"/>
          <w:sz w:val="22"/>
          <w:szCs w:val="22"/>
        </w:rPr>
      </w:pPr>
    </w:p>
    <w:p w14:paraId="4DD1DCE6" w14:textId="6A9ADD37" w:rsidR="001C20E4" w:rsidRDefault="001C20E4" w:rsidP="001C20E4">
      <w:pPr>
        <w:spacing w:line="360" w:lineRule="auto"/>
        <w:jc w:val="both"/>
        <w:rPr>
          <w:rFonts w:ascii="Arial" w:hAnsi="Arial" w:cs="Arial"/>
          <w:sz w:val="22"/>
          <w:szCs w:val="22"/>
        </w:rPr>
      </w:pPr>
      <w:r>
        <w:rPr>
          <w:rFonts w:ascii="Arial" w:hAnsi="Arial" w:cs="Arial"/>
          <w:sz w:val="22"/>
          <w:szCs w:val="22"/>
        </w:rPr>
        <w:t xml:space="preserve">En consecuencia, este Tribunal estima </w:t>
      </w:r>
      <w:r w:rsidRPr="00FF7FAC">
        <w:rPr>
          <w:rFonts w:ascii="Arial" w:hAnsi="Arial" w:cs="Arial"/>
          <w:b/>
          <w:bCs/>
          <w:sz w:val="22"/>
          <w:szCs w:val="22"/>
        </w:rPr>
        <w:t>inexistente</w:t>
      </w:r>
      <w:r>
        <w:rPr>
          <w:rFonts w:ascii="Arial" w:hAnsi="Arial" w:cs="Arial"/>
          <w:sz w:val="22"/>
          <w:szCs w:val="22"/>
        </w:rPr>
        <w:t xml:space="preserve"> la infracción denunciada, puesto que como ya fue debidamente razonado, la parte denunciada y el PAN no contaban con la obligación ni la orden jurisdiccional expresa de retirar la publicidad una vez que fue declarada improcedente la candidatura respectiva; sin embargo, al no existir mayores indicios de publicidad </w:t>
      </w:r>
      <w:r w:rsidR="00807042">
        <w:rPr>
          <w:rFonts w:ascii="Arial" w:hAnsi="Arial" w:cs="Arial"/>
          <w:sz w:val="22"/>
          <w:szCs w:val="22"/>
        </w:rPr>
        <w:t>más</w:t>
      </w:r>
      <w:r>
        <w:rPr>
          <w:rFonts w:ascii="Arial" w:hAnsi="Arial" w:cs="Arial"/>
          <w:sz w:val="22"/>
          <w:szCs w:val="22"/>
        </w:rPr>
        <w:t xml:space="preserve"> que las cuatro lonas fijadas en domicilios particulares, la única obligación legal existente, resulta ser el deber de</w:t>
      </w:r>
      <w:r w:rsidRPr="006F6B14">
        <w:rPr>
          <w:rFonts w:ascii="Arial" w:hAnsi="Arial" w:cs="Arial"/>
          <w:sz w:val="22"/>
          <w:szCs w:val="22"/>
        </w:rPr>
        <w:t xml:space="preserve"> retir</w:t>
      </w:r>
      <w:r>
        <w:rPr>
          <w:rFonts w:ascii="Arial" w:hAnsi="Arial" w:cs="Arial"/>
          <w:sz w:val="22"/>
          <w:szCs w:val="22"/>
        </w:rPr>
        <w:t>ar</w:t>
      </w:r>
      <w:r w:rsidRPr="006F6B14">
        <w:rPr>
          <w:rFonts w:ascii="Arial" w:hAnsi="Arial" w:cs="Arial"/>
          <w:sz w:val="22"/>
          <w:szCs w:val="22"/>
        </w:rPr>
        <w:t xml:space="preserve"> </w:t>
      </w:r>
      <w:r>
        <w:rPr>
          <w:rFonts w:ascii="Arial" w:hAnsi="Arial" w:cs="Arial"/>
          <w:sz w:val="22"/>
          <w:szCs w:val="22"/>
        </w:rPr>
        <w:t>la propaganda</w:t>
      </w:r>
      <w:r w:rsidRPr="006F6B14">
        <w:rPr>
          <w:rFonts w:ascii="Arial" w:hAnsi="Arial" w:cs="Arial"/>
          <w:sz w:val="22"/>
          <w:szCs w:val="22"/>
        </w:rPr>
        <w:t xml:space="preserve"> dentro de un plazo de treinta días después de celebradas las elecciones.</w:t>
      </w:r>
    </w:p>
    <w:p w14:paraId="071454C6" w14:textId="5A1E86B7" w:rsidR="001C20E4" w:rsidRDefault="001C20E4" w:rsidP="001C20E4">
      <w:pPr>
        <w:spacing w:line="360" w:lineRule="auto"/>
        <w:jc w:val="both"/>
        <w:rPr>
          <w:rFonts w:ascii="Arial" w:hAnsi="Arial" w:cs="Arial"/>
          <w:sz w:val="22"/>
          <w:szCs w:val="22"/>
        </w:rPr>
      </w:pPr>
    </w:p>
    <w:p w14:paraId="3A37261D" w14:textId="77777777" w:rsidR="00E361D9" w:rsidRPr="006F1846" w:rsidRDefault="00E361D9" w:rsidP="00E361D9">
      <w:pPr>
        <w:spacing w:line="360" w:lineRule="auto"/>
        <w:jc w:val="both"/>
        <w:rPr>
          <w:rFonts w:ascii="Arial" w:hAnsi="Arial" w:cs="Arial"/>
          <w:b/>
          <w:bCs/>
          <w:sz w:val="22"/>
          <w:szCs w:val="22"/>
        </w:rPr>
      </w:pPr>
      <w:r w:rsidRPr="006F1846">
        <w:rPr>
          <w:rFonts w:ascii="Arial" w:hAnsi="Arial" w:cs="Arial"/>
          <w:b/>
          <w:bCs/>
          <w:sz w:val="22"/>
          <w:szCs w:val="22"/>
        </w:rPr>
        <w:t>1</w:t>
      </w:r>
      <w:r>
        <w:rPr>
          <w:rFonts w:ascii="Arial" w:hAnsi="Arial" w:cs="Arial"/>
          <w:b/>
          <w:bCs/>
          <w:sz w:val="22"/>
          <w:szCs w:val="22"/>
        </w:rPr>
        <w:t>1</w:t>
      </w:r>
      <w:r w:rsidRPr="006F1846">
        <w:rPr>
          <w:rFonts w:ascii="Arial" w:hAnsi="Arial" w:cs="Arial"/>
          <w:b/>
          <w:bCs/>
          <w:sz w:val="22"/>
          <w:szCs w:val="22"/>
        </w:rPr>
        <w:t>. RESOLUTIVOS.</w:t>
      </w:r>
    </w:p>
    <w:p w14:paraId="70BDFDD3" w14:textId="77777777" w:rsidR="00E361D9" w:rsidRPr="006F1846" w:rsidRDefault="00E361D9" w:rsidP="00E361D9">
      <w:pPr>
        <w:spacing w:line="360" w:lineRule="auto"/>
        <w:jc w:val="both"/>
        <w:rPr>
          <w:rFonts w:ascii="Arial" w:hAnsi="Arial" w:cs="Arial"/>
          <w:sz w:val="22"/>
          <w:szCs w:val="22"/>
        </w:rPr>
      </w:pPr>
    </w:p>
    <w:p w14:paraId="43BF78F2" w14:textId="77777777" w:rsidR="00E361D9" w:rsidRPr="006F1846" w:rsidRDefault="00E361D9" w:rsidP="00E361D9">
      <w:pPr>
        <w:spacing w:line="360" w:lineRule="auto"/>
        <w:jc w:val="both"/>
        <w:rPr>
          <w:rFonts w:ascii="Arial" w:hAnsi="Arial" w:cs="Arial"/>
          <w:sz w:val="22"/>
          <w:szCs w:val="22"/>
        </w:rPr>
      </w:pPr>
      <w:r w:rsidRPr="006F1846">
        <w:rPr>
          <w:rFonts w:ascii="Arial" w:hAnsi="Arial" w:cs="Arial"/>
          <w:b/>
          <w:bCs/>
          <w:sz w:val="22"/>
          <w:szCs w:val="22"/>
        </w:rPr>
        <w:t>UNICO:</w:t>
      </w:r>
      <w:r w:rsidRPr="006F1846">
        <w:rPr>
          <w:rFonts w:ascii="Arial" w:hAnsi="Arial" w:cs="Arial"/>
          <w:sz w:val="22"/>
          <w:szCs w:val="22"/>
        </w:rPr>
        <w:t xml:space="preserve"> Se declara la inexistencia de las infracciones.</w:t>
      </w:r>
    </w:p>
    <w:p w14:paraId="238FA7F8" w14:textId="77777777" w:rsidR="00E361D9" w:rsidRPr="006F1846" w:rsidRDefault="00E361D9" w:rsidP="00E361D9">
      <w:pPr>
        <w:spacing w:line="360" w:lineRule="auto"/>
        <w:jc w:val="both"/>
        <w:rPr>
          <w:rFonts w:ascii="Arial" w:hAnsi="Arial" w:cs="Arial"/>
          <w:sz w:val="22"/>
          <w:szCs w:val="22"/>
        </w:rPr>
      </w:pPr>
    </w:p>
    <w:p w14:paraId="592B9694" w14:textId="77777777" w:rsidR="00E361D9" w:rsidRDefault="00E361D9" w:rsidP="00E361D9">
      <w:pPr>
        <w:spacing w:line="360" w:lineRule="auto"/>
        <w:jc w:val="both"/>
        <w:rPr>
          <w:rFonts w:ascii="Arial" w:hAnsi="Arial" w:cs="Arial"/>
          <w:sz w:val="22"/>
          <w:szCs w:val="22"/>
        </w:rPr>
      </w:pPr>
      <w:r w:rsidRPr="006F1846">
        <w:rPr>
          <w:rFonts w:ascii="Arial" w:hAnsi="Arial" w:cs="Arial"/>
          <w:b/>
          <w:bCs/>
          <w:sz w:val="22"/>
          <w:szCs w:val="22"/>
        </w:rPr>
        <w:t>Notifíquese.</w:t>
      </w:r>
      <w:r w:rsidRPr="006F1846">
        <w:rPr>
          <w:rFonts w:ascii="Arial" w:hAnsi="Arial" w:cs="Arial"/>
          <w:sz w:val="22"/>
          <w:szCs w:val="22"/>
        </w:rPr>
        <w:t xml:space="preserve"> Así lo resolvió el Tribunal Electoral del Estado de Aguascalientes, por unanimidad de votos de las Magistradas y Magistrado que lo integran, ante el </w:t>
      </w:r>
      <w:proofErr w:type="gramStart"/>
      <w:r w:rsidRPr="006F1846">
        <w:rPr>
          <w:rFonts w:ascii="Arial" w:hAnsi="Arial" w:cs="Arial"/>
          <w:sz w:val="22"/>
          <w:szCs w:val="22"/>
        </w:rPr>
        <w:t>Secretario General</w:t>
      </w:r>
      <w:proofErr w:type="gramEnd"/>
      <w:r w:rsidRPr="006F1846">
        <w:rPr>
          <w:rFonts w:ascii="Arial" w:hAnsi="Arial" w:cs="Arial"/>
          <w:sz w:val="22"/>
          <w:szCs w:val="22"/>
        </w:rPr>
        <w:t xml:space="preserve"> de Acuerdos, quien autoriza y da fe.</w:t>
      </w:r>
    </w:p>
    <w:p w14:paraId="783CA286" w14:textId="77777777" w:rsidR="00E361D9" w:rsidRDefault="00E361D9" w:rsidP="00E361D9">
      <w:pPr>
        <w:spacing w:line="360" w:lineRule="auto"/>
        <w:jc w:val="both"/>
        <w:rPr>
          <w:rFonts w:ascii="Arial" w:hAnsi="Arial" w:cs="Arial"/>
          <w:sz w:val="22"/>
          <w:szCs w:val="22"/>
        </w:rPr>
      </w:pPr>
    </w:p>
    <w:tbl>
      <w:tblPr>
        <w:tblW w:w="8815" w:type="dxa"/>
        <w:jc w:val="center"/>
        <w:tblBorders>
          <w:top w:val="nil"/>
          <w:left w:val="nil"/>
          <w:bottom w:val="nil"/>
          <w:right w:val="nil"/>
          <w:insideH w:val="nil"/>
          <w:insideV w:val="nil"/>
        </w:tblBorders>
        <w:tblLayout w:type="fixed"/>
        <w:tblLook w:val="0400" w:firstRow="0" w:lastRow="0" w:firstColumn="0" w:lastColumn="0" w:noHBand="0" w:noVBand="1"/>
      </w:tblPr>
      <w:tblGrid>
        <w:gridCol w:w="4405"/>
        <w:gridCol w:w="4410"/>
      </w:tblGrid>
      <w:tr w:rsidR="00E361D9" w:rsidRPr="005833FF" w14:paraId="191AC001" w14:textId="77777777" w:rsidTr="00AA3743">
        <w:trPr>
          <w:trHeight w:val="2024"/>
          <w:jc w:val="center"/>
        </w:trPr>
        <w:tc>
          <w:tcPr>
            <w:tcW w:w="8815" w:type="dxa"/>
            <w:gridSpan w:val="2"/>
          </w:tcPr>
          <w:p w14:paraId="4933EB0F"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67CD8C5E"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538EDDE5"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2AE37BAD"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740C5B62" w14:textId="77777777" w:rsidR="00E361D9" w:rsidRPr="005833FF" w:rsidRDefault="00E361D9" w:rsidP="00AA3743">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E361D9" w:rsidRPr="005833FF" w14:paraId="24DD3F35" w14:textId="77777777" w:rsidTr="00AA3743">
        <w:trPr>
          <w:trHeight w:val="1872"/>
          <w:jc w:val="center"/>
        </w:trPr>
        <w:tc>
          <w:tcPr>
            <w:tcW w:w="4405" w:type="dxa"/>
          </w:tcPr>
          <w:p w14:paraId="3244B484"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0CDF0BE"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479952C2"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6008BCFC"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4A46E796"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09" w:type="dxa"/>
          </w:tcPr>
          <w:p w14:paraId="1D2F4FBE"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3B12F53B"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61569DAA"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52EB7CAA"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2F1A73E7"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E361D9" w:rsidRPr="005833FF" w14:paraId="1DB24A1F" w14:textId="77777777" w:rsidTr="00AA3743">
        <w:trPr>
          <w:trHeight w:val="1505"/>
          <w:jc w:val="center"/>
        </w:trPr>
        <w:tc>
          <w:tcPr>
            <w:tcW w:w="8815" w:type="dxa"/>
            <w:gridSpan w:val="2"/>
          </w:tcPr>
          <w:p w14:paraId="56CEA95F"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5144888A"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4D36E69B"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4E39A54B"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p>
          <w:p w14:paraId="1487180C" w14:textId="77777777" w:rsidR="00E361D9" w:rsidRPr="005833FF" w:rsidRDefault="00E361D9" w:rsidP="00AA3743">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5BD23EDB" w14:textId="77777777" w:rsidR="00E361D9" w:rsidRPr="005833FF" w:rsidRDefault="00E361D9" w:rsidP="00E361D9">
      <w:pPr>
        <w:pStyle w:val="Prrafodelista"/>
        <w:ind w:left="0"/>
        <w:jc w:val="both"/>
        <w:rPr>
          <w:rFonts w:ascii="Arial" w:hAnsi="Arial" w:cs="Arial"/>
          <w:sz w:val="22"/>
          <w:szCs w:val="22"/>
        </w:rPr>
      </w:pPr>
    </w:p>
    <w:p w14:paraId="60230301" w14:textId="77777777" w:rsidR="00E361D9" w:rsidRDefault="00E361D9" w:rsidP="001C20E4">
      <w:pPr>
        <w:spacing w:line="360" w:lineRule="auto"/>
        <w:jc w:val="both"/>
        <w:rPr>
          <w:rFonts w:ascii="Arial" w:hAnsi="Arial" w:cs="Arial"/>
          <w:sz w:val="22"/>
          <w:szCs w:val="22"/>
        </w:rPr>
      </w:pPr>
    </w:p>
    <w:sectPr w:rsidR="00E361D9" w:rsidSect="00C27EBE">
      <w:headerReference w:type="even" r:id="rId41"/>
      <w:headerReference w:type="default" r:id="rId42"/>
      <w:footerReference w:type="even" r:id="rId43"/>
      <w:footerReference w:type="default" r:id="rId44"/>
      <w:headerReference w:type="first" r:id="rId45"/>
      <w:footerReference w:type="first" r:id="rId46"/>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ABA99" w14:textId="77777777" w:rsidR="00792BBC" w:rsidRDefault="00792BBC">
      <w:r>
        <w:separator/>
      </w:r>
    </w:p>
  </w:endnote>
  <w:endnote w:type="continuationSeparator" w:id="0">
    <w:p w14:paraId="180B295D" w14:textId="77777777" w:rsidR="00792BBC" w:rsidRDefault="0079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F40BF" w14:textId="77777777" w:rsidR="00792BBC" w:rsidRDefault="00792BBC">
      <w:r>
        <w:separator/>
      </w:r>
    </w:p>
  </w:footnote>
  <w:footnote w:type="continuationSeparator" w:id="0">
    <w:p w14:paraId="3D1B68D4" w14:textId="77777777" w:rsidR="00792BBC" w:rsidRDefault="00792BBC">
      <w:r>
        <w:continuationSeparator/>
      </w:r>
    </w:p>
  </w:footnote>
  <w:footnote w:id="1">
    <w:p w14:paraId="1A3CF17D" w14:textId="6EF9023E" w:rsidR="005337D4" w:rsidRPr="00834A84" w:rsidRDefault="005337D4" w:rsidP="005337D4">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Pr>
          <w:rFonts w:ascii="Arial" w:hAnsi="Arial" w:cs="Arial"/>
          <w:sz w:val="18"/>
          <w:szCs w:val="18"/>
        </w:rPr>
        <w:t>lunes siete de junio a las quince horas con treinta minutos.</w:t>
      </w:r>
    </w:p>
  </w:footnote>
  <w:footnote w:id="2">
    <w:p w14:paraId="495517D0"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607F686B"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12D5B341"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2B4A8B0C" w14:textId="77777777" w:rsidR="008155D6" w:rsidRPr="00834A84" w:rsidRDefault="008155D6" w:rsidP="008155D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3">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4">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122BF033" w:rsidR="002F5D1B" w:rsidRDefault="002D0103">
    <w:pPr>
      <w:pBdr>
        <w:top w:val="nil"/>
        <w:left w:val="nil"/>
        <w:bottom w:val="nil"/>
        <w:right w:val="nil"/>
        <w:between w:val="nil"/>
      </w:pBdr>
      <w:tabs>
        <w:tab w:val="center" w:pos="4419"/>
        <w:tab w:val="right" w:pos="8838"/>
      </w:tabs>
      <w:rPr>
        <w:color w:val="000000"/>
      </w:rPr>
    </w:pPr>
    <w:r>
      <w:rPr>
        <w:noProof/>
      </w:rPr>
      <w:pict w14:anchorId="6BC57B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61657"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293120CB" w:rsidR="002F5D1B" w:rsidRDefault="002D0103">
    <w:pPr>
      <w:pBdr>
        <w:top w:val="nil"/>
        <w:left w:val="nil"/>
        <w:bottom w:val="nil"/>
        <w:right w:val="nil"/>
        <w:between w:val="nil"/>
      </w:pBdr>
      <w:tabs>
        <w:tab w:val="center" w:pos="4419"/>
        <w:tab w:val="right" w:pos="8838"/>
      </w:tabs>
      <w:rPr>
        <w:color w:val="000000"/>
      </w:rPr>
    </w:pPr>
    <w:r>
      <w:rPr>
        <w:noProof/>
      </w:rPr>
      <w:pict w14:anchorId="7CA38B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61658"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076AE807" w:rsidR="002F5D1B" w:rsidRDefault="002D0103">
    <w:pPr>
      <w:pBdr>
        <w:top w:val="nil"/>
        <w:left w:val="nil"/>
        <w:bottom w:val="nil"/>
        <w:right w:val="nil"/>
        <w:between w:val="nil"/>
      </w:pBdr>
      <w:tabs>
        <w:tab w:val="center" w:pos="4419"/>
        <w:tab w:val="right" w:pos="8838"/>
      </w:tabs>
      <w:rPr>
        <w:color w:val="000000"/>
      </w:rPr>
    </w:pPr>
    <w:r>
      <w:rPr>
        <w:noProof/>
      </w:rPr>
      <w:pict w14:anchorId="4144CC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61656"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3"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980210"/>
    <w:multiLevelType w:val="hybridMultilevel"/>
    <w:tmpl w:val="3EF485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2"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AB6DC6"/>
    <w:multiLevelType w:val="hybridMultilevel"/>
    <w:tmpl w:val="EA42A370"/>
    <w:lvl w:ilvl="0" w:tplc="83666A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5829E8"/>
    <w:multiLevelType w:val="hybridMultilevel"/>
    <w:tmpl w:val="68AA98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1"/>
  </w:num>
  <w:num w:numId="4">
    <w:abstractNumId w:val="8"/>
  </w:num>
  <w:num w:numId="5">
    <w:abstractNumId w:val="10"/>
  </w:num>
  <w:num w:numId="6">
    <w:abstractNumId w:val="2"/>
  </w:num>
  <w:num w:numId="7">
    <w:abstractNumId w:val="20"/>
  </w:num>
  <w:num w:numId="8">
    <w:abstractNumId w:val="7"/>
  </w:num>
  <w:num w:numId="9">
    <w:abstractNumId w:val="16"/>
  </w:num>
  <w:num w:numId="10">
    <w:abstractNumId w:val="6"/>
  </w:num>
  <w:num w:numId="11">
    <w:abstractNumId w:val="14"/>
  </w:num>
  <w:num w:numId="12">
    <w:abstractNumId w:val="0"/>
  </w:num>
  <w:num w:numId="13">
    <w:abstractNumId w:val="15"/>
  </w:num>
  <w:num w:numId="14">
    <w:abstractNumId w:val="17"/>
  </w:num>
  <w:num w:numId="15">
    <w:abstractNumId w:val="9"/>
  </w:num>
  <w:num w:numId="16">
    <w:abstractNumId w:val="12"/>
  </w:num>
  <w:num w:numId="17">
    <w:abstractNumId w:val="3"/>
  </w:num>
  <w:num w:numId="18">
    <w:abstractNumId w:val="4"/>
  </w:num>
  <w:num w:numId="19">
    <w:abstractNumId w:val="21"/>
  </w:num>
  <w:num w:numId="20">
    <w:abstractNumId w:val="1"/>
  </w:num>
  <w:num w:numId="21">
    <w:abstractNumId w:val="19"/>
  </w:num>
  <w:num w:numId="2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6DB2"/>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1960"/>
    <w:rsid w:val="00063BCA"/>
    <w:rsid w:val="000659D4"/>
    <w:rsid w:val="00070ABA"/>
    <w:rsid w:val="00071182"/>
    <w:rsid w:val="00073638"/>
    <w:rsid w:val="000754CB"/>
    <w:rsid w:val="0007651F"/>
    <w:rsid w:val="00085CAE"/>
    <w:rsid w:val="00090A89"/>
    <w:rsid w:val="00097CA8"/>
    <w:rsid w:val="000A2E34"/>
    <w:rsid w:val="000C6AF8"/>
    <w:rsid w:val="000D0078"/>
    <w:rsid w:val="000D1289"/>
    <w:rsid w:val="000D55AB"/>
    <w:rsid w:val="000D654D"/>
    <w:rsid w:val="00101AC0"/>
    <w:rsid w:val="00103C98"/>
    <w:rsid w:val="00104498"/>
    <w:rsid w:val="00107DDF"/>
    <w:rsid w:val="0011270E"/>
    <w:rsid w:val="00112F72"/>
    <w:rsid w:val="00113035"/>
    <w:rsid w:val="00114B3E"/>
    <w:rsid w:val="00115DC8"/>
    <w:rsid w:val="001231D0"/>
    <w:rsid w:val="00123CF7"/>
    <w:rsid w:val="00126C07"/>
    <w:rsid w:val="00130C02"/>
    <w:rsid w:val="0014156F"/>
    <w:rsid w:val="001457EF"/>
    <w:rsid w:val="00147B61"/>
    <w:rsid w:val="00152A9E"/>
    <w:rsid w:val="00160FF1"/>
    <w:rsid w:val="001618A9"/>
    <w:rsid w:val="001622E7"/>
    <w:rsid w:val="00165F76"/>
    <w:rsid w:val="00180969"/>
    <w:rsid w:val="001823DF"/>
    <w:rsid w:val="00186FDB"/>
    <w:rsid w:val="00190AC3"/>
    <w:rsid w:val="0019136E"/>
    <w:rsid w:val="00191506"/>
    <w:rsid w:val="0019310A"/>
    <w:rsid w:val="0019762A"/>
    <w:rsid w:val="00197F90"/>
    <w:rsid w:val="001A1EA0"/>
    <w:rsid w:val="001A3929"/>
    <w:rsid w:val="001B3A7E"/>
    <w:rsid w:val="001B48BF"/>
    <w:rsid w:val="001B4D78"/>
    <w:rsid w:val="001C0691"/>
    <w:rsid w:val="001C140D"/>
    <w:rsid w:val="001C20E4"/>
    <w:rsid w:val="001C3B12"/>
    <w:rsid w:val="001C4650"/>
    <w:rsid w:val="001D33B4"/>
    <w:rsid w:val="001D5F42"/>
    <w:rsid w:val="001D7982"/>
    <w:rsid w:val="001E4C37"/>
    <w:rsid w:val="001F5FA2"/>
    <w:rsid w:val="001F663D"/>
    <w:rsid w:val="002011BB"/>
    <w:rsid w:val="002014B6"/>
    <w:rsid w:val="00202181"/>
    <w:rsid w:val="00202875"/>
    <w:rsid w:val="00203911"/>
    <w:rsid w:val="00206B04"/>
    <w:rsid w:val="0020740D"/>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66333"/>
    <w:rsid w:val="00266A85"/>
    <w:rsid w:val="00274430"/>
    <w:rsid w:val="0027552A"/>
    <w:rsid w:val="002771D5"/>
    <w:rsid w:val="00283ADE"/>
    <w:rsid w:val="00283D74"/>
    <w:rsid w:val="00284954"/>
    <w:rsid w:val="00285308"/>
    <w:rsid w:val="00292B4C"/>
    <w:rsid w:val="00293798"/>
    <w:rsid w:val="00295F0F"/>
    <w:rsid w:val="0029610D"/>
    <w:rsid w:val="00296560"/>
    <w:rsid w:val="0029764D"/>
    <w:rsid w:val="002A0349"/>
    <w:rsid w:val="002A3E88"/>
    <w:rsid w:val="002B0510"/>
    <w:rsid w:val="002B0639"/>
    <w:rsid w:val="002B2074"/>
    <w:rsid w:val="002B7C69"/>
    <w:rsid w:val="002C3450"/>
    <w:rsid w:val="002C4335"/>
    <w:rsid w:val="002D0103"/>
    <w:rsid w:val="002D2E5F"/>
    <w:rsid w:val="002D41BD"/>
    <w:rsid w:val="002D4E0B"/>
    <w:rsid w:val="002D69C6"/>
    <w:rsid w:val="002D6D71"/>
    <w:rsid w:val="002E0246"/>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DD5"/>
    <w:rsid w:val="00324F92"/>
    <w:rsid w:val="00330117"/>
    <w:rsid w:val="0033387D"/>
    <w:rsid w:val="003365D2"/>
    <w:rsid w:val="003375CD"/>
    <w:rsid w:val="003464F9"/>
    <w:rsid w:val="00351A40"/>
    <w:rsid w:val="00352123"/>
    <w:rsid w:val="00352669"/>
    <w:rsid w:val="00354AD5"/>
    <w:rsid w:val="00354FC1"/>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A00A0"/>
    <w:rsid w:val="003A0E81"/>
    <w:rsid w:val="003A28B9"/>
    <w:rsid w:val="003A28F5"/>
    <w:rsid w:val="003A5FB2"/>
    <w:rsid w:val="003A6509"/>
    <w:rsid w:val="003A6F50"/>
    <w:rsid w:val="003B0882"/>
    <w:rsid w:val="003B09D0"/>
    <w:rsid w:val="003B1F90"/>
    <w:rsid w:val="003C1558"/>
    <w:rsid w:val="003C245F"/>
    <w:rsid w:val="003C2DC3"/>
    <w:rsid w:val="003C31A7"/>
    <w:rsid w:val="003C5204"/>
    <w:rsid w:val="003C57B8"/>
    <w:rsid w:val="003D176B"/>
    <w:rsid w:val="003D205E"/>
    <w:rsid w:val="003D3EBF"/>
    <w:rsid w:val="003D56A4"/>
    <w:rsid w:val="003D71E3"/>
    <w:rsid w:val="003E30C4"/>
    <w:rsid w:val="003E7F72"/>
    <w:rsid w:val="003F4090"/>
    <w:rsid w:val="004021EB"/>
    <w:rsid w:val="0040639F"/>
    <w:rsid w:val="004077A4"/>
    <w:rsid w:val="00411890"/>
    <w:rsid w:val="00413640"/>
    <w:rsid w:val="00413DA3"/>
    <w:rsid w:val="00420F50"/>
    <w:rsid w:val="0042129F"/>
    <w:rsid w:val="0042298B"/>
    <w:rsid w:val="0042364F"/>
    <w:rsid w:val="004307F0"/>
    <w:rsid w:val="004412E4"/>
    <w:rsid w:val="004512FB"/>
    <w:rsid w:val="004527D4"/>
    <w:rsid w:val="00457A67"/>
    <w:rsid w:val="00463DEF"/>
    <w:rsid w:val="004703AE"/>
    <w:rsid w:val="004716F4"/>
    <w:rsid w:val="00471B79"/>
    <w:rsid w:val="00472E0E"/>
    <w:rsid w:val="00473405"/>
    <w:rsid w:val="00481A2B"/>
    <w:rsid w:val="004876B9"/>
    <w:rsid w:val="00487E94"/>
    <w:rsid w:val="00494BAF"/>
    <w:rsid w:val="00495F9B"/>
    <w:rsid w:val="00497028"/>
    <w:rsid w:val="004A0946"/>
    <w:rsid w:val="004A2059"/>
    <w:rsid w:val="004B7363"/>
    <w:rsid w:val="004C3316"/>
    <w:rsid w:val="004C6365"/>
    <w:rsid w:val="004D01B9"/>
    <w:rsid w:val="004D4E38"/>
    <w:rsid w:val="004D5450"/>
    <w:rsid w:val="004E52FC"/>
    <w:rsid w:val="004F15D4"/>
    <w:rsid w:val="00502E47"/>
    <w:rsid w:val="00511240"/>
    <w:rsid w:val="00513506"/>
    <w:rsid w:val="005159A6"/>
    <w:rsid w:val="00517E78"/>
    <w:rsid w:val="00522B30"/>
    <w:rsid w:val="00523E63"/>
    <w:rsid w:val="005322AD"/>
    <w:rsid w:val="005337D4"/>
    <w:rsid w:val="00535ABD"/>
    <w:rsid w:val="00541486"/>
    <w:rsid w:val="0054791B"/>
    <w:rsid w:val="00547A1E"/>
    <w:rsid w:val="00552E19"/>
    <w:rsid w:val="0055548D"/>
    <w:rsid w:val="005555E4"/>
    <w:rsid w:val="00565758"/>
    <w:rsid w:val="00565D46"/>
    <w:rsid w:val="00567CFB"/>
    <w:rsid w:val="00580866"/>
    <w:rsid w:val="005814ED"/>
    <w:rsid w:val="0058198F"/>
    <w:rsid w:val="005833FF"/>
    <w:rsid w:val="005A7F34"/>
    <w:rsid w:val="005B0DF8"/>
    <w:rsid w:val="005B203E"/>
    <w:rsid w:val="005B6B60"/>
    <w:rsid w:val="005C192D"/>
    <w:rsid w:val="005C3E35"/>
    <w:rsid w:val="005C7AAF"/>
    <w:rsid w:val="005D4987"/>
    <w:rsid w:val="005D55A9"/>
    <w:rsid w:val="005D5DAB"/>
    <w:rsid w:val="005E25E0"/>
    <w:rsid w:val="005E7788"/>
    <w:rsid w:val="005F07D7"/>
    <w:rsid w:val="005F6C55"/>
    <w:rsid w:val="006042B0"/>
    <w:rsid w:val="00611B5B"/>
    <w:rsid w:val="0061209A"/>
    <w:rsid w:val="006122AD"/>
    <w:rsid w:val="006128E4"/>
    <w:rsid w:val="00613CA4"/>
    <w:rsid w:val="006169B7"/>
    <w:rsid w:val="0061736D"/>
    <w:rsid w:val="006174F4"/>
    <w:rsid w:val="006212A2"/>
    <w:rsid w:val="006237AD"/>
    <w:rsid w:val="00624EB7"/>
    <w:rsid w:val="00624FD6"/>
    <w:rsid w:val="006312A8"/>
    <w:rsid w:val="006335FE"/>
    <w:rsid w:val="006369BC"/>
    <w:rsid w:val="0064176C"/>
    <w:rsid w:val="006419E3"/>
    <w:rsid w:val="00655FEF"/>
    <w:rsid w:val="006652A7"/>
    <w:rsid w:val="006725D0"/>
    <w:rsid w:val="0067335B"/>
    <w:rsid w:val="00676104"/>
    <w:rsid w:val="006800B9"/>
    <w:rsid w:val="0068150C"/>
    <w:rsid w:val="00682312"/>
    <w:rsid w:val="00684459"/>
    <w:rsid w:val="00685D00"/>
    <w:rsid w:val="00686106"/>
    <w:rsid w:val="006909F5"/>
    <w:rsid w:val="006924ED"/>
    <w:rsid w:val="00693417"/>
    <w:rsid w:val="006A00BB"/>
    <w:rsid w:val="006A2199"/>
    <w:rsid w:val="006A443F"/>
    <w:rsid w:val="006A65AD"/>
    <w:rsid w:val="006B62FE"/>
    <w:rsid w:val="006B7F97"/>
    <w:rsid w:val="006C198E"/>
    <w:rsid w:val="006C5C18"/>
    <w:rsid w:val="006D13F8"/>
    <w:rsid w:val="006D2B8B"/>
    <w:rsid w:val="006F1664"/>
    <w:rsid w:val="006F2D2F"/>
    <w:rsid w:val="006F2F30"/>
    <w:rsid w:val="006F47E4"/>
    <w:rsid w:val="006F7E8A"/>
    <w:rsid w:val="0071220F"/>
    <w:rsid w:val="00713D72"/>
    <w:rsid w:val="007169D2"/>
    <w:rsid w:val="00716BD4"/>
    <w:rsid w:val="00730A34"/>
    <w:rsid w:val="00732D4D"/>
    <w:rsid w:val="007360B5"/>
    <w:rsid w:val="007405F5"/>
    <w:rsid w:val="00745D50"/>
    <w:rsid w:val="00745D70"/>
    <w:rsid w:val="00756527"/>
    <w:rsid w:val="0076190E"/>
    <w:rsid w:val="0076500A"/>
    <w:rsid w:val="00767A1F"/>
    <w:rsid w:val="0077558D"/>
    <w:rsid w:val="007774D3"/>
    <w:rsid w:val="00781006"/>
    <w:rsid w:val="0078220C"/>
    <w:rsid w:val="007871AC"/>
    <w:rsid w:val="007906CB"/>
    <w:rsid w:val="00792BBC"/>
    <w:rsid w:val="00793C57"/>
    <w:rsid w:val="00793F07"/>
    <w:rsid w:val="00795354"/>
    <w:rsid w:val="007A0054"/>
    <w:rsid w:val="007A675D"/>
    <w:rsid w:val="007B0681"/>
    <w:rsid w:val="007B5902"/>
    <w:rsid w:val="007C448F"/>
    <w:rsid w:val="007C4DAC"/>
    <w:rsid w:val="007C5912"/>
    <w:rsid w:val="007C7B5C"/>
    <w:rsid w:val="007D471D"/>
    <w:rsid w:val="007D66FD"/>
    <w:rsid w:val="007E4479"/>
    <w:rsid w:val="007E6C40"/>
    <w:rsid w:val="007E6D4E"/>
    <w:rsid w:val="007F08CC"/>
    <w:rsid w:val="007F27E9"/>
    <w:rsid w:val="007F2D90"/>
    <w:rsid w:val="007F4175"/>
    <w:rsid w:val="007F49CE"/>
    <w:rsid w:val="008058D1"/>
    <w:rsid w:val="00807042"/>
    <w:rsid w:val="0081090E"/>
    <w:rsid w:val="008114D0"/>
    <w:rsid w:val="00813C02"/>
    <w:rsid w:val="008155D6"/>
    <w:rsid w:val="00816316"/>
    <w:rsid w:val="00827CB0"/>
    <w:rsid w:val="00834A84"/>
    <w:rsid w:val="008362E3"/>
    <w:rsid w:val="008406CC"/>
    <w:rsid w:val="0084283C"/>
    <w:rsid w:val="00844BB8"/>
    <w:rsid w:val="00850AB1"/>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7D7F"/>
    <w:rsid w:val="008A26F0"/>
    <w:rsid w:val="008B0C9A"/>
    <w:rsid w:val="008B2F06"/>
    <w:rsid w:val="008B329A"/>
    <w:rsid w:val="008B33B1"/>
    <w:rsid w:val="008B33CF"/>
    <w:rsid w:val="008B736E"/>
    <w:rsid w:val="008C05D7"/>
    <w:rsid w:val="008D22ED"/>
    <w:rsid w:val="008D290D"/>
    <w:rsid w:val="008D7F50"/>
    <w:rsid w:val="008E1CA2"/>
    <w:rsid w:val="008E4F8B"/>
    <w:rsid w:val="008F00FB"/>
    <w:rsid w:val="008F5154"/>
    <w:rsid w:val="008F741F"/>
    <w:rsid w:val="009028B4"/>
    <w:rsid w:val="00902E73"/>
    <w:rsid w:val="0090308D"/>
    <w:rsid w:val="00904B5E"/>
    <w:rsid w:val="0090583F"/>
    <w:rsid w:val="009068E1"/>
    <w:rsid w:val="009137FF"/>
    <w:rsid w:val="00913BDA"/>
    <w:rsid w:val="0091792D"/>
    <w:rsid w:val="00920C4A"/>
    <w:rsid w:val="00925068"/>
    <w:rsid w:val="0092552B"/>
    <w:rsid w:val="0092664F"/>
    <w:rsid w:val="0092727F"/>
    <w:rsid w:val="00931FB1"/>
    <w:rsid w:val="00932EBD"/>
    <w:rsid w:val="0093320F"/>
    <w:rsid w:val="00934394"/>
    <w:rsid w:val="009344C2"/>
    <w:rsid w:val="009354E5"/>
    <w:rsid w:val="00941507"/>
    <w:rsid w:val="00942353"/>
    <w:rsid w:val="00945F34"/>
    <w:rsid w:val="009460F9"/>
    <w:rsid w:val="0094762C"/>
    <w:rsid w:val="009508D3"/>
    <w:rsid w:val="00950CDB"/>
    <w:rsid w:val="00952E3C"/>
    <w:rsid w:val="00954BB1"/>
    <w:rsid w:val="0095510F"/>
    <w:rsid w:val="00955D84"/>
    <w:rsid w:val="009605FE"/>
    <w:rsid w:val="00960FCE"/>
    <w:rsid w:val="00965171"/>
    <w:rsid w:val="00970BAC"/>
    <w:rsid w:val="00970BB9"/>
    <w:rsid w:val="0097299E"/>
    <w:rsid w:val="009735B6"/>
    <w:rsid w:val="00975017"/>
    <w:rsid w:val="00982206"/>
    <w:rsid w:val="009830F0"/>
    <w:rsid w:val="00983E31"/>
    <w:rsid w:val="00984CD6"/>
    <w:rsid w:val="00985FD5"/>
    <w:rsid w:val="0098613E"/>
    <w:rsid w:val="00986A20"/>
    <w:rsid w:val="00986DA7"/>
    <w:rsid w:val="00991235"/>
    <w:rsid w:val="00993143"/>
    <w:rsid w:val="00995A3A"/>
    <w:rsid w:val="009A2C31"/>
    <w:rsid w:val="009A4237"/>
    <w:rsid w:val="009B4CEE"/>
    <w:rsid w:val="009B77BD"/>
    <w:rsid w:val="009C03F3"/>
    <w:rsid w:val="009C3F4C"/>
    <w:rsid w:val="009C6BAC"/>
    <w:rsid w:val="009C7A87"/>
    <w:rsid w:val="009D2CEA"/>
    <w:rsid w:val="009D5A84"/>
    <w:rsid w:val="009F412C"/>
    <w:rsid w:val="00A02463"/>
    <w:rsid w:val="00A05051"/>
    <w:rsid w:val="00A124C0"/>
    <w:rsid w:val="00A125AE"/>
    <w:rsid w:val="00A159B3"/>
    <w:rsid w:val="00A17464"/>
    <w:rsid w:val="00A21722"/>
    <w:rsid w:val="00A230E3"/>
    <w:rsid w:val="00A2704D"/>
    <w:rsid w:val="00A340AA"/>
    <w:rsid w:val="00A36536"/>
    <w:rsid w:val="00A40152"/>
    <w:rsid w:val="00A42858"/>
    <w:rsid w:val="00A42C2F"/>
    <w:rsid w:val="00A431F4"/>
    <w:rsid w:val="00A433BF"/>
    <w:rsid w:val="00A442C4"/>
    <w:rsid w:val="00A463EE"/>
    <w:rsid w:val="00A471EB"/>
    <w:rsid w:val="00A50821"/>
    <w:rsid w:val="00A5213C"/>
    <w:rsid w:val="00A629E8"/>
    <w:rsid w:val="00A663E5"/>
    <w:rsid w:val="00A7089F"/>
    <w:rsid w:val="00A71D85"/>
    <w:rsid w:val="00A7224F"/>
    <w:rsid w:val="00A72B89"/>
    <w:rsid w:val="00A746A3"/>
    <w:rsid w:val="00A7752C"/>
    <w:rsid w:val="00A77E7A"/>
    <w:rsid w:val="00A80836"/>
    <w:rsid w:val="00A876FC"/>
    <w:rsid w:val="00A924BD"/>
    <w:rsid w:val="00AA0677"/>
    <w:rsid w:val="00AA1622"/>
    <w:rsid w:val="00AA46EC"/>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1E68"/>
    <w:rsid w:val="00AE3318"/>
    <w:rsid w:val="00AE393A"/>
    <w:rsid w:val="00AE3943"/>
    <w:rsid w:val="00AE3D5C"/>
    <w:rsid w:val="00AE4366"/>
    <w:rsid w:val="00AE4D00"/>
    <w:rsid w:val="00AE6480"/>
    <w:rsid w:val="00AE7DB8"/>
    <w:rsid w:val="00AF09F5"/>
    <w:rsid w:val="00AF4E81"/>
    <w:rsid w:val="00AF5CE0"/>
    <w:rsid w:val="00B04D4E"/>
    <w:rsid w:val="00B07496"/>
    <w:rsid w:val="00B10138"/>
    <w:rsid w:val="00B11869"/>
    <w:rsid w:val="00B2384A"/>
    <w:rsid w:val="00B30AA4"/>
    <w:rsid w:val="00B31FEA"/>
    <w:rsid w:val="00B32403"/>
    <w:rsid w:val="00B34106"/>
    <w:rsid w:val="00B350E0"/>
    <w:rsid w:val="00B36D30"/>
    <w:rsid w:val="00B45D3C"/>
    <w:rsid w:val="00B46EB5"/>
    <w:rsid w:val="00B53694"/>
    <w:rsid w:val="00B55F05"/>
    <w:rsid w:val="00B61310"/>
    <w:rsid w:val="00B64612"/>
    <w:rsid w:val="00B64A40"/>
    <w:rsid w:val="00B6699A"/>
    <w:rsid w:val="00B679AB"/>
    <w:rsid w:val="00B72D82"/>
    <w:rsid w:val="00B74526"/>
    <w:rsid w:val="00B75904"/>
    <w:rsid w:val="00B76BF3"/>
    <w:rsid w:val="00B83743"/>
    <w:rsid w:val="00B8519A"/>
    <w:rsid w:val="00B917FD"/>
    <w:rsid w:val="00B966E4"/>
    <w:rsid w:val="00B97027"/>
    <w:rsid w:val="00BA0D0A"/>
    <w:rsid w:val="00BA307E"/>
    <w:rsid w:val="00BA3D73"/>
    <w:rsid w:val="00BA49A8"/>
    <w:rsid w:val="00BA4C1E"/>
    <w:rsid w:val="00BB1E2D"/>
    <w:rsid w:val="00BB47C0"/>
    <w:rsid w:val="00BB5003"/>
    <w:rsid w:val="00BB5EFA"/>
    <w:rsid w:val="00BB7F8E"/>
    <w:rsid w:val="00BC3E04"/>
    <w:rsid w:val="00BC6FEF"/>
    <w:rsid w:val="00BD0DEC"/>
    <w:rsid w:val="00BD6927"/>
    <w:rsid w:val="00BE1ADF"/>
    <w:rsid w:val="00BE1D10"/>
    <w:rsid w:val="00BE29DF"/>
    <w:rsid w:val="00BF10D5"/>
    <w:rsid w:val="00BF2FBA"/>
    <w:rsid w:val="00C00C48"/>
    <w:rsid w:val="00C01302"/>
    <w:rsid w:val="00C06CF0"/>
    <w:rsid w:val="00C11722"/>
    <w:rsid w:val="00C126E1"/>
    <w:rsid w:val="00C15AF5"/>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60297"/>
    <w:rsid w:val="00C65004"/>
    <w:rsid w:val="00C651E9"/>
    <w:rsid w:val="00C706EC"/>
    <w:rsid w:val="00C72470"/>
    <w:rsid w:val="00C77FAA"/>
    <w:rsid w:val="00C84024"/>
    <w:rsid w:val="00CA4B2B"/>
    <w:rsid w:val="00CA7A88"/>
    <w:rsid w:val="00CB0F8B"/>
    <w:rsid w:val="00CB2FE6"/>
    <w:rsid w:val="00CC0228"/>
    <w:rsid w:val="00CC2821"/>
    <w:rsid w:val="00CC32AE"/>
    <w:rsid w:val="00CC5894"/>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4CEF"/>
    <w:rsid w:val="00D30842"/>
    <w:rsid w:val="00D33F83"/>
    <w:rsid w:val="00D51F9F"/>
    <w:rsid w:val="00D53FAA"/>
    <w:rsid w:val="00D54766"/>
    <w:rsid w:val="00D56D57"/>
    <w:rsid w:val="00D73A6E"/>
    <w:rsid w:val="00D74583"/>
    <w:rsid w:val="00D75CAB"/>
    <w:rsid w:val="00D81126"/>
    <w:rsid w:val="00D824A6"/>
    <w:rsid w:val="00D87E76"/>
    <w:rsid w:val="00D90C13"/>
    <w:rsid w:val="00D95A36"/>
    <w:rsid w:val="00D964E0"/>
    <w:rsid w:val="00DA15A4"/>
    <w:rsid w:val="00DA2011"/>
    <w:rsid w:val="00DA6EBF"/>
    <w:rsid w:val="00DA7254"/>
    <w:rsid w:val="00DB2983"/>
    <w:rsid w:val="00DB5410"/>
    <w:rsid w:val="00DC1228"/>
    <w:rsid w:val="00DC1794"/>
    <w:rsid w:val="00DC3C6F"/>
    <w:rsid w:val="00DC4F7E"/>
    <w:rsid w:val="00DE106C"/>
    <w:rsid w:val="00DE460B"/>
    <w:rsid w:val="00DE4C49"/>
    <w:rsid w:val="00DF5300"/>
    <w:rsid w:val="00E10D1F"/>
    <w:rsid w:val="00E13792"/>
    <w:rsid w:val="00E13FE0"/>
    <w:rsid w:val="00E14067"/>
    <w:rsid w:val="00E155F8"/>
    <w:rsid w:val="00E17C3F"/>
    <w:rsid w:val="00E23F7F"/>
    <w:rsid w:val="00E24905"/>
    <w:rsid w:val="00E24E4E"/>
    <w:rsid w:val="00E27640"/>
    <w:rsid w:val="00E306E7"/>
    <w:rsid w:val="00E32DEC"/>
    <w:rsid w:val="00E361D9"/>
    <w:rsid w:val="00E40C2E"/>
    <w:rsid w:val="00E50B28"/>
    <w:rsid w:val="00E52D5C"/>
    <w:rsid w:val="00E533C0"/>
    <w:rsid w:val="00E54C10"/>
    <w:rsid w:val="00E575A5"/>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E025C"/>
    <w:rsid w:val="00EE15C0"/>
    <w:rsid w:val="00EF5D20"/>
    <w:rsid w:val="00EF7512"/>
    <w:rsid w:val="00F0080B"/>
    <w:rsid w:val="00F07464"/>
    <w:rsid w:val="00F10C91"/>
    <w:rsid w:val="00F1528F"/>
    <w:rsid w:val="00F15436"/>
    <w:rsid w:val="00F1796B"/>
    <w:rsid w:val="00F21BF3"/>
    <w:rsid w:val="00F22653"/>
    <w:rsid w:val="00F239FF"/>
    <w:rsid w:val="00F24815"/>
    <w:rsid w:val="00F32C63"/>
    <w:rsid w:val="00F32E06"/>
    <w:rsid w:val="00F33F9E"/>
    <w:rsid w:val="00F43CC2"/>
    <w:rsid w:val="00F43E6D"/>
    <w:rsid w:val="00F464C3"/>
    <w:rsid w:val="00F55CF9"/>
    <w:rsid w:val="00F660D4"/>
    <w:rsid w:val="00F8411D"/>
    <w:rsid w:val="00F84EF5"/>
    <w:rsid w:val="00F8746D"/>
    <w:rsid w:val="00F9110D"/>
    <w:rsid w:val="00F9123B"/>
    <w:rsid w:val="00FB1FB8"/>
    <w:rsid w:val="00FB3624"/>
    <w:rsid w:val="00FB3A28"/>
    <w:rsid w:val="00FB43CE"/>
    <w:rsid w:val="00FB4DD4"/>
    <w:rsid w:val="00FB5E54"/>
    <w:rsid w:val="00FB7BC0"/>
    <w:rsid w:val="00FC056B"/>
    <w:rsid w:val="00FC1CDB"/>
    <w:rsid w:val="00FC2CC6"/>
    <w:rsid w:val="00FC4C06"/>
    <w:rsid w:val="00FC680B"/>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 w:val="00FF7F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D4"/>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6300</Words>
  <Characters>34654</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2021-06-16T19:18:00Z</dcterms:created>
  <dcterms:modified xsi:type="dcterms:W3CDTF">2021-06-16T19:18:00Z</dcterms:modified>
</cp:coreProperties>
</file>