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9AFEE" w14:textId="77777777" w:rsidR="003F6146" w:rsidRDefault="00296E1C">
      <w:pPr>
        <w:ind w:left="3969" w:right="36"/>
        <w:jc w:val="both"/>
        <w:rPr>
          <w:rFonts w:ascii="Arial" w:eastAsia="Arial" w:hAnsi="Arial" w:cs="Arial"/>
          <w:b/>
          <w:sz w:val="24"/>
          <w:szCs w:val="24"/>
        </w:rPr>
      </w:pPr>
      <w:bookmarkStart w:id="0" w:name="_gjdgxs" w:colFirst="0" w:colLast="0"/>
      <w:bookmarkEnd w:id="0"/>
      <w:r>
        <w:rPr>
          <w:rFonts w:ascii="Arial" w:eastAsia="Arial" w:hAnsi="Arial" w:cs="Arial"/>
          <w:b/>
          <w:sz w:val="24"/>
          <w:szCs w:val="24"/>
        </w:rPr>
        <w:t>PROCEDIMIENTO ESPECIAL SANCIONADOR.</w:t>
      </w:r>
    </w:p>
    <w:p w14:paraId="788F0F94" w14:textId="77777777" w:rsidR="003F6146" w:rsidRDefault="003F6146">
      <w:pPr>
        <w:pBdr>
          <w:top w:val="nil"/>
          <w:left w:val="nil"/>
          <w:bottom w:val="nil"/>
          <w:right w:val="nil"/>
          <w:between w:val="nil"/>
        </w:pBdr>
        <w:rPr>
          <w:rFonts w:ascii="Arial" w:eastAsia="Arial" w:hAnsi="Arial" w:cs="Arial"/>
          <w:color w:val="000000"/>
          <w:sz w:val="14"/>
          <w:szCs w:val="14"/>
        </w:rPr>
      </w:pPr>
    </w:p>
    <w:p w14:paraId="2355A3F8" w14:textId="77777777" w:rsidR="003F6146" w:rsidRDefault="00296E1C">
      <w:pPr>
        <w:ind w:left="3969"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TEEA-PES-058/2021.</w:t>
      </w:r>
      <w:r>
        <w:rPr>
          <w:rFonts w:ascii="Arial" w:eastAsia="Arial" w:hAnsi="Arial" w:cs="Arial"/>
          <w:b/>
          <w:sz w:val="24"/>
          <w:szCs w:val="24"/>
        </w:rPr>
        <w:t xml:space="preserve"> </w:t>
      </w:r>
    </w:p>
    <w:p w14:paraId="278016AB" w14:textId="77777777" w:rsidR="003F6146" w:rsidRDefault="003F6146">
      <w:pPr>
        <w:ind w:left="3969" w:right="36"/>
        <w:jc w:val="both"/>
        <w:rPr>
          <w:rFonts w:ascii="Arial" w:eastAsia="Arial" w:hAnsi="Arial" w:cs="Arial"/>
          <w:b/>
          <w:sz w:val="14"/>
          <w:szCs w:val="14"/>
        </w:rPr>
      </w:pPr>
    </w:p>
    <w:p w14:paraId="77F27316" w14:textId="77777777" w:rsidR="003F6146" w:rsidRDefault="00296E1C">
      <w:pPr>
        <w:ind w:left="3969"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KARINA IVETTE EUDAVE DELGADO, CANDIDATA DE LA COALICIÓN “POR AGUASCALIENTES” A LA PRESIDENCIA MUNICIPAL DE SAN FRANCISCO DE LOS ROMO.</w:t>
      </w:r>
    </w:p>
    <w:p w14:paraId="2B361272" w14:textId="77777777" w:rsidR="003F6146" w:rsidRDefault="003F6146">
      <w:pPr>
        <w:pBdr>
          <w:top w:val="nil"/>
          <w:left w:val="nil"/>
          <w:bottom w:val="nil"/>
          <w:right w:val="nil"/>
          <w:between w:val="nil"/>
        </w:pBdr>
        <w:rPr>
          <w:rFonts w:ascii="Arial" w:eastAsia="Arial" w:hAnsi="Arial" w:cs="Arial"/>
          <w:color w:val="000000"/>
          <w:sz w:val="14"/>
          <w:szCs w:val="14"/>
        </w:rPr>
      </w:pPr>
    </w:p>
    <w:p w14:paraId="546E7834" w14:textId="77777777" w:rsidR="003F6146" w:rsidRDefault="00296E1C">
      <w:pPr>
        <w:ind w:left="3969" w:right="36"/>
        <w:jc w:val="both"/>
        <w:rPr>
          <w:rFonts w:ascii="Arial" w:eastAsia="Arial" w:hAnsi="Arial" w:cs="Arial"/>
          <w:sz w:val="24"/>
          <w:szCs w:val="24"/>
        </w:rPr>
      </w:pPr>
      <w:r>
        <w:rPr>
          <w:rFonts w:ascii="Arial" w:eastAsia="Arial" w:hAnsi="Arial" w:cs="Arial"/>
          <w:b/>
          <w:sz w:val="24"/>
          <w:szCs w:val="24"/>
        </w:rPr>
        <w:t>DENUNCIADO:</w:t>
      </w:r>
      <w:r>
        <w:rPr>
          <w:rFonts w:ascii="Arial" w:eastAsia="Arial" w:hAnsi="Arial" w:cs="Arial"/>
          <w:sz w:val="24"/>
          <w:szCs w:val="24"/>
        </w:rPr>
        <w:t xml:space="preserve"> PERFIL DE FACEBOOK DENOMINADO “PARLAMENTO DIGITAL”.</w:t>
      </w:r>
    </w:p>
    <w:p w14:paraId="2D064619" w14:textId="77777777" w:rsidR="003F6146" w:rsidRDefault="003F6146">
      <w:pPr>
        <w:pBdr>
          <w:top w:val="nil"/>
          <w:left w:val="nil"/>
          <w:bottom w:val="nil"/>
          <w:right w:val="nil"/>
          <w:between w:val="nil"/>
        </w:pBdr>
        <w:rPr>
          <w:rFonts w:ascii="Arial" w:eastAsia="Arial" w:hAnsi="Arial" w:cs="Arial"/>
          <w:color w:val="000000"/>
          <w:sz w:val="14"/>
          <w:szCs w:val="14"/>
        </w:rPr>
      </w:pPr>
    </w:p>
    <w:p w14:paraId="64BBF370" w14:textId="77777777" w:rsidR="003F6146" w:rsidRDefault="00296E1C">
      <w:pPr>
        <w:ind w:left="3969"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1976FF09" w14:textId="77777777" w:rsidR="003F6146" w:rsidRDefault="003F6146">
      <w:pPr>
        <w:pBdr>
          <w:top w:val="nil"/>
          <w:left w:val="nil"/>
          <w:bottom w:val="nil"/>
          <w:right w:val="nil"/>
          <w:between w:val="nil"/>
        </w:pBdr>
        <w:rPr>
          <w:rFonts w:ascii="Arial" w:eastAsia="Arial" w:hAnsi="Arial" w:cs="Arial"/>
          <w:color w:val="000000"/>
          <w:sz w:val="14"/>
          <w:szCs w:val="14"/>
        </w:rPr>
      </w:pPr>
    </w:p>
    <w:p w14:paraId="0522AC9A" w14:textId="77777777" w:rsidR="003F6146" w:rsidRDefault="00296E1C">
      <w:pPr>
        <w:ind w:left="3969"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1E44497E" w14:textId="77777777" w:rsidR="003F6146" w:rsidRDefault="003F6146">
      <w:pPr>
        <w:ind w:left="3969" w:right="36"/>
        <w:jc w:val="both"/>
        <w:rPr>
          <w:rFonts w:ascii="Arial" w:eastAsia="Arial" w:hAnsi="Arial" w:cs="Arial"/>
          <w:sz w:val="14"/>
          <w:szCs w:val="14"/>
        </w:rPr>
      </w:pPr>
    </w:p>
    <w:p w14:paraId="3CC42D6E" w14:textId="77777777" w:rsidR="003F6146" w:rsidRDefault="00296E1C">
      <w:pPr>
        <w:ind w:left="3969"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IGNACIO ALEJANDRO MARTÍNEZ SOTO</w:t>
      </w:r>
    </w:p>
    <w:p w14:paraId="4D0FB9D0" w14:textId="77777777" w:rsidR="003F6146" w:rsidRDefault="003F6146">
      <w:pPr>
        <w:pBdr>
          <w:top w:val="nil"/>
          <w:left w:val="nil"/>
          <w:bottom w:val="nil"/>
          <w:right w:val="nil"/>
          <w:between w:val="nil"/>
        </w:pBdr>
        <w:rPr>
          <w:color w:val="000000"/>
        </w:rPr>
      </w:pPr>
    </w:p>
    <w:p w14:paraId="6F584D22" w14:textId="13CA41B2" w:rsidR="003F6146" w:rsidRDefault="00296E1C">
      <w:pPr>
        <w:pBdr>
          <w:top w:val="nil"/>
          <w:left w:val="nil"/>
          <w:bottom w:val="nil"/>
          <w:right w:val="nil"/>
          <w:between w:val="nil"/>
        </w:pBdr>
        <w:spacing w:line="360" w:lineRule="auto"/>
        <w:ind w:right="36"/>
        <w:jc w:val="right"/>
        <w:rPr>
          <w:rFonts w:ascii="Arial" w:eastAsia="Arial" w:hAnsi="Arial" w:cs="Arial"/>
          <w:sz w:val="24"/>
          <w:szCs w:val="24"/>
        </w:rPr>
      </w:pPr>
      <w:r w:rsidRPr="00136699">
        <w:rPr>
          <w:rFonts w:ascii="Arial" w:eastAsia="Arial" w:hAnsi="Arial" w:cs="Arial"/>
          <w:sz w:val="24"/>
          <w:szCs w:val="24"/>
        </w:rPr>
        <w:t xml:space="preserve">Aguascalientes, Aguascalientes, </w:t>
      </w:r>
      <w:r w:rsidRPr="00136699">
        <w:rPr>
          <w:rFonts w:ascii="Arial" w:eastAsia="Arial" w:hAnsi="Arial" w:cs="Arial"/>
          <w:color w:val="000000"/>
          <w:sz w:val="24"/>
          <w:szCs w:val="24"/>
        </w:rPr>
        <w:t xml:space="preserve">a </w:t>
      </w:r>
      <w:r w:rsidR="00136699" w:rsidRPr="00136699">
        <w:rPr>
          <w:rFonts w:ascii="Arial" w:eastAsia="Arial" w:hAnsi="Arial" w:cs="Arial"/>
          <w:color w:val="000000"/>
          <w:sz w:val="24"/>
          <w:szCs w:val="24"/>
        </w:rPr>
        <w:t>10</w:t>
      </w:r>
      <w:r w:rsidRPr="00136699">
        <w:rPr>
          <w:rFonts w:ascii="Arial" w:eastAsia="Arial" w:hAnsi="Arial" w:cs="Arial"/>
          <w:color w:val="000000"/>
          <w:sz w:val="24"/>
          <w:szCs w:val="24"/>
        </w:rPr>
        <w:t xml:space="preserve"> de junio de 2021</w:t>
      </w:r>
      <w:r w:rsidRPr="00136699">
        <w:rPr>
          <w:rFonts w:ascii="Arial" w:eastAsia="Arial" w:hAnsi="Arial" w:cs="Arial"/>
          <w:sz w:val="24"/>
          <w:szCs w:val="24"/>
        </w:rPr>
        <w:t>.</w:t>
      </w:r>
    </w:p>
    <w:p w14:paraId="2993F2C3" w14:textId="77777777" w:rsidR="003F6146" w:rsidRDefault="003F6146">
      <w:pPr>
        <w:pBdr>
          <w:top w:val="nil"/>
          <w:left w:val="nil"/>
          <w:bottom w:val="nil"/>
          <w:right w:val="nil"/>
          <w:between w:val="nil"/>
        </w:pBdr>
        <w:rPr>
          <w:color w:val="000000"/>
          <w:sz w:val="18"/>
          <w:szCs w:val="18"/>
        </w:rPr>
      </w:pPr>
    </w:p>
    <w:p w14:paraId="2BD4DB6A" w14:textId="77777777" w:rsidR="003F6146" w:rsidRDefault="00296E1C">
      <w:pPr>
        <w:tabs>
          <w:tab w:val="left" w:pos="5461"/>
        </w:tabs>
        <w:spacing w:after="280" w:line="360" w:lineRule="auto"/>
        <w:jc w:val="both"/>
        <w:rPr>
          <w:rFonts w:ascii="Arial" w:eastAsia="Arial" w:hAnsi="Arial" w:cs="Arial"/>
          <w:sz w:val="24"/>
          <w:szCs w:val="24"/>
        </w:rPr>
      </w:pPr>
      <w:bookmarkStart w:id="1" w:name="_30j0zll" w:colFirst="0" w:colLast="0"/>
      <w:bookmarkEnd w:id="1"/>
      <w:r>
        <w:rPr>
          <w:rFonts w:ascii="Arial" w:eastAsia="Arial" w:hAnsi="Arial" w:cs="Arial"/>
          <w:b/>
          <w:sz w:val="24"/>
          <w:szCs w:val="24"/>
        </w:rPr>
        <w:t xml:space="preserve">Sentencia del Tribunal Electoral </w:t>
      </w:r>
      <w:r>
        <w:rPr>
          <w:rFonts w:ascii="Arial" w:eastAsia="Arial" w:hAnsi="Arial" w:cs="Arial"/>
          <w:sz w:val="24"/>
          <w:szCs w:val="24"/>
        </w:rPr>
        <w:t xml:space="preserve">que declara la </w:t>
      </w:r>
      <w:r>
        <w:rPr>
          <w:rFonts w:ascii="Arial" w:eastAsia="Arial" w:hAnsi="Arial" w:cs="Arial"/>
          <w:b/>
          <w:sz w:val="24"/>
          <w:szCs w:val="24"/>
        </w:rPr>
        <w:t xml:space="preserve">inexistencia </w:t>
      </w:r>
      <w:r>
        <w:rPr>
          <w:rFonts w:ascii="Arial" w:eastAsia="Arial" w:hAnsi="Arial" w:cs="Arial"/>
          <w:sz w:val="24"/>
          <w:szCs w:val="24"/>
        </w:rPr>
        <w:t xml:space="preserve">de las infracciones en materia de violencia política en razón de género y calumnia atribuidas a quien resulte responsable, </w:t>
      </w:r>
      <w:r>
        <w:rPr>
          <w:rFonts w:ascii="Arial" w:eastAsia="Arial" w:hAnsi="Arial" w:cs="Arial"/>
          <w:b/>
          <w:sz w:val="24"/>
          <w:szCs w:val="24"/>
        </w:rPr>
        <w:t xml:space="preserve">porque este </w:t>
      </w:r>
      <w:r>
        <w:rPr>
          <w:rFonts w:ascii="Arial" w:eastAsia="Arial" w:hAnsi="Arial" w:cs="Arial"/>
          <w:sz w:val="24"/>
          <w:szCs w:val="24"/>
        </w:rPr>
        <w:t>Tribunal considera que si bien la autoridad administrativa no logró identificar al sujeto denunciado a pesar de las acciones de investigación que realizó para ello, también es que a ningún fin practico llevaría reponer el procedimiento, dado que no se acreditaron las infracciones y, por tanto, no sería posible atribuir la responsabilidad de estas a ninguna persona.</w:t>
      </w:r>
      <w:r>
        <w:rPr>
          <w:rFonts w:ascii="Arial" w:eastAsia="Arial" w:hAnsi="Arial" w:cs="Arial"/>
          <w:b/>
          <w:sz w:val="24"/>
          <w:szCs w:val="24"/>
        </w:rPr>
        <w:t xml:space="preserve"> </w:t>
      </w:r>
      <w:r>
        <w:rPr>
          <w:rFonts w:ascii="Arial" w:eastAsia="Arial" w:hAnsi="Arial" w:cs="Arial"/>
          <w:sz w:val="24"/>
          <w:szCs w:val="24"/>
        </w:rPr>
        <w:t xml:space="preserve"> </w:t>
      </w:r>
    </w:p>
    <w:p w14:paraId="1FF22A4E" w14:textId="77777777" w:rsidR="003F6146" w:rsidRDefault="003F6146">
      <w:pPr>
        <w:pBdr>
          <w:top w:val="nil"/>
          <w:left w:val="nil"/>
          <w:bottom w:val="nil"/>
          <w:right w:val="nil"/>
          <w:between w:val="nil"/>
        </w:pBdr>
        <w:rPr>
          <w:color w:val="000000"/>
          <w:sz w:val="8"/>
          <w:szCs w:val="8"/>
        </w:rPr>
      </w:pPr>
    </w:p>
    <w:p w14:paraId="284DC00A" w14:textId="77777777" w:rsidR="003F6146" w:rsidRDefault="00296E1C">
      <w:pPr>
        <w:keepNext/>
        <w:keepLines/>
        <w:pBdr>
          <w:top w:val="nil"/>
          <w:left w:val="nil"/>
          <w:bottom w:val="nil"/>
          <w:right w:val="nil"/>
          <w:between w:val="nil"/>
        </w:pBdr>
        <w:ind w:right="616"/>
        <w:jc w:val="center"/>
        <w:rPr>
          <w:rFonts w:ascii="Arial" w:eastAsia="Arial" w:hAnsi="Arial" w:cs="Arial"/>
          <w:b/>
          <w:color w:val="000000"/>
          <w:sz w:val="16"/>
          <w:szCs w:val="16"/>
        </w:rPr>
      </w:pPr>
      <w:r>
        <w:rPr>
          <w:rFonts w:ascii="Arial" w:eastAsia="Arial" w:hAnsi="Arial" w:cs="Arial"/>
          <w:b/>
          <w:color w:val="000000"/>
          <w:sz w:val="16"/>
          <w:szCs w:val="16"/>
        </w:rPr>
        <w:t>Índice</w:t>
      </w:r>
    </w:p>
    <w:p w14:paraId="49CD00F8" w14:textId="77777777" w:rsidR="003F6146" w:rsidRDefault="00296E1C">
      <w:pPr>
        <w:ind w:left="993" w:right="616"/>
        <w:rPr>
          <w:rFonts w:ascii="Arial" w:eastAsia="Arial" w:hAnsi="Arial" w:cs="Arial"/>
          <w:sz w:val="16"/>
          <w:szCs w:val="16"/>
        </w:rPr>
      </w:pPr>
      <w:r>
        <w:rPr>
          <w:rFonts w:ascii="Arial" w:eastAsia="Arial" w:hAnsi="Arial" w:cs="Arial"/>
          <w:sz w:val="16"/>
          <w:szCs w:val="16"/>
        </w:rPr>
        <w:t>Antecedentes del caso ………………………………………………………………………………………...2</w:t>
      </w:r>
    </w:p>
    <w:p w14:paraId="58AB12EB" w14:textId="77777777" w:rsidR="003F6146" w:rsidRDefault="00296E1C">
      <w:pPr>
        <w:ind w:left="993" w:right="616"/>
        <w:rPr>
          <w:rFonts w:ascii="Arial" w:eastAsia="Arial" w:hAnsi="Arial" w:cs="Arial"/>
          <w:sz w:val="16"/>
          <w:szCs w:val="16"/>
        </w:rPr>
      </w:pPr>
      <w:r>
        <w:rPr>
          <w:rFonts w:ascii="Arial" w:eastAsia="Arial" w:hAnsi="Arial" w:cs="Arial"/>
          <w:sz w:val="16"/>
          <w:szCs w:val="16"/>
        </w:rPr>
        <w:t>Competencia ……………………………………………………………………………………………</w:t>
      </w:r>
      <w:proofErr w:type="gramStart"/>
      <w:r>
        <w:rPr>
          <w:rFonts w:ascii="Arial" w:eastAsia="Arial" w:hAnsi="Arial" w:cs="Arial"/>
          <w:sz w:val="16"/>
          <w:szCs w:val="16"/>
        </w:rPr>
        <w:t>…....</w:t>
      </w:r>
      <w:proofErr w:type="gramEnd"/>
      <w:r>
        <w:rPr>
          <w:rFonts w:ascii="Arial" w:eastAsia="Arial" w:hAnsi="Arial" w:cs="Arial"/>
          <w:sz w:val="16"/>
          <w:szCs w:val="16"/>
        </w:rPr>
        <w:t>…3</w:t>
      </w:r>
    </w:p>
    <w:p w14:paraId="36019FA2" w14:textId="77777777" w:rsidR="003F6146" w:rsidRDefault="00296E1C">
      <w:pPr>
        <w:ind w:left="993" w:right="616"/>
        <w:rPr>
          <w:rFonts w:ascii="Arial" w:eastAsia="Arial" w:hAnsi="Arial" w:cs="Arial"/>
          <w:sz w:val="16"/>
          <w:szCs w:val="16"/>
        </w:rPr>
      </w:pPr>
      <w:r>
        <w:rPr>
          <w:rFonts w:ascii="Arial" w:eastAsia="Arial" w:hAnsi="Arial" w:cs="Arial"/>
          <w:sz w:val="16"/>
          <w:szCs w:val="16"/>
        </w:rPr>
        <w:t>Personería ………………………………………………………………………………………………</w:t>
      </w:r>
      <w:proofErr w:type="gramStart"/>
      <w:r>
        <w:rPr>
          <w:rFonts w:ascii="Arial" w:eastAsia="Arial" w:hAnsi="Arial" w:cs="Arial"/>
          <w:sz w:val="16"/>
          <w:szCs w:val="16"/>
        </w:rPr>
        <w:t>…....</w:t>
      </w:r>
      <w:proofErr w:type="gramEnd"/>
      <w:r>
        <w:rPr>
          <w:rFonts w:ascii="Arial" w:eastAsia="Arial" w:hAnsi="Arial" w:cs="Arial"/>
          <w:sz w:val="16"/>
          <w:szCs w:val="16"/>
        </w:rPr>
        <w:t>…3</w:t>
      </w:r>
    </w:p>
    <w:p w14:paraId="7755D0A8" w14:textId="40A402F9" w:rsidR="003F6146" w:rsidRDefault="00296E1C">
      <w:pPr>
        <w:ind w:left="993" w:right="616"/>
        <w:rPr>
          <w:rFonts w:ascii="Arial" w:eastAsia="Arial" w:hAnsi="Arial" w:cs="Arial"/>
          <w:sz w:val="16"/>
          <w:szCs w:val="16"/>
        </w:rPr>
      </w:pPr>
      <w:r>
        <w:rPr>
          <w:rFonts w:ascii="Arial" w:eastAsia="Arial" w:hAnsi="Arial" w:cs="Arial"/>
          <w:sz w:val="16"/>
          <w:szCs w:val="16"/>
        </w:rPr>
        <w:t>Estudio de fondo……………………………………………………………………………</w:t>
      </w:r>
      <w:proofErr w:type="gramStart"/>
      <w:r>
        <w:rPr>
          <w:rFonts w:ascii="Arial" w:eastAsia="Arial" w:hAnsi="Arial" w:cs="Arial"/>
          <w:sz w:val="16"/>
          <w:szCs w:val="16"/>
        </w:rPr>
        <w:t>…....</w:t>
      </w:r>
      <w:proofErr w:type="gramEnd"/>
      <w:r>
        <w:rPr>
          <w:rFonts w:ascii="Arial" w:eastAsia="Arial" w:hAnsi="Arial" w:cs="Arial"/>
          <w:sz w:val="16"/>
          <w:szCs w:val="16"/>
        </w:rPr>
        <w:t>.………….....</w:t>
      </w:r>
      <w:r w:rsidR="00945D2A">
        <w:rPr>
          <w:rFonts w:ascii="Arial" w:eastAsia="Arial" w:hAnsi="Arial" w:cs="Arial"/>
          <w:sz w:val="16"/>
          <w:szCs w:val="16"/>
        </w:rPr>
        <w:t>4</w:t>
      </w:r>
    </w:p>
    <w:p w14:paraId="3232AFD3" w14:textId="430C4670" w:rsidR="003F6146" w:rsidRDefault="00296E1C">
      <w:pPr>
        <w:ind w:left="993" w:right="616"/>
        <w:rPr>
          <w:rFonts w:ascii="Arial" w:eastAsia="Arial" w:hAnsi="Arial" w:cs="Arial"/>
          <w:sz w:val="16"/>
          <w:szCs w:val="16"/>
        </w:rPr>
      </w:pPr>
      <w:r>
        <w:rPr>
          <w:rFonts w:ascii="Arial" w:eastAsia="Arial" w:hAnsi="Arial" w:cs="Arial"/>
          <w:sz w:val="16"/>
          <w:szCs w:val="16"/>
        </w:rPr>
        <w:t>Análisis de fondo …………………………………………………………………………………………</w:t>
      </w:r>
      <w:proofErr w:type="gramStart"/>
      <w:r>
        <w:rPr>
          <w:rFonts w:ascii="Arial" w:eastAsia="Arial" w:hAnsi="Arial" w:cs="Arial"/>
          <w:sz w:val="16"/>
          <w:szCs w:val="16"/>
        </w:rPr>
        <w:t>…....</w:t>
      </w:r>
      <w:proofErr w:type="gramEnd"/>
      <w:r>
        <w:rPr>
          <w:rFonts w:ascii="Arial" w:eastAsia="Arial" w:hAnsi="Arial" w:cs="Arial"/>
          <w:sz w:val="16"/>
          <w:szCs w:val="16"/>
        </w:rPr>
        <w:t>.</w:t>
      </w:r>
      <w:r w:rsidR="00945D2A">
        <w:rPr>
          <w:rFonts w:ascii="Arial" w:eastAsia="Arial" w:hAnsi="Arial" w:cs="Arial"/>
          <w:sz w:val="16"/>
          <w:szCs w:val="16"/>
        </w:rPr>
        <w:t>4</w:t>
      </w:r>
    </w:p>
    <w:p w14:paraId="5D8FEF9E" w14:textId="2E2B4677" w:rsidR="003F6146" w:rsidRDefault="00945D2A">
      <w:pPr>
        <w:ind w:left="993" w:right="616"/>
        <w:rPr>
          <w:rFonts w:ascii="Arial" w:eastAsia="Arial" w:hAnsi="Arial" w:cs="Arial"/>
          <w:sz w:val="16"/>
          <w:szCs w:val="16"/>
        </w:rPr>
      </w:pPr>
      <w:r>
        <w:rPr>
          <w:rFonts w:ascii="Arial" w:eastAsia="Arial" w:hAnsi="Arial" w:cs="Arial"/>
          <w:sz w:val="16"/>
          <w:szCs w:val="16"/>
        </w:rPr>
        <w:t>Viabilidad de no reponer el procedimiento…...</w:t>
      </w:r>
      <w:r w:rsidR="00296E1C">
        <w:rPr>
          <w:rFonts w:ascii="Arial" w:eastAsia="Arial" w:hAnsi="Arial" w:cs="Arial"/>
          <w:sz w:val="16"/>
          <w:szCs w:val="16"/>
        </w:rPr>
        <w:t>…………………………………………….....</w:t>
      </w:r>
      <w:r w:rsidR="00296E1C">
        <w:rPr>
          <w:rFonts w:ascii="Arial" w:eastAsia="Arial" w:hAnsi="Arial" w:cs="Arial"/>
          <w:sz w:val="6"/>
          <w:szCs w:val="6"/>
        </w:rPr>
        <w:t>.</w:t>
      </w:r>
      <w:r w:rsidR="00296E1C">
        <w:rPr>
          <w:rFonts w:ascii="Arial" w:eastAsia="Arial" w:hAnsi="Arial" w:cs="Arial"/>
          <w:sz w:val="16"/>
          <w:szCs w:val="16"/>
        </w:rPr>
        <w:t>………</w:t>
      </w:r>
      <w:proofErr w:type="gramStart"/>
      <w:r w:rsidR="00296E1C">
        <w:rPr>
          <w:rFonts w:ascii="Arial" w:eastAsia="Arial" w:hAnsi="Arial" w:cs="Arial"/>
          <w:sz w:val="16"/>
          <w:szCs w:val="16"/>
        </w:rPr>
        <w:t>…...</w:t>
      </w:r>
      <w:r w:rsidR="00296E1C" w:rsidRPr="00945D2A">
        <w:rPr>
          <w:rFonts w:ascii="Arial" w:eastAsia="Arial" w:hAnsi="Arial" w:cs="Arial"/>
          <w:sz w:val="10"/>
          <w:szCs w:val="10"/>
        </w:rPr>
        <w:t>.</w:t>
      </w:r>
      <w:proofErr w:type="gramEnd"/>
      <w:r>
        <w:rPr>
          <w:rFonts w:ascii="Arial" w:eastAsia="Arial" w:hAnsi="Arial" w:cs="Arial"/>
          <w:sz w:val="16"/>
          <w:szCs w:val="16"/>
        </w:rPr>
        <w:t>13</w:t>
      </w:r>
    </w:p>
    <w:p w14:paraId="6F19B979" w14:textId="6BB25CEE" w:rsidR="003F6146" w:rsidRDefault="00296E1C">
      <w:pPr>
        <w:tabs>
          <w:tab w:val="right" w:pos="8263"/>
        </w:tabs>
        <w:ind w:left="993" w:right="616"/>
        <w:rPr>
          <w:rFonts w:ascii="Arial" w:eastAsia="Arial" w:hAnsi="Arial" w:cs="Arial"/>
          <w:b/>
          <w:sz w:val="16"/>
          <w:szCs w:val="16"/>
        </w:rPr>
      </w:pPr>
      <w:proofErr w:type="gramStart"/>
      <w:r>
        <w:rPr>
          <w:rFonts w:ascii="Arial" w:eastAsia="Arial" w:hAnsi="Arial" w:cs="Arial"/>
          <w:sz w:val="16"/>
          <w:szCs w:val="16"/>
        </w:rPr>
        <w:t>Resolutivos.…</w:t>
      </w:r>
      <w:proofErr w:type="gramEnd"/>
      <w:r>
        <w:rPr>
          <w:rFonts w:ascii="Arial" w:eastAsia="Arial" w:hAnsi="Arial" w:cs="Arial"/>
          <w:sz w:val="16"/>
          <w:szCs w:val="16"/>
        </w:rPr>
        <w:t>………………………………………………………………………………….....…………...</w:t>
      </w:r>
      <w:r>
        <w:rPr>
          <w:rFonts w:ascii="Arial" w:eastAsia="Arial" w:hAnsi="Arial" w:cs="Arial"/>
          <w:sz w:val="6"/>
          <w:szCs w:val="6"/>
        </w:rPr>
        <w:t>.</w:t>
      </w:r>
      <w:r>
        <w:rPr>
          <w:rFonts w:ascii="Arial" w:eastAsia="Arial" w:hAnsi="Arial" w:cs="Arial"/>
          <w:sz w:val="16"/>
          <w:szCs w:val="16"/>
        </w:rPr>
        <w:t>1</w:t>
      </w:r>
      <w:r w:rsidR="00945D2A">
        <w:rPr>
          <w:rFonts w:ascii="Arial" w:eastAsia="Arial" w:hAnsi="Arial" w:cs="Arial"/>
          <w:sz w:val="16"/>
          <w:szCs w:val="16"/>
        </w:rPr>
        <w:t>4</w:t>
      </w:r>
    </w:p>
    <w:p w14:paraId="48ED59B5" w14:textId="77777777" w:rsidR="003F6146" w:rsidRDefault="003F6146">
      <w:pPr>
        <w:spacing w:line="360" w:lineRule="auto"/>
        <w:ind w:left="2465" w:right="616" w:hanging="140"/>
        <w:jc w:val="center"/>
        <w:rPr>
          <w:rFonts w:ascii="Arial" w:eastAsia="Arial" w:hAnsi="Arial" w:cs="Arial"/>
          <w:b/>
          <w:sz w:val="8"/>
          <w:szCs w:val="8"/>
        </w:rPr>
      </w:pPr>
    </w:p>
    <w:p w14:paraId="54974D3E" w14:textId="77777777" w:rsidR="003F6146" w:rsidRDefault="00296E1C">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a"/>
        <w:tblW w:w="7998" w:type="dxa"/>
        <w:tblInd w:w="851" w:type="dxa"/>
        <w:tblLayout w:type="fixed"/>
        <w:tblLook w:val="0400" w:firstRow="0" w:lastRow="0" w:firstColumn="0" w:lastColumn="0" w:noHBand="0" w:noVBand="1"/>
      </w:tblPr>
      <w:tblGrid>
        <w:gridCol w:w="1843"/>
        <w:gridCol w:w="6155"/>
      </w:tblGrid>
      <w:tr w:rsidR="003F6146" w14:paraId="18A269B8" w14:textId="77777777">
        <w:trPr>
          <w:trHeight w:val="578"/>
        </w:trPr>
        <w:tc>
          <w:tcPr>
            <w:tcW w:w="1843" w:type="dxa"/>
          </w:tcPr>
          <w:p w14:paraId="4B7B3138" w14:textId="77777777" w:rsidR="003F6146" w:rsidRDefault="00296E1C">
            <w:pPr>
              <w:spacing w:line="276" w:lineRule="auto"/>
              <w:jc w:val="both"/>
              <w:rPr>
                <w:rFonts w:ascii="Arial" w:eastAsia="Arial" w:hAnsi="Arial" w:cs="Arial"/>
                <w:b/>
                <w:sz w:val="16"/>
                <w:szCs w:val="16"/>
              </w:rPr>
            </w:pPr>
            <w:r>
              <w:rPr>
                <w:rFonts w:ascii="Arial" w:eastAsia="Arial" w:hAnsi="Arial" w:cs="Arial"/>
                <w:b/>
                <w:sz w:val="16"/>
                <w:szCs w:val="16"/>
              </w:rPr>
              <w:t>Denunciante:</w:t>
            </w:r>
          </w:p>
          <w:p w14:paraId="501C082F" w14:textId="77777777" w:rsidR="003F6146" w:rsidRDefault="003F6146">
            <w:pPr>
              <w:spacing w:line="276" w:lineRule="auto"/>
              <w:jc w:val="both"/>
              <w:rPr>
                <w:rFonts w:ascii="Arial" w:eastAsia="Arial" w:hAnsi="Arial" w:cs="Arial"/>
                <w:b/>
                <w:sz w:val="16"/>
                <w:szCs w:val="16"/>
              </w:rPr>
            </w:pPr>
          </w:p>
          <w:p w14:paraId="5E72E0EB" w14:textId="77777777" w:rsidR="003F6146" w:rsidRDefault="00296E1C">
            <w:pPr>
              <w:spacing w:line="276" w:lineRule="auto"/>
              <w:jc w:val="both"/>
              <w:rPr>
                <w:rFonts w:ascii="Arial" w:eastAsia="Arial" w:hAnsi="Arial" w:cs="Arial"/>
                <w:b/>
                <w:sz w:val="16"/>
                <w:szCs w:val="16"/>
              </w:rPr>
            </w:pPr>
            <w:r>
              <w:rPr>
                <w:rFonts w:ascii="Arial" w:eastAsia="Arial" w:hAnsi="Arial" w:cs="Arial"/>
                <w:b/>
                <w:sz w:val="16"/>
                <w:szCs w:val="16"/>
              </w:rPr>
              <w:t xml:space="preserve">Denunciado: </w:t>
            </w:r>
          </w:p>
          <w:p w14:paraId="782B7C26" w14:textId="77777777" w:rsidR="003F6146" w:rsidRDefault="00296E1C">
            <w:pPr>
              <w:spacing w:line="276" w:lineRule="auto"/>
              <w:jc w:val="both"/>
              <w:rPr>
                <w:rFonts w:ascii="Arial" w:eastAsia="Arial" w:hAnsi="Arial" w:cs="Arial"/>
                <w:b/>
                <w:sz w:val="16"/>
                <w:szCs w:val="16"/>
              </w:rPr>
            </w:pPr>
            <w:r>
              <w:rPr>
                <w:rFonts w:ascii="Arial" w:eastAsia="Arial" w:hAnsi="Arial" w:cs="Arial"/>
                <w:b/>
                <w:sz w:val="16"/>
                <w:szCs w:val="16"/>
              </w:rPr>
              <w:t>Tribunal Electoral:</w:t>
            </w:r>
          </w:p>
          <w:p w14:paraId="3746A369" w14:textId="77777777" w:rsidR="003F6146" w:rsidRDefault="00296E1C">
            <w:pPr>
              <w:spacing w:line="276" w:lineRule="auto"/>
              <w:jc w:val="both"/>
              <w:rPr>
                <w:rFonts w:ascii="Arial" w:eastAsia="Arial" w:hAnsi="Arial" w:cs="Arial"/>
                <w:b/>
                <w:sz w:val="16"/>
                <w:szCs w:val="16"/>
              </w:rPr>
            </w:pPr>
            <w:r>
              <w:rPr>
                <w:rFonts w:ascii="Arial" w:eastAsia="Arial" w:hAnsi="Arial" w:cs="Arial"/>
                <w:b/>
                <w:sz w:val="16"/>
                <w:szCs w:val="16"/>
              </w:rPr>
              <w:t>Consejo General:</w:t>
            </w:r>
          </w:p>
          <w:p w14:paraId="2BF7B250" w14:textId="77777777" w:rsidR="003F6146" w:rsidRDefault="00296E1C">
            <w:pPr>
              <w:spacing w:line="276" w:lineRule="auto"/>
              <w:jc w:val="both"/>
              <w:rPr>
                <w:rFonts w:ascii="Arial" w:eastAsia="Arial" w:hAnsi="Arial" w:cs="Arial"/>
                <w:b/>
                <w:sz w:val="16"/>
                <w:szCs w:val="16"/>
              </w:rPr>
            </w:pPr>
            <w:r>
              <w:rPr>
                <w:rFonts w:ascii="Arial" w:eastAsia="Arial" w:hAnsi="Arial" w:cs="Arial"/>
                <w:b/>
                <w:sz w:val="16"/>
                <w:szCs w:val="16"/>
              </w:rPr>
              <w:t>Instituto Local:</w:t>
            </w:r>
          </w:p>
          <w:p w14:paraId="58805F42" w14:textId="77777777" w:rsidR="003F6146" w:rsidRDefault="00296E1C">
            <w:pPr>
              <w:spacing w:line="276" w:lineRule="auto"/>
              <w:jc w:val="both"/>
              <w:rPr>
                <w:rFonts w:ascii="Arial" w:eastAsia="Arial" w:hAnsi="Arial" w:cs="Arial"/>
                <w:b/>
                <w:sz w:val="16"/>
                <w:szCs w:val="16"/>
              </w:rPr>
            </w:pPr>
            <w:r>
              <w:rPr>
                <w:rFonts w:ascii="Arial" w:eastAsia="Arial" w:hAnsi="Arial" w:cs="Arial"/>
                <w:b/>
                <w:sz w:val="16"/>
                <w:szCs w:val="16"/>
              </w:rPr>
              <w:t>Código Electoral:</w:t>
            </w:r>
          </w:p>
        </w:tc>
        <w:tc>
          <w:tcPr>
            <w:tcW w:w="6155" w:type="dxa"/>
          </w:tcPr>
          <w:p w14:paraId="4FD349A8" w14:textId="77777777" w:rsidR="003F6146" w:rsidRDefault="00296E1C">
            <w:pPr>
              <w:spacing w:line="276" w:lineRule="auto"/>
              <w:ind w:right="178"/>
              <w:jc w:val="both"/>
              <w:rPr>
                <w:rFonts w:ascii="Arial" w:eastAsia="Arial" w:hAnsi="Arial" w:cs="Arial"/>
                <w:sz w:val="16"/>
                <w:szCs w:val="16"/>
              </w:rPr>
            </w:pPr>
            <w:r>
              <w:rPr>
                <w:rFonts w:ascii="Arial" w:eastAsia="Arial" w:hAnsi="Arial" w:cs="Arial"/>
                <w:sz w:val="16"/>
                <w:szCs w:val="16"/>
              </w:rPr>
              <w:t>Karina Ivette Eudave Delgado candidata de la coalición “Por Aguascalientes”</w:t>
            </w:r>
          </w:p>
          <w:p w14:paraId="77BD9456" w14:textId="77777777" w:rsidR="003F6146" w:rsidRDefault="00296E1C">
            <w:pPr>
              <w:spacing w:line="276" w:lineRule="auto"/>
              <w:ind w:right="178"/>
              <w:jc w:val="both"/>
              <w:rPr>
                <w:rFonts w:ascii="Arial" w:eastAsia="Arial" w:hAnsi="Arial" w:cs="Arial"/>
                <w:sz w:val="16"/>
                <w:szCs w:val="16"/>
              </w:rPr>
            </w:pPr>
            <w:r>
              <w:rPr>
                <w:rFonts w:ascii="Arial" w:eastAsia="Arial" w:hAnsi="Arial" w:cs="Arial"/>
                <w:sz w:val="16"/>
                <w:szCs w:val="16"/>
              </w:rPr>
              <w:t>a la Presidencia Municipal de San Francisco de los Romo.</w:t>
            </w:r>
          </w:p>
          <w:p w14:paraId="3EF08D12" w14:textId="77777777" w:rsidR="003F6146" w:rsidRDefault="00296E1C">
            <w:pPr>
              <w:spacing w:line="276" w:lineRule="auto"/>
              <w:ind w:right="518"/>
              <w:jc w:val="both"/>
              <w:rPr>
                <w:rFonts w:ascii="Arial" w:eastAsia="Arial" w:hAnsi="Arial" w:cs="Arial"/>
                <w:sz w:val="16"/>
                <w:szCs w:val="16"/>
              </w:rPr>
            </w:pPr>
            <w:r>
              <w:rPr>
                <w:rFonts w:ascii="Arial" w:eastAsia="Arial" w:hAnsi="Arial" w:cs="Arial"/>
                <w:sz w:val="16"/>
                <w:szCs w:val="16"/>
              </w:rPr>
              <w:t>Perfil de Facebook “Parlamento Digital”.</w:t>
            </w:r>
          </w:p>
          <w:p w14:paraId="2D60BFAF" w14:textId="77777777" w:rsidR="003F6146" w:rsidRDefault="00296E1C">
            <w:pPr>
              <w:spacing w:line="276" w:lineRule="auto"/>
              <w:ind w:right="178"/>
              <w:jc w:val="both"/>
              <w:rPr>
                <w:rFonts w:ascii="Arial" w:eastAsia="Arial" w:hAnsi="Arial" w:cs="Arial"/>
                <w:sz w:val="16"/>
                <w:szCs w:val="16"/>
              </w:rPr>
            </w:pPr>
            <w:r>
              <w:rPr>
                <w:rFonts w:ascii="Arial" w:eastAsia="Arial" w:hAnsi="Arial" w:cs="Arial"/>
                <w:sz w:val="16"/>
                <w:szCs w:val="16"/>
              </w:rPr>
              <w:t>Tribunal Electoral del Estado de Aguascalientes.</w:t>
            </w:r>
          </w:p>
          <w:p w14:paraId="73A675BC" w14:textId="77777777" w:rsidR="003F6146" w:rsidRDefault="00296E1C">
            <w:pPr>
              <w:spacing w:line="276" w:lineRule="auto"/>
              <w:ind w:right="178"/>
              <w:jc w:val="both"/>
              <w:rPr>
                <w:rFonts w:ascii="Arial" w:eastAsia="Arial" w:hAnsi="Arial" w:cs="Arial"/>
                <w:sz w:val="16"/>
                <w:szCs w:val="16"/>
              </w:rPr>
            </w:pPr>
            <w:r>
              <w:rPr>
                <w:rFonts w:ascii="Arial" w:eastAsia="Arial" w:hAnsi="Arial" w:cs="Arial"/>
                <w:sz w:val="16"/>
                <w:szCs w:val="16"/>
              </w:rPr>
              <w:t>Consejo General del Instituto Estatal Electoral.</w:t>
            </w:r>
          </w:p>
          <w:p w14:paraId="53FFB358" w14:textId="77777777" w:rsidR="003F6146" w:rsidRDefault="00296E1C">
            <w:pPr>
              <w:spacing w:line="276" w:lineRule="auto"/>
              <w:ind w:right="178"/>
              <w:jc w:val="both"/>
              <w:rPr>
                <w:rFonts w:ascii="Arial" w:eastAsia="Arial" w:hAnsi="Arial" w:cs="Arial"/>
                <w:sz w:val="16"/>
                <w:szCs w:val="16"/>
              </w:rPr>
            </w:pPr>
            <w:r>
              <w:rPr>
                <w:rFonts w:ascii="Arial" w:eastAsia="Arial" w:hAnsi="Arial" w:cs="Arial"/>
                <w:sz w:val="16"/>
                <w:szCs w:val="16"/>
              </w:rPr>
              <w:t>Instituto Estatal Electoral.</w:t>
            </w:r>
          </w:p>
          <w:p w14:paraId="13900F2A" w14:textId="77777777" w:rsidR="003F6146" w:rsidRDefault="00296E1C">
            <w:pPr>
              <w:spacing w:line="276" w:lineRule="auto"/>
              <w:ind w:right="178"/>
              <w:jc w:val="both"/>
              <w:rPr>
                <w:rFonts w:ascii="Arial" w:eastAsia="Arial" w:hAnsi="Arial" w:cs="Arial"/>
                <w:sz w:val="16"/>
                <w:szCs w:val="16"/>
              </w:rPr>
            </w:pPr>
            <w:r>
              <w:rPr>
                <w:rFonts w:ascii="Arial" w:eastAsia="Arial" w:hAnsi="Arial" w:cs="Arial"/>
                <w:sz w:val="16"/>
                <w:szCs w:val="16"/>
              </w:rPr>
              <w:t>Código Electoral del Estado de Aguascalientes.</w:t>
            </w:r>
          </w:p>
        </w:tc>
      </w:tr>
      <w:tr w:rsidR="003F6146" w14:paraId="382D069B" w14:textId="77777777">
        <w:trPr>
          <w:trHeight w:val="578"/>
        </w:trPr>
        <w:tc>
          <w:tcPr>
            <w:tcW w:w="1843" w:type="dxa"/>
          </w:tcPr>
          <w:p w14:paraId="29BE78CF" w14:textId="77777777" w:rsidR="003F6146" w:rsidRDefault="00296E1C">
            <w:pPr>
              <w:spacing w:line="276" w:lineRule="auto"/>
              <w:jc w:val="both"/>
              <w:rPr>
                <w:rFonts w:ascii="Arial" w:eastAsia="Arial" w:hAnsi="Arial" w:cs="Arial"/>
                <w:b/>
                <w:sz w:val="16"/>
                <w:szCs w:val="16"/>
              </w:rPr>
            </w:pPr>
            <w:r>
              <w:rPr>
                <w:rFonts w:ascii="Arial" w:eastAsia="Arial" w:hAnsi="Arial" w:cs="Arial"/>
                <w:b/>
                <w:sz w:val="16"/>
                <w:szCs w:val="16"/>
              </w:rPr>
              <w:t xml:space="preserve">LEGIPE: </w:t>
            </w:r>
          </w:p>
          <w:p w14:paraId="0B2D6330" w14:textId="77777777" w:rsidR="003F6146" w:rsidRDefault="00296E1C">
            <w:pPr>
              <w:spacing w:line="276" w:lineRule="auto"/>
              <w:jc w:val="both"/>
              <w:rPr>
                <w:rFonts w:ascii="Arial" w:eastAsia="Arial" w:hAnsi="Arial" w:cs="Arial"/>
                <w:b/>
                <w:sz w:val="16"/>
                <w:szCs w:val="16"/>
              </w:rPr>
            </w:pPr>
            <w:r>
              <w:rPr>
                <w:rFonts w:ascii="Arial" w:eastAsia="Arial" w:hAnsi="Arial" w:cs="Arial"/>
                <w:b/>
                <w:sz w:val="16"/>
                <w:szCs w:val="16"/>
              </w:rPr>
              <w:t>LGAMVLV:</w:t>
            </w:r>
          </w:p>
          <w:p w14:paraId="6742CE93" w14:textId="77777777" w:rsidR="003F6146" w:rsidRDefault="00296E1C">
            <w:pPr>
              <w:spacing w:line="276" w:lineRule="auto"/>
              <w:jc w:val="both"/>
              <w:rPr>
                <w:rFonts w:ascii="Arial" w:eastAsia="Arial" w:hAnsi="Arial" w:cs="Arial"/>
                <w:b/>
                <w:sz w:val="16"/>
                <w:szCs w:val="16"/>
              </w:rPr>
            </w:pPr>
            <w:r>
              <w:rPr>
                <w:rFonts w:ascii="Arial" w:eastAsia="Arial" w:hAnsi="Arial" w:cs="Arial"/>
                <w:b/>
                <w:sz w:val="16"/>
                <w:szCs w:val="16"/>
              </w:rPr>
              <w:t>VPG:</w:t>
            </w:r>
          </w:p>
          <w:p w14:paraId="08FBC8B4" w14:textId="77777777" w:rsidR="003F6146" w:rsidRDefault="00296E1C">
            <w:pPr>
              <w:spacing w:line="276" w:lineRule="auto"/>
              <w:jc w:val="both"/>
              <w:rPr>
                <w:rFonts w:ascii="Arial" w:eastAsia="Arial" w:hAnsi="Arial" w:cs="Arial"/>
                <w:b/>
                <w:sz w:val="16"/>
                <w:szCs w:val="16"/>
              </w:rPr>
            </w:pPr>
            <w:r>
              <w:rPr>
                <w:rFonts w:ascii="Arial" w:eastAsia="Arial" w:hAnsi="Arial" w:cs="Arial"/>
                <w:b/>
                <w:sz w:val="16"/>
                <w:szCs w:val="16"/>
              </w:rPr>
              <w:t>PES:</w:t>
            </w:r>
          </w:p>
        </w:tc>
        <w:tc>
          <w:tcPr>
            <w:tcW w:w="6155" w:type="dxa"/>
          </w:tcPr>
          <w:p w14:paraId="3E4F5910" w14:textId="2CFC8DA5" w:rsidR="003F6146" w:rsidRDefault="00296E1C">
            <w:pPr>
              <w:spacing w:line="276" w:lineRule="auto"/>
              <w:ind w:right="178"/>
              <w:jc w:val="both"/>
              <w:rPr>
                <w:rFonts w:ascii="Arial" w:eastAsia="Arial" w:hAnsi="Arial" w:cs="Arial"/>
                <w:sz w:val="16"/>
                <w:szCs w:val="16"/>
              </w:rPr>
            </w:pPr>
            <w:r>
              <w:rPr>
                <w:rFonts w:ascii="Arial" w:eastAsia="Arial" w:hAnsi="Arial" w:cs="Arial"/>
                <w:sz w:val="16"/>
                <w:szCs w:val="16"/>
              </w:rPr>
              <w:t xml:space="preserve">Ley General de </w:t>
            </w:r>
            <w:r w:rsidR="00136699">
              <w:rPr>
                <w:rFonts w:ascii="Arial" w:eastAsia="Arial" w:hAnsi="Arial" w:cs="Arial"/>
                <w:sz w:val="16"/>
                <w:szCs w:val="16"/>
              </w:rPr>
              <w:t>I</w:t>
            </w:r>
            <w:r>
              <w:rPr>
                <w:rFonts w:ascii="Arial" w:eastAsia="Arial" w:hAnsi="Arial" w:cs="Arial"/>
                <w:sz w:val="16"/>
                <w:szCs w:val="16"/>
              </w:rPr>
              <w:t>nstituciones y Procedimientos Electorales.</w:t>
            </w:r>
          </w:p>
          <w:p w14:paraId="05189315" w14:textId="77777777" w:rsidR="003F6146" w:rsidRDefault="00296E1C">
            <w:pPr>
              <w:spacing w:line="276" w:lineRule="auto"/>
              <w:ind w:right="178"/>
              <w:jc w:val="both"/>
              <w:rPr>
                <w:rFonts w:ascii="Arial" w:eastAsia="Arial" w:hAnsi="Arial" w:cs="Arial"/>
                <w:sz w:val="16"/>
                <w:szCs w:val="16"/>
              </w:rPr>
            </w:pPr>
            <w:r>
              <w:rPr>
                <w:rFonts w:ascii="Arial" w:eastAsia="Arial" w:hAnsi="Arial" w:cs="Arial"/>
                <w:sz w:val="16"/>
                <w:szCs w:val="16"/>
              </w:rPr>
              <w:t>Ley</w:t>
            </w:r>
            <w:r>
              <w:rPr>
                <w:sz w:val="14"/>
                <w:szCs w:val="14"/>
              </w:rPr>
              <w:t xml:space="preserve"> </w:t>
            </w:r>
            <w:r>
              <w:rPr>
                <w:rFonts w:ascii="Arial" w:eastAsia="Arial" w:hAnsi="Arial" w:cs="Arial"/>
                <w:sz w:val="16"/>
                <w:szCs w:val="16"/>
              </w:rPr>
              <w:t>General de Acceso de las Mujeres a una Vida Libre de Violencia.</w:t>
            </w:r>
          </w:p>
          <w:p w14:paraId="1ACF3F0F" w14:textId="77777777" w:rsidR="003F6146" w:rsidRDefault="00296E1C">
            <w:pPr>
              <w:spacing w:line="276" w:lineRule="auto"/>
              <w:ind w:right="178"/>
              <w:jc w:val="both"/>
              <w:rPr>
                <w:rFonts w:ascii="Arial" w:eastAsia="Arial" w:hAnsi="Arial" w:cs="Arial"/>
                <w:sz w:val="16"/>
                <w:szCs w:val="16"/>
              </w:rPr>
            </w:pPr>
            <w:r>
              <w:rPr>
                <w:rFonts w:ascii="Arial" w:eastAsia="Arial" w:hAnsi="Arial" w:cs="Arial"/>
                <w:sz w:val="16"/>
                <w:szCs w:val="16"/>
              </w:rPr>
              <w:t>Violencia Política contra las Mujeres en Razón de Género.</w:t>
            </w:r>
          </w:p>
          <w:p w14:paraId="1BB2DF4B" w14:textId="77777777" w:rsidR="003F6146" w:rsidRDefault="00296E1C">
            <w:pPr>
              <w:spacing w:line="276" w:lineRule="auto"/>
              <w:ind w:right="178"/>
              <w:jc w:val="both"/>
              <w:rPr>
                <w:rFonts w:ascii="Arial" w:eastAsia="Arial" w:hAnsi="Arial" w:cs="Arial"/>
                <w:sz w:val="16"/>
                <w:szCs w:val="16"/>
              </w:rPr>
            </w:pPr>
            <w:r>
              <w:rPr>
                <w:rFonts w:ascii="Arial" w:eastAsia="Arial" w:hAnsi="Arial" w:cs="Arial"/>
                <w:sz w:val="16"/>
                <w:szCs w:val="16"/>
              </w:rPr>
              <w:t>Procedimiento Especial Sancionador.</w:t>
            </w:r>
          </w:p>
        </w:tc>
      </w:tr>
    </w:tbl>
    <w:p w14:paraId="553F63CC" w14:textId="04BC29B2" w:rsidR="00945D2A" w:rsidRDefault="00136699">
      <w:pPr>
        <w:pBdr>
          <w:top w:val="nil"/>
          <w:left w:val="nil"/>
          <w:bottom w:val="nil"/>
          <w:right w:val="nil"/>
          <w:between w:val="nil"/>
        </w:pBdr>
        <w:rPr>
          <w:color w:val="000000"/>
        </w:rPr>
      </w:pPr>
      <w:r>
        <w:rPr>
          <w:color w:val="000000"/>
        </w:rPr>
        <w:tab/>
      </w:r>
      <w:r>
        <w:rPr>
          <w:color w:val="000000"/>
        </w:rPr>
        <w:tab/>
      </w:r>
    </w:p>
    <w:p w14:paraId="13E14222" w14:textId="43B2D93C" w:rsidR="00945D2A" w:rsidRDefault="00945D2A">
      <w:pPr>
        <w:pBdr>
          <w:top w:val="nil"/>
          <w:left w:val="nil"/>
          <w:bottom w:val="nil"/>
          <w:right w:val="nil"/>
          <w:between w:val="nil"/>
        </w:pBdr>
        <w:rPr>
          <w:color w:val="000000"/>
        </w:rPr>
      </w:pPr>
    </w:p>
    <w:p w14:paraId="3F44A631" w14:textId="47A88602" w:rsidR="00945D2A" w:rsidRDefault="00945D2A">
      <w:pPr>
        <w:pBdr>
          <w:top w:val="nil"/>
          <w:left w:val="nil"/>
          <w:bottom w:val="nil"/>
          <w:right w:val="nil"/>
          <w:between w:val="nil"/>
        </w:pBdr>
        <w:rPr>
          <w:color w:val="000000"/>
        </w:rPr>
      </w:pPr>
    </w:p>
    <w:p w14:paraId="2729DD42" w14:textId="0C1A0159" w:rsidR="00945D2A" w:rsidRDefault="00945D2A">
      <w:pPr>
        <w:pBdr>
          <w:top w:val="nil"/>
          <w:left w:val="nil"/>
          <w:bottom w:val="nil"/>
          <w:right w:val="nil"/>
          <w:between w:val="nil"/>
        </w:pBdr>
        <w:rPr>
          <w:color w:val="000000"/>
        </w:rPr>
      </w:pPr>
    </w:p>
    <w:p w14:paraId="5CB27B09" w14:textId="462701F4" w:rsidR="00945D2A" w:rsidRDefault="00945D2A">
      <w:pPr>
        <w:pBdr>
          <w:top w:val="nil"/>
          <w:left w:val="nil"/>
          <w:bottom w:val="nil"/>
          <w:right w:val="nil"/>
          <w:between w:val="nil"/>
        </w:pBdr>
        <w:rPr>
          <w:color w:val="000000"/>
        </w:rPr>
      </w:pPr>
    </w:p>
    <w:p w14:paraId="6182C6E1" w14:textId="71148C63" w:rsidR="00945D2A" w:rsidRDefault="00945D2A">
      <w:pPr>
        <w:pBdr>
          <w:top w:val="nil"/>
          <w:left w:val="nil"/>
          <w:bottom w:val="nil"/>
          <w:right w:val="nil"/>
          <w:between w:val="nil"/>
        </w:pBdr>
        <w:rPr>
          <w:color w:val="000000"/>
        </w:rPr>
      </w:pPr>
    </w:p>
    <w:p w14:paraId="3C5AAC53" w14:textId="77777777" w:rsidR="00945D2A" w:rsidRDefault="00945D2A">
      <w:pPr>
        <w:pBdr>
          <w:top w:val="nil"/>
          <w:left w:val="nil"/>
          <w:bottom w:val="nil"/>
          <w:right w:val="nil"/>
          <w:between w:val="nil"/>
        </w:pBdr>
        <w:rPr>
          <w:color w:val="000000"/>
        </w:rPr>
      </w:pPr>
    </w:p>
    <w:p w14:paraId="2266BA94" w14:textId="77777777" w:rsidR="003F6146" w:rsidRDefault="00296E1C">
      <w:pPr>
        <w:numPr>
          <w:ilvl w:val="0"/>
          <w:numId w:val="6"/>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Pr>
          <w:rFonts w:ascii="Arial" w:eastAsia="Arial" w:hAnsi="Arial" w:cs="Arial"/>
          <w:b/>
          <w:color w:val="000000"/>
          <w:sz w:val="24"/>
          <w:szCs w:val="24"/>
        </w:rPr>
        <w:lastRenderedPageBreak/>
        <w:t>Antecedentes del caso</w:t>
      </w:r>
      <w:r>
        <w:rPr>
          <w:rFonts w:ascii="Arial" w:eastAsia="Arial" w:hAnsi="Arial" w:cs="Arial"/>
          <w:b/>
          <w:color w:val="000000"/>
          <w:sz w:val="24"/>
          <w:szCs w:val="24"/>
          <w:vertAlign w:val="superscript"/>
        </w:rPr>
        <w:footnoteReference w:id="2"/>
      </w:r>
    </w:p>
    <w:p w14:paraId="5A10794F" w14:textId="77777777" w:rsidR="003F6146" w:rsidRDefault="003F6146">
      <w:pPr>
        <w:pBdr>
          <w:top w:val="nil"/>
          <w:left w:val="nil"/>
          <w:bottom w:val="nil"/>
          <w:right w:val="nil"/>
          <w:between w:val="nil"/>
        </w:pBdr>
        <w:rPr>
          <w:color w:val="000000"/>
        </w:rPr>
      </w:pPr>
    </w:p>
    <w:p w14:paraId="450AB8B8" w14:textId="77777777" w:rsidR="003F6146" w:rsidRDefault="00296E1C">
      <w:pPr>
        <w:numPr>
          <w:ilvl w:val="0"/>
          <w:numId w:val="7"/>
        </w:numPr>
        <w:pBdr>
          <w:top w:val="nil"/>
          <w:left w:val="nil"/>
          <w:bottom w:val="nil"/>
          <w:right w:val="nil"/>
          <w:between w:val="nil"/>
        </w:pBdr>
        <w:tabs>
          <w:tab w:val="left" w:pos="284"/>
          <w:tab w:val="left" w:pos="567"/>
        </w:tabs>
        <w:spacing w:line="360" w:lineRule="auto"/>
        <w:ind w:left="0" w:right="36" w:firstLine="0"/>
        <w:jc w:val="both"/>
        <w:rPr>
          <w:color w:val="000000"/>
        </w:rPr>
      </w:pPr>
      <w:bookmarkStart w:id="2" w:name="_1fob9te" w:colFirst="0" w:colLast="0"/>
      <w:bookmarkEnd w:id="2"/>
      <w:r>
        <w:rPr>
          <w:rFonts w:ascii="Arial" w:eastAsia="Arial" w:hAnsi="Arial" w:cs="Arial"/>
          <w:b/>
          <w:color w:val="000000"/>
          <w:sz w:val="24"/>
          <w:szCs w:val="24"/>
        </w:rPr>
        <w:t xml:space="preserve">PEL (2020-2021). </w:t>
      </w:r>
      <w:r>
        <w:rPr>
          <w:rFonts w:ascii="Arial" w:eastAsia="Arial" w:hAnsi="Arial" w:cs="Arial"/>
          <w:color w:val="000000"/>
          <w:sz w:val="24"/>
          <w:szCs w:val="24"/>
        </w:rPr>
        <w:t>El 3 de noviembre de 2020, inició el proceso electoral para renovar los Ayuntamientos y Diputaciones del Estado de Aguascalientes.</w:t>
      </w:r>
      <w:r>
        <w:rPr>
          <w:rFonts w:ascii="Arial" w:eastAsia="Arial" w:hAnsi="Arial" w:cs="Arial"/>
          <w:color w:val="000000"/>
          <w:sz w:val="24"/>
          <w:szCs w:val="24"/>
          <w:vertAlign w:val="superscript"/>
        </w:rPr>
        <w:footnoteReference w:id="3"/>
      </w:r>
    </w:p>
    <w:p w14:paraId="475D4FB2" w14:textId="77777777" w:rsidR="003F6146" w:rsidRDefault="003F6146" w:rsidP="00945D2A">
      <w:pPr>
        <w:pStyle w:val="Sinespaciado"/>
      </w:pPr>
    </w:p>
    <w:p w14:paraId="61C74C3C" w14:textId="77777777" w:rsidR="003F6146" w:rsidRDefault="00296E1C">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 xml:space="preserve">2. Denuncia. </w:t>
      </w:r>
      <w:r>
        <w:rPr>
          <w:rFonts w:ascii="Arial" w:eastAsia="Arial" w:hAnsi="Arial" w:cs="Arial"/>
          <w:sz w:val="24"/>
          <w:szCs w:val="24"/>
        </w:rPr>
        <w:t xml:space="preserve">El 19 de mayo, Karina Ivette Eudave Delgado, candidata de la coalición “Por Aguascalientes” a la Presidencia Municipal del Ayuntamiento de San Francisco de los Romo, presentó una queja ante el Instituto local en contra de quien resulte responsable de manejar la cuenta de Facebook: </w:t>
      </w:r>
      <w:r>
        <w:rPr>
          <w:rFonts w:ascii="Arial" w:eastAsia="Arial" w:hAnsi="Arial" w:cs="Arial"/>
          <w:i/>
          <w:sz w:val="24"/>
          <w:szCs w:val="24"/>
        </w:rPr>
        <w:t>“Parlamento Digital”,</w:t>
      </w:r>
      <w:r>
        <w:rPr>
          <w:rFonts w:ascii="Arial" w:eastAsia="Arial" w:hAnsi="Arial" w:cs="Arial"/>
          <w:sz w:val="24"/>
          <w:szCs w:val="24"/>
        </w:rPr>
        <w:t xml:space="preserve"> derivado de una publicación que se realizó en dicho perfil al considerar que actualiza calumnia y VPG en perjuicio de la denunciante. También solicitó la adopción de medidas cautelares. </w:t>
      </w:r>
    </w:p>
    <w:p w14:paraId="35C47B34" w14:textId="77777777" w:rsidR="003F6146" w:rsidRDefault="003F6146" w:rsidP="00945D2A">
      <w:pPr>
        <w:pStyle w:val="Sinespaciado"/>
      </w:pPr>
    </w:p>
    <w:p w14:paraId="4DB758D3" w14:textId="77777777" w:rsidR="003F6146" w:rsidRDefault="00296E1C">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 xml:space="preserve">3. Diligencias para mejor proveer. </w:t>
      </w:r>
      <w:r>
        <w:rPr>
          <w:rFonts w:ascii="Arial" w:eastAsia="Arial" w:hAnsi="Arial" w:cs="Arial"/>
          <w:sz w:val="24"/>
          <w:szCs w:val="24"/>
        </w:rPr>
        <w:t>El 22 de mayo, el Instituto Local ordenó al Departamento de Oficialía Electoral que realizara una diligencia para certificar la existencia y contenido de la publicación denunciada.</w:t>
      </w:r>
    </w:p>
    <w:p w14:paraId="0DD775D1" w14:textId="77777777" w:rsidR="003F6146" w:rsidRDefault="003F6146">
      <w:pPr>
        <w:pBdr>
          <w:top w:val="nil"/>
          <w:left w:val="nil"/>
          <w:bottom w:val="nil"/>
          <w:right w:val="nil"/>
          <w:between w:val="nil"/>
        </w:pBdr>
        <w:rPr>
          <w:color w:val="000000"/>
        </w:rPr>
      </w:pPr>
    </w:p>
    <w:p w14:paraId="1DCF7A44" w14:textId="63934350" w:rsidR="003F6146" w:rsidRDefault="00296E1C">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sz w:val="24"/>
          <w:szCs w:val="24"/>
        </w:rPr>
        <w:t>A su vez, remitió un oficio a la Policía Cibernética de la S</w:t>
      </w:r>
      <w:r w:rsidR="00136699">
        <w:rPr>
          <w:rFonts w:ascii="Arial" w:eastAsia="Arial" w:hAnsi="Arial" w:cs="Arial"/>
          <w:sz w:val="24"/>
          <w:szCs w:val="24"/>
        </w:rPr>
        <w:t xml:space="preserve">ecretaría de </w:t>
      </w:r>
      <w:r>
        <w:rPr>
          <w:rFonts w:ascii="Arial" w:eastAsia="Arial" w:hAnsi="Arial" w:cs="Arial"/>
          <w:sz w:val="24"/>
          <w:szCs w:val="24"/>
        </w:rPr>
        <w:t>S</w:t>
      </w:r>
      <w:r w:rsidR="00136699">
        <w:rPr>
          <w:rFonts w:ascii="Arial" w:eastAsia="Arial" w:hAnsi="Arial" w:cs="Arial"/>
          <w:sz w:val="24"/>
          <w:szCs w:val="24"/>
        </w:rPr>
        <w:t xml:space="preserve">eguridad </w:t>
      </w:r>
      <w:r>
        <w:rPr>
          <w:rFonts w:ascii="Arial" w:eastAsia="Arial" w:hAnsi="Arial" w:cs="Arial"/>
          <w:sz w:val="24"/>
          <w:szCs w:val="24"/>
        </w:rPr>
        <w:t>P</w:t>
      </w:r>
      <w:r w:rsidR="00136699">
        <w:rPr>
          <w:rFonts w:ascii="Arial" w:eastAsia="Arial" w:hAnsi="Arial" w:cs="Arial"/>
          <w:sz w:val="24"/>
          <w:szCs w:val="24"/>
        </w:rPr>
        <w:t>ública del Estado de Aguascalientes,</w:t>
      </w:r>
      <w:r>
        <w:rPr>
          <w:rFonts w:ascii="Arial" w:eastAsia="Arial" w:hAnsi="Arial" w:cs="Arial"/>
          <w:sz w:val="24"/>
          <w:szCs w:val="24"/>
        </w:rPr>
        <w:t xml:space="preserve"> a fin de ordenar que se realizara una investigación preliminar para recabar elementos que permitieran conocer el nombre y domicilio de la o el probable administrador del perfil de Facebook “Parlamento Digital”. </w:t>
      </w:r>
    </w:p>
    <w:p w14:paraId="3B92440B" w14:textId="77777777" w:rsidR="003F6146" w:rsidRDefault="003F6146">
      <w:pPr>
        <w:pBdr>
          <w:top w:val="nil"/>
          <w:left w:val="nil"/>
          <w:bottom w:val="nil"/>
          <w:right w:val="nil"/>
          <w:between w:val="nil"/>
        </w:pBdr>
        <w:rPr>
          <w:color w:val="000000"/>
        </w:rPr>
      </w:pPr>
    </w:p>
    <w:p w14:paraId="75491C74" w14:textId="77777777" w:rsidR="003F6146" w:rsidRDefault="00296E1C">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 xml:space="preserve">4. Medidas cautelares. </w:t>
      </w:r>
      <w:r>
        <w:rPr>
          <w:rFonts w:ascii="Arial" w:eastAsia="Arial" w:hAnsi="Arial" w:cs="Arial"/>
          <w:sz w:val="24"/>
          <w:szCs w:val="24"/>
        </w:rPr>
        <w:t xml:space="preserve">El 27 de mayo, la Comisión de Quejas y Denuncias declaró </w:t>
      </w:r>
      <w:r>
        <w:rPr>
          <w:rFonts w:ascii="Arial" w:eastAsia="Arial" w:hAnsi="Arial" w:cs="Arial"/>
          <w:b/>
          <w:sz w:val="24"/>
          <w:szCs w:val="24"/>
        </w:rPr>
        <w:t>improcedentes</w:t>
      </w:r>
      <w:r>
        <w:rPr>
          <w:rFonts w:ascii="Arial" w:eastAsia="Arial" w:hAnsi="Arial" w:cs="Arial"/>
          <w:sz w:val="24"/>
          <w:szCs w:val="24"/>
        </w:rPr>
        <w:t xml:space="preserve"> las medidas cautelares solicitadas, al considerar que las expresiones denunciadas no actualizaban los elementos jurisprudenciales previstos por la Sala Superior, para tener por acreditada la infracción de VPG.</w:t>
      </w:r>
      <w:r>
        <w:rPr>
          <w:rFonts w:ascii="Arial" w:eastAsia="Arial" w:hAnsi="Arial" w:cs="Arial"/>
          <w:sz w:val="24"/>
          <w:szCs w:val="24"/>
          <w:vertAlign w:val="superscript"/>
        </w:rPr>
        <w:footnoteReference w:id="4"/>
      </w:r>
    </w:p>
    <w:p w14:paraId="10D592C4" w14:textId="77777777" w:rsidR="003F6146" w:rsidRDefault="003F6146">
      <w:pPr>
        <w:pBdr>
          <w:top w:val="nil"/>
          <w:left w:val="nil"/>
          <w:bottom w:val="nil"/>
          <w:right w:val="nil"/>
          <w:between w:val="nil"/>
        </w:pBdr>
        <w:rPr>
          <w:color w:val="000000"/>
        </w:rPr>
      </w:pPr>
    </w:p>
    <w:p w14:paraId="6C6C3028" w14:textId="5A37CC09" w:rsidR="003F6146" w:rsidRDefault="00296E1C">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5. Respuesta a diligencias.</w:t>
      </w:r>
      <w:r>
        <w:rPr>
          <w:rFonts w:ascii="Arial" w:eastAsia="Arial" w:hAnsi="Arial" w:cs="Arial"/>
          <w:sz w:val="24"/>
          <w:szCs w:val="24"/>
        </w:rPr>
        <w:t xml:space="preserve"> El 24 de mayo, el departamento de Oficialía Electoral certificó el contenido de la publicación en cuestión y, a su vez, asentó el </w:t>
      </w:r>
      <w:r w:rsidR="00945D2A">
        <w:rPr>
          <w:rFonts w:ascii="Arial" w:eastAsia="Arial" w:hAnsi="Arial" w:cs="Arial"/>
          <w:sz w:val="24"/>
          <w:szCs w:val="24"/>
        </w:rPr>
        <w:t>contenido en</w:t>
      </w:r>
      <w:r>
        <w:rPr>
          <w:rFonts w:ascii="Arial" w:eastAsia="Arial" w:hAnsi="Arial" w:cs="Arial"/>
          <w:sz w:val="24"/>
          <w:szCs w:val="24"/>
        </w:rPr>
        <w:t xml:space="preserve"> el acta con número de diligencia IEE/OE/190/2021. </w:t>
      </w:r>
    </w:p>
    <w:p w14:paraId="0D806F43" w14:textId="77777777" w:rsidR="003F6146" w:rsidRDefault="003F6146">
      <w:pPr>
        <w:pBdr>
          <w:top w:val="nil"/>
          <w:left w:val="nil"/>
          <w:bottom w:val="nil"/>
          <w:right w:val="nil"/>
          <w:between w:val="nil"/>
        </w:pBdr>
        <w:rPr>
          <w:color w:val="000000"/>
        </w:rPr>
      </w:pPr>
    </w:p>
    <w:p w14:paraId="13391337" w14:textId="77777777" w:rsidR="003F6146" w:rsidRDefault="00296E1C">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sz w:val="24"/>
          <w:szCs w:val="24"/>
        </w:rPr>
        <w:lastRenderedPageBreak/>
        <w:t xml:space="preserve">Por su parte, el 1° de junio, la Policía Cibernética informó que derivado de la investigación ordenada, realizó una solicitud a la empresa Facebook a fin de obtener mayor información, sin embargo, refirió que tal empresa no le proporcionó mayores datos. </w:t>
      </w:r>
    </w:p>
    <w:p w14:paraId="0FA2EF76" w14:textId="77777777" w:rsidR="003F6146" w:rsidRDefault="003F6146">
      <w:pPr>
        <w:pBdr>
          <w:top w:val="nil"/>
          <w:left w:val="nil"/>
          <w:bottom w:val="nil"/>
          <w:right w:val="nil"/>
          <w:between w:val="nil"/>
        </w:pBdr>
        <w:rPr>
          <w:color w:val="000000"/>
        </w:rPr>
      </w:pPr>
    </w:p>
    <w:p w14:paraId="78C94A78" w14:textId="77777777" w:rsidR="003F6146" w:rsidRDefault="00296E1C">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3" w:name="_3znysh7" w:colFirst="0" w:colLast="0"/>
      <w:bookmarkEnd w:id="3"/>
      <w:r>
        <w:rPr>
          <w:rFonts w:ascii="Arial" w:eastAsia="Arial" w:hAnsi="Arial" w:cs="Arial"/>
          <w:b/>
          <w:sz w:val="24"/>
          <w:szCs w:val="24"/>
        </w:rPr>
        <w:t>6. Admisión.</w:t>
      </w:r>
      <w:r>
        <w:rPr>
          <w:rFonts w:ascii="Arial" w:eastAsia="Arial" w:hAnsi="Arial" w:cs="Arial"/>
          <w:sz w:val="24"/>
          <w:szCs w:val="24"/>
        </w:rPr>
        <w:t xml:space="preserve"> El 1° de junio, el Secretario Ejecutivo admitió a trámite la denuncia y le asignó el número de expediente IEE/PES/046/2021. </w:t>
      </w:r>
    </w:p>
    <w:p w14:paraId="5D3ADE2B" w14:textId="77777777" w:rsidR="003F6146" w:rsidRDefault="003F6146">
      <w:pPr>
        <w:pBdr>
          <w:top w:val="nil"/>
          <w:left w:val="nil"/>
          <w:bottom w:val="nil"/>
          <w:right w:val="nil"/>
          <w:between w:val="nil"/>
        </w:pBdr>
        <w:rPr>
          <w:color w:val="000000"/>
        </w:rPr>
      </w:pPr>
    </w:p>
    <w:p w14:paraId="366A0C23" w14:textId="77777777" w:rsidR="003F6146" w:rsidRDefault="00296E1C">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 xml:space="preserve">7. Audiencia de alegatos y remisión del expediente. </w:t>
      </w:r>
      <w:r>
        <w:rPr>
          <w:rFonts w:ascii="Arial" w:eastAsia="Arial" w:hAnsi="Arial" w:cs="Arial"/>
          <w:color w:val="000000"/>
          <w:sz w:val="24"/>
          <w:szCs w:val="24"/>
        </w:rPr>
        <w:t xml:space="preserve">El 4 de junio, se celebró la audiencia de pruebas y alegatos y, posteriormente, el Secretario Ejecutivo ordenó realizar el informe circunstanciado y remitió el expediente a este Tribunal. Al día siguiente, </w:t>
      </w:r>
      <w:r>
        <w:rPr>
          <w:rFonts w:ascii="Arial" w:eastAsia="Arial" w:hAnsi="Arial" w:cs="Arial"/>
          <w:sz w:val="24"/>
          <w:szCs w:val="24"/>
        </w:rPr>
        <w:t xml:space="preserve">se recibió en la oficialía de partes de este órgano jurisdiccional el expediente (IEE/PES/046/2021) en cuestión. </w:t>
      </w:r>
    </w:p>
    <w:p w14:paraId="1D605F80" w14:textId="77777777" w:rsidR="003F6146" w:rsidRDefault="003F6146">
      <w:pPr>
        <w:pBdr>
          <w:top w:val="nil"/>
          <w:left w:val="nil"/>
          <w:bottom w:val="nil"/>
          <w:right w:val="nil"/>
          <w:between w:val="nil"/>
        </w:pBdr>
        <w:rPr>
          <w:color w:val="000000"/>
        </w:rPr>
      </w:pPr>
    </w:p>
    <w:p w14:paraId="153C819A" w14:textId="77777777" w:rsidR="003F6146" w:rsidRDefault="00296E1C">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 xml:space="preserve">8. Turno, radicación y formulación del proyecto de resolución TEEA-PES-58/2021. </w:t>
      </w:r>
      <w:r>
        <w:rPr>
          <w:rFonts w:ascii="Arial" w:eastAsia="Arial" w:hAnsi="Arial" w:cs="Arial"/>
          <w:sz w:val="24"/>
          <w:szCs w:val="24"/>
        </w:rPr>
        <w:t>El 6 de junio, la Magistrada Presidenta ordenó el registro del asunto con el número de expediente TEEA-PES-058/2021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5"/>
      </w:r>
    </w:p>
    <w:p w14:paraId="4D44AB17" w14:textId="77777777" w:rsidR="003F6146" w:rsidRDefault="003F6146">
      <w:pPr>
        <w:pBdr>
          <w:top w:val="nil"/>
          <w:left w:val="nil"/>
          <w:bottom w:val="nil"/>
          <w:right w:val="nil"/>
          <w:between w:val="nil"/>
        </w:pBdr>
        <w:rPr>
          <w:color w:val="000000"/>
        </w:rPr>
      </w:pPr>
    </w:p>
    <w:p w14:paraId="5E646965" w14:textId="77777777" w:rsidR="003F6146" w:rsidRDefault="00296E1C">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es competente para resolver el presente procedimiento especial sancionador, ya que se denuncia la probable comisión de VPG y calumnia en perjuicio de la denunciante, atribuida a quien resulte responsable por el manejo de la cuenta de Facebook “Parlamento Digital”. Esto, de conformidad con los artículos 252, fracción II, 268, fracción IV, 274 y 275 del Código Electoral. </w:t>
      </w:r>
    </w:p>
    <w:p w14:paraId="4D2C31F0" w14:textId="77777777" w:rsidR="003F6146" w:rsidRDefault="00296E1C">
      <w:pPr>
        <w:pBdr>
          <w:top w:val="nil"/>
          <w:left w:val="nil"/>
          <w:bottom w:val="nil"/>
          <w:right w:val="nil"/>
          <w:between w:val="nil"/>
        </w:pBdr>
        <w:rPr>
          <w:color w:val="000000"/>
        </w:rPr>
      </w:pPr>
      <w:r>
        <w:rPr>
          <w:color w:val="000000"/>
        </w:rPr>
        <w:t xml:space="preserve"> </w:t>
      </w:r>
    </w:p>
    <w:p w14:paraId="3384B3C2" w14:textId="77777777" w:rsidR="003F6146" w:rsidRDefault="00296E1C">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los denunciados.</w:t>
      </w:r>
    </w:p>
    <w:p w14:paraId="04F0DEB7" w14:textId="77777777" w:rsidR="003F6146" w:rsidRDefault="003F6146">
      <w:pPr>
        <w:pBdr>
          <w:top w:val="nil"/>
          <w:left w:val="nil"/>
          <w:bottom w:val="nil"/>
          <w:right w:val="nil"/>
          <w:between w:val="nil"/>
        </w:pBdr>
        <w:rPr>
          <w:color w:val="000000"/>
        </w:rPr>
      </w:pPr>
    </w:p>
    <w:p w14:paraId="279CBFAA" w14:textId="77777777" w:rsidR="003F6146" w:rsidRDefault="00296E1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IV. Estudio de fondo</w:t>
      </w:r>
    </w:p>
    <w:p w14:paraId="4371A48A" w14:textId="77777777" w:rsidR="003F6146" w:rsidRDefault="003F6146">
      <w:pPr>
        <w:pBdr>
          <w:top w:val="nil"/>
          <w:left w:val="nil"/>
          <w:bottom w:val="nil"/>
          <w:right w:val="nil"/>
          <w:between w:val="nil"/>
        </w:pBdr>
        <w:rPr>
          <w:color w:val="000000"/>
        </w:rPr>
      </w:pPr>
    </w:p>
    <w:p w14:paraId="79C21C6B" w14:textId="77777777" w:rsidR="003F6146" w:rsidRDefault="00296E1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26C9305B" w14:textId="77777777" w:rsidR="003F6146" w:rsidRDefault="003F6146">
      <w:pPr>
        <w:pBdr>
          <w:top w:val="nil"/>
          <w:left w:val="nil"/>
          <w:bottom w:val="nil"/>
          <w:right w:val="nil"/>
          <w:between w:val="nil"/>
        </w:pBdr>
        <w:rPr>
          <w:color w:val="000000"/>
          <w:sz w:val="16"/>
          <w:szCs w:val="16"/>
        </w:rPr>
      </w:pPr>
    </w:p>
    <w:p w14:paraId="0F50D3BA" w14:textId="77777777" w:rsidR="003F6146" w:rsidRDefault="00296E1C">
      <w:pPr>
        <w:numPr>
          <w:ilvl w:val="1"/>
          <w:numId w:val="5"/>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r>
        <w:rPr>
          <w:rFonts w:ascii="Arial" w:eastAsia="Arial" w:hAnsi="Arial" w:cs="Arial"/>
          <w:b/>
          <w:color w:val="000000"/>
          <w:sz w:val="24"/>
          <w:szCs w:val="24"/>
        </w:rPr>
        <w:t xml:space="preserve">En contra del perfil de Facebook denominado “Parlamento Digital”. </w:t>
      </w:r>
      <w:r>
        <w:rPr>
          <w:rFonts w:ascii="Arial" w:eastAsia="Arial" w:hAnsi="Arial" w:cs="Arial"/>
          <w:color w:val="000000"/>
          <w:sz w:val="24"/>
          <w:szCs w:val="24"/>
        </w:rPr>
        <w:t>La quejosa refiere que la imagen que se publicó el 16 de mayo, en perfil de Facebook denominado “Parlamento Digital” contiene expresiones que la calumnian y, a su vez, constituyen VPG en su perjuicio, ello con la finalidad de menospreciar su candidatura.</w:t>
      </w:r>
    </w:p>
    <w:p w14:paraId="2AD730AE" w14:textId="77777777" w:rsidR="003F6146" w:rsidRDefault="003F6146">
      <w:pPr>
        <w:pBdr>
          <w:top w:val="nil"/>
          <w:left w:val="nil"/>
          <w:bottom w:val="nil"/>
          <w:right w:val="nil"/>
          <w:between w:val="nil"/>
        </w:pBdr>
        <w:rPr>
          <w:color w:val="000000"/>
        </w:rPr>
      </w:pPr>
    </w:p>
    <w:p w14:paraId="1C736033" w14:textId="77777777" w:rsidR="003F6146" w:rsidRDefault="00296E1C">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lastRenderedPageBreak/>
        <w:t xml:space="preserve">2.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p>
    <w:p w14:paraId="113E47F7" w14:textId="77777777" w:rsidR="003F6146" w:rsidRDefault="003F6146">
      <w:pPr>
        <w:pBdr>
          <w:top w:val="nil"/>
          <w:left w:val="nil"/>
          <w:bottom w:val="nil"/>
          <w:right w:val="nil"/>
          <w:between w:val="nil"/>
        </w:pBdr>
        <w:rPr>
          <w:color w:val="000000"/>
        </w:rPr>
      </w:pPr>
    </w:p>
    <w:p w14:paraId="23CA9ABC" w14:textId="5A24DACC" w:rsidR="003F6146" w:rsidRPr="005A679F" w:rsidRDefault="00296E1C" w:rsidP="005A679F">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2.1. Pruebas aportadas por la denunciante: </w:t>
      </w: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5A679F" w:rsidRPr="00F60B96" w14:paraId="0C7F070D" w14:textId="77777777" w:rsidTr="005F40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0C3822D8" w14:textId="77777777" w:rsidR="005A679F" w:rsidRPr="00F60B96" w:rsidRDefault="005A679F" w:rsidP="005F40FC">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609D602E" w14:textId="77777777" w:rsidR="005A679F" w:rsidRPr="00F60B96" w:rsidRDefault="005A679F" w:rsidP="005F40F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107FA8E5" w14:textId="77777777" w:rsidR="005A679F" w:rsidRPr="00F60B96" w:rsidRDefault="005A679F" w:rsidP="005F40F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5A679F" w:rsidRPr="00F60B96" w14:paraId="73E76916" w14:textId="77777777" w:rsidTr="005F40F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003E377F" w14:textId="77777777" w:rsidR="005A679F" w:rsidRPr="00F60B96" w:rsidRDefault="005A679F" w:rsidP="005F40FC">
            <w:pPr>
              <w:jc w:val="center"/>
              <w:rPr>
                <w:rFonts w:ascii="Arial" w:hAnsi="Arial" w:cs="Arial"/>
                <w:bCs w:val="0"/>
                <w:sz w:val="18"/>
                <w:szCs w:val="18"/>
              </w:rPr>
            </w:pPr>
            <w:r w:rsidRPr="00F60B96">
              <w:rPr>
                <w:rFonts w:ascii="Arial" w:hAnsi="Arial" w:cs="Arial"/>
                <w:bCs w:val="0"/>
                <w:sz w:val="18"/>
                <w:szCs w:val="18"/>
              </w:rPr>
              <w:t>1</w:t>
            </w:r>
          </w:p>
        </w:tc>
        <w:tc>
          <w:tcPr>
            <w:tcW w:w="2615" w:type="dxa"/>
          </w:tcPr>
          <w:p w14:paraId="6DE3B855" w14:textId="77777777" w:rsidR="005A679F" w:rsidRPr="00F60B96" w:rsidRDefault="005A679F" w:rsidP="005F40FC">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proofErr w:type="gramStart"/>
            <w:r w:rsidRPr="00F60B96">
              <w:rPr>
                <w:rFonts w:ascii="Arial" w:hAnsi="Arial" w:cs="Arial"/>
                <w:b/>
                <w:sz w:val="18"/>
                <w:szCs w:val="18"/>
              </w:rPr>
              <w:t>Documental pública</w:t>
            </w:r>
            <w:proofErr w:type="gramEnd"/>
            <w:r w:rsidRPr="00F60B96">
              <w:rPr>
                <w:rFonts w:ascii="Arial" w:hAnsi="Arial" w:cs="Arial"/>
                <w:b/>
                <w:sz w:val="18"/>
                <w:szCs w:val="18"/>
              </w:rPr>
              <w:t xml:space="preserve"> </w:t>
            </w:r>
          </w:p>
        </w:tc>
        <w:tc>
          <w:tcPr>
            <w:tcW w:w="5817" w:type="dxa"/>
          </w:tcPr>
          <w:p w14:paraId="542393BC" w14:textId="4B3EE7EF" w:rsidR="005A679F" w:rsidRPr="00F60B96" w:rsidRDefault="005A679F" w:rsidP="005F40F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eastAsia="Arial" w:hAnsi="Arial" w:cs="Arial"/>
                <w:sz w:val="18"/>
                <w:szCs w:val="18"/>
              </w:rPr>
              <w:t>Captura de pantalla de la publicación denunciada.</w:t>
            </w:r>
          </w:p>
        </w:tc>
      </w:tr>
      <w:tr w:rsidR="005A679F" w:rsidRPr="00F60B96" w14:paraId="75200F58" w14:textId="77777777" w:rsidTr="005F40FC">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0FB77060" w14:textId="77777777" w:rsidR="005A679F" w:rsidRPr="00F60B96" w:rsidRDefault="005A679F" w:rsidP="005F40FC">
            <w:pPr>
              <w:jc w:val="center"/>
              <w:rPr>
                <w:rFonts w:ascii="Arial" w:eastAsia="Arial Nova" w:hAnsi="Arial" w:cs="Arial"/>
                <w:bCs w:val="0"/>
                <w:sz w:val="18"/>
                <w:szCs w:val="18"/>
                <w:lang w:eastAsia="es-ES_tradnl"/>
              </w:rPr>
            </w:pPr>
            <w:r w:rsidRPr="00F60B96">
              <w:rPr>
                <w:rFonts w:ascii="Arial" w:eastAsia="Arial Nova" w:hAnsi="Arial" w:cs="Arial"/>
                <w:bCs w:val="0"/>
                <w:sz w:val="18"/>
                <w:szCs w:val="18"/>
                <w:lang w:eastAsia="es-ES_tradnl"/>
              </w:rPr>
              <w:t>2</w:t>
            </w:r>
          </w:p>
        </w:tc>
        <w:tc>
          <w:tcPr>
            <w:tcW w:w="2615" w:type="dxa"/>
          </w:tcPr>
          <w:p w14:paraId="0B5EBE43" w14:textId="77777777" w:rsidR="005A679F" w:rsidRPr="00F60B96" w:rsidRDefault="005A679F" w:rsidP="005F40FC">
            <w:pPr>
              <w:cnfStyle w:val="000000000000" w:firstRow="0" w:lastRow="0" w:firstColumn="0" w:lastColumn="0" w:oddVBand="0" w:evenVBand="0" w:oddHBand="0"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Instrumental de actuaciones</w:t>
            </w:r>
          </w:p>
        </w:tc>
        <w:tc>
          <w:tcPr>
            <w:tcW w:w="5817" w:type="dxa"/>
          </w:tcPr>
          <w:p w14:paraId="4CB5CA55" w14:textId="77777777" w:rsidR="005A679F" w:rsidRPr="00F60B96" w:rsidRDefault="005A679F" w:rsidP="005F40FC">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5A679F" w:rsidRPr="00F60B96" w14:paraId="213E765B" w14:textId="77777777" w:rsidTr="005F40FC">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499" w:type="dxa"/>
          </w:tcPr>
          <w:p w14:paraId="69F99575" w14:textId="77777777" w:rsidR="005A679F" w:rsidRPr="00F60B96" w:rsidRDefault="005A679F" w:rsidP="005F40FC">
            <w:pPr>
              <w:jc w:val="center"/>
              <w:rPr>
                <w:rFonts w:ascii="Arial" w:eastAsia="Arial Nova" w:hAnsi="Arial" w:cs="Arial"/>
                <w:bCs w:val="0"/>
                <w:sz w:val="18"/>
                <w:szCs w:val="18"/>
                <w:lang w:eastAsia="es-ES_tradnl"/>
              </w:rPr>
            </w:pPr>
            <w:r w:rsidRPr="00F60B96">
              <w:rPr>
                <w:rFonts w:ascii="Arial" w:eastAsia="Arial Nova" w:hAnsi="Arial" w:cs="Arial"/>
                <w:bCs w:val="0"/>
                <w:sz w:val="18"/>
                <w:szCs w:val="18"/>
                <w:lang w:eastAsia="es-ES_tradnl"/>
              </w:rPr>
              <w:t>3</w:t>
            </w:r>
          </w:p>
        </w:tc>
        <w:tc>
          <w:tcPr>
            <w:tcW w:w="2615" w:type="dxa"/>
          </w:tcPr>
          <w:p w14:paraId="26E79853" w14:textId="77777777" w:rsidR="005A679F" w:rsidRPr="00F60B96" w:rsidRDefault="005A679F" w:rsidP="005F40FC">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Presuncional legal y humana</w:t>
            </w:r>
          </w:p>
        </w:tc>
        <w:tc>
          <w:tcPr>
            <w:tcW w:w="5817" w:type="dxa"/>
          </w:tcPr>
          <w:p w14:paraId="1DCB746F" w14:textId="77777777" w:rsidR="005A679F" w:rsidRPr="00F60B96" w:rsidRDefault="005A679F" w:rsidP="005F40FC">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2E9EE99A" w14:textId="77777777" w:rsidR="003F6146" w:rsidRDefault="003F6146" w:rsidP="005A679F">
      <w:pPr>
        <w:pStyle w:val="Sinespaciado"/>
      </w:pPr>
    </w:p>
    <w:p w14:paraId="2174817A" w14:textId="77777777" w:rsidR="003F6146" w:rsidRDefault="00296E1C">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2.2. Valoración de pruebas. </w:t>
      </w:r>
      <w:r>
        <w:rPr>
          <w:rFonts w:ascii="Arial" w:eastAsia="Arial" w:hAnsi="Arial" w:cs="Arial"/>
          <w:color w:val="000000"/>
          <w:sz w:val="24"/>
          <w:szCs w:val="24"/>
        </w:rPr>
        <w:t>Las pruebas antes descritas se valoran conforme a al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6"/>
      </w:r>
    </w:p>
    <w:p w14:paraId="0D97F892" w14:textId="77777777" w:rsidR="003F6146" w:rsidRDefault="003F6146">
      <w:pPr>
        <w:pBdr>
          <w:top w:val="nil"/>
          <w:left w:val="nil"/>
          <w:bottom w:val="nil"/>
          <w:right w:val="nil"/>
          <w:between w:val="nil"/>
        </w:pBdr>
        <w:rPr>
          <w:color w:val="000000"/>
        </w:rPr>
      </w:pPr>
    </w:p>
    <w:p w14:paraId="1A27A4F3" w14:textId="77777777" w:rsidR="003F6146" w:rsidRDefault="00296E1C">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3.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7DEFC2AF" w14:textId="77777777" w:rsidR="003F6146" w:rsidRDefault="003F6146">
      <w:pPr>
        <w:pBdr>
          <w:top w:val="nil"/>
          <w:left w:val="nil"/>
          <w:bottom w:val="nil"/>
          <w:right w:val="nil"/>
          <w:between w:val="nil"/>
        </w:pBdr>
        <w:rPr>
          <w:color w:val="000000"/>
        </w:rPr>
      </w:pPr>
    </w:p>
    <w:p w14:paraId="720CAD8E" w14:textId="77777777" w:rsidR="003F6146" w:rsidRDefault="00296E1C">
      <w:pPr>
        <w:numPr>
          <w:ilvl w:val="0"/>
          <w:numId w:val="1"/>
        </w:numPr>
        <w:pBdr>
          <w:top w:val="nil"/>
          <w:left w:val="nil"/>
          <w:bottom w:val="nil"/>
          <w:right w:val="nil"/>
          <w:between w:val="nil"/>
        </w:pBdr>
        <w:spacing w:line="360" w:lineRule="auto"/>
        <w:ind w:left="426" w:right="36" w:hanging="426"/>
        <w:jc w:val="both"/>
        <w:rPr>
          <w:color w:val="000000"/>
          <w:sz w:val="24"/>
          <w:szCs w:val="24"/>
        </w:rPr>
      </w:pPr>
      <w:r>
        <w:rPr>
          <w:rFonts w:ascii="Arial" w:eastAsia="Arial" w:hAnsi="Arial" w:cs="Arial"/>
          <w:color w:val="000000"/>
          <w:sz w:val="24"/>
          <w:szCs w:val="24"/>
        </w:rPr>
        <w:t xml:space="preserve">La calidad de Karina Ivette Eudave Delgado como candidata de la coalición “Por Aguascalientes” a la Presidencia Municipal de San Francisco de los Romo. </w:t>
      </w:r>
    </w:p>
    <w:p w14:paraId="6B6B15B2" w14:textId="77777777" w:rsidR="003F6146" w:rsidRDefault="00296E1C">
      <w:pPr>
        <w:numPr>
          <w:ilvl w:val="0"/>
          <w:numId w:val="1"/>
        </w:numPr>
        <w:pBdr>
          <w:top w:val="nil"/>
          <w:left w:val="nil"/>
          <w:bottom w:val="nil"/>
          <w:right w:val="nil"/>
          <w:between w:val="nil"/>
        </w:pBdr>
        <w:spacing w:line="360" w:lineRule="auto"/>
        <w:ind w:left="426" w:right="36" w:hanging="426"/>
        <w:jc w:val="both"/>
        <w:rPr>
          <w:color w:val="000000"/>
          <w:sz w:val="24"/>
          <w:szCs w:val="24"/>
        </w:rPr>
      </w:pPr>
      <w:r>
        <w:rPr>
          <w:rFonts w:ascii="Arial" w:eastAsia="Arial" w:hAnsi="Arial" w:cs="Arial"/>
          <w:color w:val="000000"/>
          <w:sz w:val="24"/>
          <w:szCs w:val="24"/>
        </w:rPr>
        <w:t>La existencia del perfil de Facebook de nombre “Parlamento Digital”.</w:t>
      </w:r>
    </w:p>
    <w:p w14:paraId="062C4A46" w14:textId="77777777" w:rsidR="003F6146" w:rsidRDefault="00296E1C">
      <w:pPr>
        <w:numPr>
          <w:ilvl w:val="0"/>
          <w:numId w:val="1"/>
        </w:numPr>
        <w:pBdr>
          <w:top w:val="nil"/>
          <w:left w:val="nil"/>
          <w:bottom w:val="nil"/>
          <w:right w:val="nil"/>
          <w:between w:val="nil"/>
        </w:pBdr>
        <w:spacing w:line="360" w:lineRule="auto"/>
        <w:ind w:left="426" w:right="36" w:hanging="426"/>
        <w:jc w:val="both"/>
        <w:rPr>
          <w:color w:val="000000"/>
          <w:sz w:val="24"/>
          <w:szCs w:val="24"/>
        </w:rPr>
      </w:pPr>
      <w:r>
        <w:rPr>
          <w:rFonts w:ascii="Arial" w:eastAsia="Arial" w:hAnsi="Arial" w:cs="Arial"/>
          <w:color w:val="000000"/>
          <w:sz w:val="24"/>
          <w:szCs w:val="24"/>
        </w:rPr>
        <w:t>La existencia de la publicación denunciada, de la que se desprende la expresión denunciada, la cual es la siguiente:</w:t>
      </w:r>
    </w:p>
    <w:p w14:paraId="6C2A159A" w14:textId="77777777" w:rsidR="003F6146" w:rsidRDefault="003F6146">
      <w:pPr>
        <w:pBdr>
          <w:top w:val="nil"/>
          <w:left w:val="nil"/>
          <w:bottom w:val="nil"/>
          <w:right w:val="nil"/>
          <w:between w:val="nil"/>
        </w:pBdr>
        <w:rPr>
          <w:color w:val="000000"/>
          <w:sz w:val="14"/>
          <w:szCs w:val="14"/>
        </w:rPr>
      </w:pPr>
    </w:p>
    <w:tbl>
      <w:tblPr>
        <w:tblStyle w:val="a1"/>
        <w:tblW w:w="8505" w:type="dxa"/>
        <w:tblInd w:w="27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69"/>
        <w:gridCol w:w="4536"/>
      </w:tblGrid>
      <w:tr w:rsidR="003F6146" w14:paraId="3DBDE12C" w14:textId="77777777" w:rsidTr="005A679F">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69" w:type="dxa"/>
          </w:tcPr>
          <w:p w14:paraId="258B9B4D" w14:textId="77777777" w:rsidR="003F6146" w:rsidRDefault="00296E1C">
            <w:pPr>
              <w:tabs>
                <w:tab w:val="left" w:pos="426"/>
              </w:tabs>
              <w:ind w:right="36"/>
              <w:jc w:val="center"/>
              <w:rPr>
                <w:rFonts w:ascii="Arial" w:eastAsia="Arial" w:hAnsi="Arial" w:cs="Arial"/>
              </w:rPr>
            </w:pPr>
            <w:r>
              <w:rPr>
                <w:rFonts w:ascii="Arial" w:eastAsia="Arial" w:hAnsi="Arial" w:cs="Arial"/>
                <w:color w:val="000000"/>
              </w:rPr>
              <w:t>Imagen representativa</w:t>
            </w:r>
          </w:p>
        </w:tc>
        <w:tc>
          <w:tcPr>
            <w:tcW w:w="4536" w:type="dxa"/>
          </w:tcPr>
          <w:p w14:paraId="77D1913E" w14:textId="77777777" w:rsidR="003F6146" w:rsidRDefault="00296E1C">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rPr>
            </w:pPr>
            <w:r>
              <w:rPr>
                <w:rFonts w:ascii="Arial" w:eastAsia="Arial" w:hAnsi="Arial" w:cs="Arial"/>
                <w:color w:val="000000"/>
              </w:rPr>
              <w:t>Contenido denunciado</w:t>
            </w:r>
          </w:p>
        </w:tc>
      </w:tr>
      <w:tr w:rsidR="003F6146" w14:paraId="040B6B33" w14:textId="77777777" w:rsidTr="005A679F">
        <w:trPr>
          <w:cnfStyle w:val="000000100000" w:firstRow="0" w:lastRow="0" w:firstColumn="0" w:lastColumn="0" w:oddVBand="0" w:evenVBand="0" w:oddHBand="1" w:evenHBand="0" w:firstRowFirstColumn="0" w:firstRowLastColumn="0" w:lastRowFirstColumn="0" w:lastRowLastColumn="0"/>
          <w:trHeight w:val="2206"/>
        </w:trPr>
        <w:tc>
          <w:tcPr>
            <w:cnfStyle w:val="001000000000" w:firstRow="0" w:lastRow="0" w:firstColumn="1" w:lastColumn="0" w:oddVBand="0" w:evenVBand="0" w:oddHBand="0" w:evenHBand="0" w:firstRowFirstColumn="0" w:firstRowLastColumn="0" w:lastRowFirstColumn="0" w:lastRowLastColumn="0"/>
            <w:tcW w:w="3969" w:type="dxa"/>
          </w:tcPr>
          <w:p w14:paraId="38743352" w14:textId="77777777" w:rsidR="003F6146" w:rsidRDefault="003F6146">
            <w:pPr>
              <w:jc w:val="both"/>
              <w:rPr>
                <w:rFonts w:ascii="Arial" w:eastAsia="Arial" w:hAnsi="Arial" w:cs="Arial"/>
                <w:i/>
                <w:sz w:val="18"/>
                <w:szCs w:val="18"/>
              </w:rPr>
            </w:pPr>
          </w:p>
          <w:p w14:paraId="5CE19E90" w14:textId="77777777" w:rsidR="003F6146" w:rsidRDefault="00296E1C">
            <w:pPr>
              <w:jc w:val="center"/>
              <w:rPr>
                <w:rFonts w:ascii="Arial" w:eastAsia="Arial" w:hAnsi="Arial" w:cs="Arial"/>
                <w:sz w:val="18"/>
                <w:szCs w:val="18"/>
              </w:rPr>
            </w:pPr>
            <w:r>
              <w:rPr>
                <w:noProof/>
                <w:sz w:val="24"/>
                <w:szCs w:val="24"/>
              </w:rPr>
              <w:drawing>
                <wp:inline distT="0" distB="0" distL="0" distR="0" wp14:anchorId="3FF47404" wp14:editId="201389CF">
                  <wp:extent cx="1908565" cy="1183641"/>
                  <wp:effectExtent l="0" t="0" r="0" b="0"/>
                  <wp:docPr id="4" name="image3.png" descr="C:\Users\Ing Ignacio\Desktop\58.png"/>
                  <wp:cNvGraphicFramePr/>
                  <a:graphic xmlns:a="http://schemas.openxmlformats.org/drawingml/2006/main">
                    <a:graphicData uri="http://schemas.openxmlformats.org/drawingml/2006/picture">
                      <pic:pic xmlns:pic="http://schemas.openxmlformats.org/drawingml/2006/picture">
                        <pic:nvPicPr>
                          <pic:cNvPr id="0" name="image3.png" descr="C:\Users\Ing Ignacio\Desktop\58.png"/>
                          <pic:cNvPicPr preferRelativeResize="0"/>
                        </pic:nvPicPr>
                        <pic:blipFill>
                          <a:blip r:embed="rId8"/>
                          <a:srcRect/>
                          <a:stretch>
                            <a:fillRect/>
                          </a:stretch>
                        </pic:blipFill>
                        <pic:spPr>
                          <a:xfrm>
                            <a:off x="0" y="0"/>
                            <a:ext cx="1908565" cy="1183641"/>
                          </a:xfrm>
                          <a:prstGeom prst="rect">
                            <a:avLst/>
                          </a:prstGeom>
                          <a:ln/>
                        </pic:spPr>
                      </pic:pic>
                    </a:graphicData>
                  </a:graphic>
                </wp:inline>
              </w:drawing>
            </w:r>
          </w:p>
          <w:p w14:paraId="568CE8FB" w14:textId="77777777" w:rsidR="003F6146" w:rsidRDefault="003F6146">
            <w:pPr>
              <w:rPr>
                <w:rFonts w:ascii="Arial" w:eastAsia="Arial" w:hAnsi="Arial" w:cs="Arial"/>
                <w:sz w:val="18"/>
                <w:szCs w:val="18"/>
              </w:rPr>
            </w:pPr>
          </w:p>
        </w:tc>
        <w:tc>
          <w:tcPr>
            <w:tcW w:w="4536" w:type="dxa"/>
          </w:tcPr>
          <w:p w14:paraId="76D2C9E2" w14:textId="77777777" w:rsidR="003F6146" w:rsidRPr="005A679F" w:rsidRDefault="00296E1C">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i/>
                <w:color w:val="auto"/>
                <w:sz w:val="18"/>
                <w:szCs w:val="18"/>
              </w:rPr>
            </w:pPr>
            <w:r w:rsidRPr="005A679F">
              <w:rPr>
                <w:rFonts w:ascii="Arial" w:eastAsia="Arial" w:hAnsi="Arial" w:cs="Arial"/>
                <w:b/>
                <w:i/>
                <w:color w:val="auto"/>
                <w:sz w:val="18"/>
                <w:szCs w:val="18"/>
              </w:rPr>
              <w:t>“¡Ni un voto para la corrupción!</w:t>
            </w:r>
          </w:p>
          <w:p w14:paraId="0F97E81A" w14:textId="77777777" w:rsidR="003F6146" w:rsidRPr="005A679F" w:rsidRDefault="003F614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i/>
                <w:color w:val="auto"/>
                <w:sz w:val="18"/>
                <w:szCs w:val="18"/>
              </w:rPr>
            </w:pPr>
          </w:p>
          <w:p w14:paraId="51AFF0CE" w14:textId="77777777" w:rsidR="003F6146" w:rsidRPr="005A679F" w:rsidRDefault="00296E1C">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i/>
                <w:color w:val="auto"/>
                <w:sz w:val="18"/>
                <w:szCs w:val="18"/>
              </w:rPr>
            </w:pPr>
            <w:r w:rsidRPr="005A679F">
              <w:rPr>
                <w:rFonts w:ascii="Arial" w:eastAsia="Arial" w:hAnsi="Arial" w:cs="Arial"/>
                <w:b/>
                <w:i/>
                <w:color w:val="auto"/>
                <w:sz w:val="18"/>
                <w:szCs w:val="18"/>
              </w:rPr>
              <w:t>“VOTÓ EN CONTRA DE OTORGAR APOYO A LOS ADULTOS MAYORES Y A DISCAPACITADOS”</w:t>
            </w:r>
          </w:p>
          <w:p w14:paraId="65B5F3FD" w14:textId="77777777" w:rsidR="003F6146" w:rsidRPr="005A679F" w:rsidRDefault="003F614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auto"/>
                <w:sz w:val="18"/>
                <w:szCs w:val="18"/>
              </w:rPr>
            </w:pPr>
          </w:p>
          <w:p w14:paraId="105E12FF" w14:textId="77777777" w:rsidR="003F6146" w:rsidRPr="005A679F" w:rsidRDefault="003F614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auto"/>
                <w:sz w:val="18"/>
                <w:szCs w:val="18"/>
              </w:rPr>
            </w:pPr>
          </w:p>
        </w:tc>
      </w:tr>
    </w:tbl>
    <w:p w14:paraId="451C3D99" w14:textId="77777777" w:rsidR="003F6146" w:rsidRDefault="003F6146">
      <w:pPr>
        <w:pBdr>
          <w:top w:val="nil"/>
          <w:left w:val="nil"/>
          <w:bottom w:val="nil"/>
          <w:right w:val="nil"/>
          <w:between w:val="nil"/>
        </w:pBdr>
        <w:rPr>
          <w:color w:val="000000"/>
          <w:sz w:val="24"/>
          <w:szCs w:val="24"/>
        </w:rPr>
      </w:pPr>
    </w:p>
    <w:p w14:paraId="6773E7A7" w14:textId="77777777" w:rsidR="003F6146" w:rsidRDefault="00296E1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VI. Análisis de fondo</w:t>
      </w:r>
    </w:p>
    <w:p w14:paraId="648AE009" w14:textId="77777777" w:rsidR="003F6146" w:rsidRDefault="003F6146">
      <w:pPr>
        <w:pBdr>
          <w:top w:val="nil"/>
          <w:left w:val="nil"/>
          <w:bottom w:val="nil"/>
          <w:right w:val="nil"/>
          <w:between w:val="nil"/>
        </w:pBdr>
        <w:rPr>
          <w:color w:val="000000"/>
          <w:sz w:val="16"/>
          <w:szCs w:val="16"/>
        </w:rPr>
      </w:pPr>
    </w:p>
    <w:p w14:paraId="3EC1A877" w14:textId="77777777" w:rsidR="003F6146" w:rsidRDefault="00296E1C">
      <w:pPr>
        <w:numPr>
          <w:ilvl w:val="0"/>
          <w:numId w:val="4"/>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2668A5FD" w14:textId="7BE47AEC" w:rsidR="003F6146" w:rsidRDefault="003F6146">
      <w:pPr>
        <w:pBdr>
          <w:top w:val="nil"/>
          <w:left w:val="nil"/>
          <w:bottom w:val="nil"/>
          <w:right w:val="nil"/>
          <w:between w:val="nil"/>
        </w:pBdr>
        <w:rPr>
          <w:color w:val="000000"/>
          <w:sz w:val="14"/>
          <w:szCs w:val="14"/>
        </w:rPr>
      </w:pPr>
    </w:p>
    <w:p w14:paraId="074CAC92" w14:textId="77777777" w:rsidR="00945D2A" w:rsidRDefault="00945D2A">
      <w:pPr>
        <w:pBdr>
          <w:top w:val="nil"/>
          <w:left w:val="nil"/>
          <w:bottom w:val="nil"/>
          <w:right w:val="nil"/>
          <w:between w:val="nil"/>
        </w:pBdr>
        <w:rPr>
          <w:color w:val="000000"/>
          <w:sz w:val="14"/>
          <w:szCs w:val="14"/>
        </w:rPr>
      </w:pPr>
    </w:p>
    <w:p w14:paraId="17B49CB3" w14:textId="77777777" w:rsidR="003F6146" w:rsidRDefault="00296E1C">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lastRenderedPageBreak/>
        <w:t xml:space="preserve">i) </w:t>
      </w:r>
      <w:r>
        <w:rPr>
          <w:rFonts w:ascii="Arial" w:eastAsia="Arial" w:hAnsi="Arial" w:cs="Arial"/>
          <w:color w:val="000000"/>
          <w:sz w:val="24"/>
          <w:szCs w:val="24"/>
        </w:rPr>
        <w:t xml:space="preserve">¿Si </w:t>
      </w:r>
      <w:r>
        <w:rPr>
          <w:rFonts w:ascii="Arial" w:eastAsia="Arial" w:hAnsi="Arial" w:cs="Arial"/>
          <w:b/>
          <w:color w:val="000000"/>
          <w:sz w:val="24"/>
          <w:szCs w:val="24"/>
        </w:rPr>
        <w:t>el contenido</w:t>
      </w:r>
      <w:r>
        <w:rPr>
          <w:rFonts w:ascii="Arial" w:eastAsia="Arial" w:hAnsi="Arial" w:cs="Arial"/>
          <w:color w:val="000000"/>
          <w:sz w:val="24"/>
          <w:szCs w:val="24"/>
        </w:rPr>
        <w:t xml:space="preserve"> de </w:t>
      </w:r>
      <w:r>
        <w:rPr>
          <w:rFonts w:ascii="Arial" w:eastAsia="Arial" w:hAnsi="Arial" w:cs="Arial"/>
          <w:b/>
          <w:color w:val="000000"/>
          <w:sz w:val="24"/>
          <w:szCs w:val="24"/>
        </w:rPr>
        <w:t>la publicación</w:t>
      </w:r>
      <w:r>
        <w:rPr>
          <w:rFonts w:ascii="Arial" w:eastAsia="Arial" w:hAnsi="Arial" w:cs="Arial"/>
          <w:color w:val="000000"/>
          <w:sz w:val="24"/>
          <w:szCs w:val="24"/>
        </w:rPr>
        <w:t xml:space="preserve"> y la difusión a través de la red social Facebook de esta, </w:t>
      </w:r>
      <w:r>
        <w:rPr>
          <w:rFonts w:ascii="Arial" w:eastAsia="Arial" w:hAnsi="Arial" w:cs="Arial"/>
          <w:b/>
          <w:color w:val="000000"/>
          <w:sz w:val="24"/>
          <w:szCs w:val="24"/>
        </w:rPr>
        <w:t>actualiza la infracción de VPG,</w:t>
      </w:r>
      <w:r>
        <w:rPr>
          <w:rFonts w:ascii="Arial" w:eastAsia="Arial" w:hAnsi="Arial" w:cs="Arial"/>
          <w:color w:val="000000"/>
          <w:sz w:val="24"/>
          <w:szCs w:val="24"/>
        </w:rPr>
        <w:t xml:space="preserve"> en perjuicio de la candidata Karina Ivette Eudave Delgado? y, a su vez, </w:t>
      </w:r>
      <w:r>
        <w:rPr>
          <w:rFonts w:ascii="Arial" w:eastAsia="Arial" w:hAnsi="Arial" w:cs="Arial"/>
          <w:b/>
          <w:i/>
          <w:color w:val="000000"/>
          <w:sz w:val="24"/>
          <w:szCs w:val="24"/>
        </w:rPr>
        <w:t xml:space="preserve">b) </w:t>
      </w:r>
      <w:r>
        <w:rPr>
          <w:rFonts w:ascii="Arial" w:eastAsia="Arial" w:hAnsi="Arial" w:cs="Arial"/>
          <w:color w:val="000000"/>
          <w:sz w:val="24"/>
          <w:szCs w:val="24"/>
        </w:rPr>
        <w:t xml:space="preserve">¿Si </w:t>
      </w:r>
      <w:r>
        <w:rPr>
          <w:rFonts w:ascii="Arial" w:eastAsia="Arial" w:hAnsi="Arial" w:cs="Arial"/>
          <w:b/>
          <w:color w:val="000000"/>
          <w:sz w:val="24"/>
          <w:szCs w:val="24"/>
        </w:rPr>
        <w:t>tales expresiones actualizan</w:t>
      </w:r>
      <w:r>
        <w:rPr>
          <w:rFonts w:ascii="Arial" w:eastAsia="Arial" w:hAnsi="Arial" w:cs="Arial"/>
          <w:color w:val="000000"/>
          <w:sz w:val="24"/>
          <w:szCs w:val="24"/>
        </w:rPr>
        <w:t xml:space="preserve"> la infracción de </w:t>
      </w:r>
      <w:r>
        <w:rPr>
          <w:rFonts w:ascii="Arial" w:eastAsia="Arial" w:hAnsi="Arial" w:cs="Arial"/>
          <w:b/>
          <w:color w:val="000000"/>
          <w:sz w:val="24"/>
          <w:szCs w:val="24"/>
        </w:rPr>
        <w:t xml:space="preserve">calumnia </w:t>
      </w:r>
      <w:r>
        <w:rPr>
          <w:rFonts w:ascii="Arial" w:eastAsia="Arial" w:hAnsi="Arial" w:cs="Arial"/>
          <w:color w:val="000000"/>
          <w:sz w:val="24"/>
          <w:szCs w:val="24"/>
        </w:rPr>
        <w:t>también en su perjuicio?</w:t>
      </w:r>
    </w:p>
    <w:p w14:paraId="65B13609" w14:textId="77777777" w:rsidR="005A679F" w:rsidRDefault="005A679F">
      <w:pPr>
        <w:pBdr>
          <w:top w:val="nil"/>
          <w:left w:val="nil"/>
          <w:bottom w:val="nil"/>
          <w:right w:val="nil"/>
          <w:between w:val="nil"/>
        </w:pBdr>
        <w:rPr>
          <w:color w:val="000000"/>
        </w:rPr>
      </w:pPr>
    </w:p>
    <w:p w14:paraId="311D70B9" w14:textId="77777777" w:rsidR="003F6146" w:rsidRDefault="00296E1C">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b/>
          <w:sz w:val="24"/>
          <w:szCs w:val="24"/>
          <w:u w:val="single"/>
        </w:rPr>
        <w:t>Apartado I.</w:t>
      </w:r>
      <w:r>
        <w:rPr>
          <w:rFonts w:ascii="Arial" w:eastAsia="Arial" w:hAnsi="Arial" w:cs="Arial"/>
          <w:b/>
          <w:sz w:val="24"/>
          <w:szCs w:val="24"/>
        </w:rPr>
        <w:t xml:space="preserve"> Decisión.</w:t>
      </w:r>
      <w:r>
        <w:rPr>
          <w:rFonts w:ascii="Arial" w:eastAsia="Arial" w:hAnsi="Arial" w:cs="Arial"/>
          <w:sz w:val="24"/>
          <w:szCs w:val="24"/>
        </w:rPr>
        <w:t xml:space="preserve"> </w:t>
      </w:r>
    </w:p>
    <w:p w14:paraId="517A3243" w14:textId="77777777" w:rsidR="003F6146" w:rsidRDefault="003F6146">
      <w:pPr>
        <w:pBdr>
          <w:top w:val="nil"/>
          <w:left w:val="nil"/>
          <w:bottom w:val="nil"/>
          <w:right w:val="nil"/>
          <w:between w:val="nil"/>
        </w:pBdr>
        <w:rPr>
          <w:color w:val="000000"/>
        </w:rPr>
      </w:pPr>
    </w:p>
    <w:p w14:paraId="57E71200" w14:textId="240344E6" w:rsidR="003F6146" w:rsidRDefault="00296E1C">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 xml:space="preserve">Este Tribunal considera que </w:t>
      </w:r>
      <w:r>
        <w:rPr>
          <w:rFonts w:ascii="Arial" w:eastAsia="Arial" w:hAnsi="Arial" w:cs="Arial"/>
          <w:b/>
          <w:sz w:val="24"/>
          <w:szCs w:val="24"/>
        </w:rPr>
        <w:t>no se acreditan las infracciones</w:t>
      </w:r>
      <w:r>
        <w:rPr>
          <w:rFonts w:ascii="Arial" w:eastAsia="Arial" w:hAnsi="Arial" w:cs="Arial"/>
          <w:sz w:val="24"/>
          <w:szCs w:val="24"/>
        </w:rPr>
        <w:t xml:space="preserve"> denunciadas, porque: </w:t>
      </w:r>
      <w:r>
        <w:rPr>
          <w:rFonts w:ascii="Arial" w:eastAsia="Arial" w:hAnsi="Arial" w:cs="Arial"/>
          <w:b/>
          <w:i/>
          <w:sz w:val="24"/>
          <w:szCs w:val="24"/>
        </w:rPr>
        <w:t>a)</w:t>
      </w:r>
      <w:r>
        <w:rPr>
          <w:rFonts w:ascii="Arial" w:eastAsia="Arial" w:hAnsi="Arial" w:cs="Arial"/>
          <w:sz w:val="24"/>
          <w:szCs w:val="24"/>
        </w:rPr>
        <w:t xml:space="preserve"> en cuanto a la violencia política en razón de género, las expresiones denunciadas no se tratan de expresiones violentas ni tampoco contienen elementos de género</w:t>
      </w:r>
      <w:r>
        <w:rPr>
          <w:rFonts w:ascii="Arial" w:eastAsia="Arial" w:hAnsi="Arial" w:cs="Arial"/>
          <w:b/>
          <w:sz w:val="24"/>
          <w:szCs w:val="24"/>
        </w:rPr>
        <w:t xml:space="preserve"> </w:t>
      </w:r>
      <w:r>
        <w:rPr>
          <w:rFonts w:ascii="Arial" w:eastAsia="Arial" w:hAnsi="Arial" w:cs="Arial"/>
          <w:sz w:val="24"/>
          <w:szCs w:val="24"/>
        </w:rPr>
        <w:t xml:space="preserve">en perjuicio de la denunciante y; </w:t>
      </w:r>
      <w:r>
        <w:rPr>
          <w:rFonts w:ascii="Arial" w:eastAsia="Arial" w:hAnsi="Arial" w:cs="Arial"/>
          <w:b/>
          <w:i/>
          <w:sz w:val="24"/>
          <w:szCs w:val="24"/>
        </w:rPr>
        <w:t>b)</w:t>
      </w:r>
      <w:r>
        <w:rPr>
          <w:rFonts w:ascii="Arial" w:eastAsia="Arial" w:hAnsi="Arial" w:cs="Arial"/>
          <w:sz w:val="24"/>
          <w:szCs w:val="24"/>
        </w:rPr>
        <w:t xml:space="preserve"> en lo relativo a la calumnia no se acreditó el </w:t>
      </w:r>
      <w:r>
        <w:rPr>
          <w:rFonts w:ascii="Arial" w:eastAsia="Arial" w:hAnsi="Arial" w:cs="Arial"/>
          <w:b/>
          <w:sz w:val="24"/>
          <w:szCs w:val="24"/>
        </w:rPr>
        <w:t xml:space="preserve">elemento objetivo </w:t>
      </w:r>
      <w:r>
        <w:rPr>
          <w:rFonts w:ascii="Arial" w:eastAsia="Arial" w:hAnsi="Arial" w:cs="Arial"/>
          <w:sz w:val="24"/>
          <w:szCs w:val="24"/>
        </w:rPr>
        <w:t xml:space="preserve">que requiere que </w:t>
      </w:r>
      <w:r w:rsidR="005A679F">
        <w:rPr>
          <w:rFonts w:ascii="Arial" w:eastAsia="Arial" w:hAnsi="Arial" w:cs="Arial"/>
          <w:sz w:val="24"/>
          <w:szCs w:val="24"/>
        </w:rPr>
        <w:t>el contenido de los mensajes</w:t>
      </w:r>
      <w:r w:rsidR="005A679F">
        <w:rPr>
          <w:rFonts w:ascii="Arial" w:eastAsia="Arial" w:hAnsi="Arial" w:cs="Arial"/>
          <w:b/>
          <w:sz w:val="24"/>
          <w:szCs w:val="24"/>
        </w:rPr>
        <w:t xml:space="preserve"> advierta</w:t>
      </w:r>
      <w:r>
        <w:rPr>
          <w:rFonts w:ascii="Arial" w:eastAsia="Arial" w:hAnsi="Arial" w:cs="Arial"/>
          <w:b/>
          <w:sz w:val="24"/>
          <w:szCs w:val="24"/>
        </w:rPr>
        <w:t xml:space="preserve"> la imputación directa de un hecho o delito que sea falso</w:t>
      </w:r>
      <w:r>
        <w:rPr>
          <w:rFonts w:ascii="Arial" w:eastAsia="Arial" w:hAnsi="Arial" w:cs="Arial"/>
          <w:sz w:val="24"/>
          <w:szCs w:val="24"/>
        </w:rPr>
        <w:t xml:space="preserve">. </w:t>
      </w:r>
    </w:p>
    <w:p w14:paraId="620FBD6A" w14:textId="2C76FBBB" w:rsidR="003F6146" w:rsidRPr="005A679F" w:rsidRDefault="00296E1C">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Lo anterior debe ser así, porque si bien la autoridad administrativa no logró identificar al sujeto denunciado a pesar de las acciones de investigación que realizó para ello, también es que a ningún fin práctico llevaría reponer el procedimiento, dado que no se acreditaron las infracciones y, por tanto, no sería posible atribuir la responsabilidad de estas a ninguna persona.</w:t>
      </w:r>
      <w:r>
        <w:rPr>
          <w:rFonts w:ascii="Arial" w:eastAsia="Arial" w:hAnsi="Arial" w:cs="Arial"/>
          <w:b/>
          <w:sz w:val="24"/>
          <w:szCs w:val="24"/>
        </w:rPr>
        <w:t xml:space="preserve"> </w:t>
      </w:r>
      <w:r>
        <w:rPr>
          <w:rFonts w:ascii="Arial" w:eastAsia="Arial" w:hAnsi="Arial" w:cs="Arial"/>
          <w:sz w:val="24"/>
          <w:szCs w:val="24"/>
        </w:rPr>
        <w:t xml:space="preserve"> </w:t>
      </w:r>
    </w:p>
    <w:p w14:paraId="10E26CD8" w14:textId="77777777" w:rsidR="003F6146" w:rsidRDefault="00296E1C">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59764C12" w14:textId="77777777" w:rsidR="003F6146" w:rsidRDefault="003F6146">
      <w:pPr>
        <w:pBdr>
          <w:top w:val="nil"/>
          <w:left w:val="nil"/>
          <w:bottom w:val="nil"/>
          <w:right w:val="nil"/>
          <w:between w:val="nil"/>
        </w:pBdr>
        <w:rPr>
          <w:color w:val="000000"/>
        </w:rPr>
      </w:pPr>
    </w:p>
    <w:p w14:paraId="2A5131D2" w14:textId="77777777" w:rsidR="003F6146" w:rsidRDefault="00296E1C">
      <w:pPr>
        <w:pBdr>
          <w:top w:val="nil"/>
          <w:left w:val="nil"/>
          <w:bottom w:val="nil"/>
          <w:right w:val="nil"/>
          <w:between w:val="nil"/>
        </w:pBdr>
        <w:tabs>
          <w:tab w:val="left" w:pos="284"/>
        </w:tabs>
        <w:spacing w:line="360" w:lineRule="auto"/>
        <w:ind w:right="36"/>
        <w:jc w:val="both"/>
        <w:rPr>
          <w:rFonts w:ascii="Arial" w:eastAsia="Arial" w:hAnsi="Arial" w:cs="Arial"/>
          <w:b/>
          <w:sz w:val="24"/>
          <w:szCs w:val="24"/>
          <w:u w:val="single"/>
        </w:rPr>
      </w:pPr>
      <w:r>
        <w:rPr>
          <w:rFonts w:ascii="Arial" w:eastAsia="Arial" w:hAnsi="Arial" w:cs="Arial"/>
          <w:b/>
          <w:sz w:val="24"/>
          <w:szCs w:val="24"/>
          <w:u w:val="single"/>
        </w:rPr>
        <w:t>Tema 1. Violencia política contra las mujeres en razón de género</w:t>
      </w:r>
    </w:p>
    <w:p w14:paraId="07F1129E" w14:textId="77777777" w:rsidR="003F6146" w:rsidRDefault="003F6146">
      <w:pPr>
        <w:pBdr>
          <w:top w:val="nil"/>
          <w:left w:val="nil"/>
          <w:bottom w:val="nil"/>
          <w:right w:val="nil"/>
          <w:between w:val="nil"/>
        </w:pBdr>
        <w:rPr>
          <w:color w:val="000000"/>
          <w:sz w:val="16"/>
          <w:szCs w:val="16"/>
        </w:rPr>
      </w:pPr>
    </w:p>
    <w:p w14:paraId="4663FC42" w14:textId="77777777" w:rsidR="003F6146" w:rsidRDefault="00296E1C">
      <w:pPr>
        <w:numPr>
          <w:ilvl w:val="0"/>
          <w:numId w:val="3"/>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Marco normativo violencia política en razón de género</w:t>
      </w:r>
    </w:p>
    <w:p w14:paraId="04D1470C" w14:textId="77777777" w:rsidR="003F6146" w:rsidRDefault="003F6146">
      <w:pPr>
        <w:pBdr>
          <w:top w:val="nil"/>
          <w:left w:val="nil"/>
          <w:bottom w:val="nil"/>
          <w:right w:val="nil"/>
          <w:between w:val="nil"/>
        </w:pBdr>
        <w:rPr>
          <w:color w:val="000000"/>
          <w:sz w:val="16"/>
          <w:szCs w:val="16"/>
        </w:rPr>
      </w:pPr>
    </w:p>
    <w:p w14:paraId="6B9F4D61" w14:textId="77777777" w:rsidR="003F6146" w:rsidRDefault="00296E1C">
      <w:pPr>
        <w:tabs>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A partir de la reciente reforma del trece de abril de dos mil veinte en materia de VPG, se estableció, entre otras cuestiones, que la violencia política contra la mujer es </w:t>
      </w:r>
      <w:r>
        <w:rPr>
          <w:rFonts w:ascii="Arial" w:eastAsia="Arial" w:hAnsi="Arial" w:cs="Arial"/>
          <w:b/>
          <w:sz w:val="24"/>
          <w:szCs w:val="24"/>
        </w:rPr>
        <w:t>cualquier acción u omisión</w:t>
      </w:r>
      <w:r>
        <w:rPr>
          <w:rFonts w:ascii="Arial" w:eastAsia="Arial" w:hAnsi="Arial" w:cs="Arial"/>
          <w:sz w:val="24"/>
          <w:szCs w:val="24"/>
        </w:rPr>
        <w:t xml:space="preserve"> que se base en </w:t>
      </w:r>
      <w:r>
        <w:rPr>
          <w:rFonts w:ascii="Arial" w:eastAsia="Arial" w:hAnsi="Arial" w:cs="Arial"/>
          <w:b/>
          <w:sz w:val="24"/>
          <w:szCs w:val="24"/>
        </w:rPr>
        <w:t>elementos de género</w:t>
      </w:r>
      <w:r>
        <w:rPr>
          <w:rFonts w:ascii="Arial" w:eastAsia="Arial" w:hAnsi="Arial" w:cs="Arial"/>
          <w:sz w:val="24"/>
          <w:szCs w:val="24"/>
        </w:rPr>
        <w:t xml:space="preserve"> y que tenga como objeto </w:t>
      </w:r>
      <w:r>
        <w:rPr>
          <w:rFonts w:ascii="Arial" w:eastAsia="Arial" w:hAnsi="Arial" w:cs="Arial"/>
          <w:b/>
          <w:sz w:val="24"/>
          <w:szCs w:val="24"/>
        </w:rPr>
        <w:t xml:space="preserve">limitar, anular o menoscabar el ejercicio </w:t>
      </w:r>
      <w:r>
        <w:rPr>
          <w:rFonts w:ascii="Arial" w:eastAsia="Arial" w:hAnsi="Arial" w:cs="Arial"/>
          <w:sz w:val="24"/>
          <w:szCs w:val="24"/>
        </w:rPr>
        <w:t xml:space="preserve">pleno de los </w:t>
      </w:r>
      <w:r>
        <w:rPr>
          <w:rFonts w:ascii="Arial" w:eastAsia="Arial" w:hAnsi="Arial" w:cs="Arial"/>
          <w:b/>
          <w:sz w:val="24"/>
          <w:szCs w:val="24"/>
        </w:rPr>
        <w:t>derechos políticos y electorales de las mujeres</w:t>
      </w:r>
      <w:r>
        <w:rPr>
          <w:rFonts w:ascii="Arial" w:eastAsia="Arial" w:hAnsi="Arial" w:cs="Arial"/>
          <w:sz w:val="24"/>
          <w:szCs w:val="24"/>
        </w:rPr>
        <w:t>.</w:t>
      </w:r>
      <w:r>
        <w:rPr>
          <w:rFonts w:ascii="Arial" w:eastAsia="Arial" w:hAnsi="Arial" w:cs="Arial"/>
          <w:sz w:val="24"/>
          <w:szCs w:val="24"/>
          <w:vertAlign w:val="superscript"/>
        </w:rPr>
        <w:footnoteReference w:id="7"/>
      </w:r>
    </w:p>
    <w:p w14:paraId="59688104" w14:textId="77777777" w:rsidR="003F6146" w:rsidRDefault="003F6146">
      <w:pPr>
        <w:pBdr>
          <w:top w:val="nil"/>
          <w:left w:val="nil"/>
          <w:bottom w:val="nil"/>
          <w:right w:val="nil"/>
          <w:between w:val="nil"/>
        </w:pBdr>
        <w:rPr>
          <w:color w:val="000000"/>
        </w:rPr>
      </w:pPr>
    </w:p>
    <w:p w14:paraId="192A5D2F" w14:textId="77777777" w:rsidR="003F6146" w:rsidRDefault="00296E1C">
      <w:pPr>
        <w:tabs>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Así, la línea jurisprudencial que ha emitido la Sala Superior establece que en los casos en los que se alegue violencia política por razones de género y, al tratarse de un problema de orden público, </w:t>
      </w:r>
      <w:r>
        <w:rPr>
          <w:rFonts w:ascii="Arial" w:eastAsia="Arial" w:hAnsi="Arial" w:cs="Arial"/>
          <w:b/>
          <w:sz w:val="24"/>
          <w:szCs w:val="24"/>
        </w:rPr>
        <w:t>las autoridades electorales</w:t>
      </w:r>
      <w:r>
        <w:rPr>
          <w:rFonts w:ascii="Arial" w:eastAsia="Arial" w:hAnsi="Arial" w:cs="Arial"/>
          <w:sz w:val="24"/>
          <w:szCs w:val="24"/>
        </w:rPr>
        <w:t xml:space="preserve"> </w:t>
      </w:r>
      <w:r>
        <w:rPr>
          <w:rFonts w:ascii="Arial" w:eastAsia="Arial" w:hAnsi="Arial" w:cs="Arial"/>
          <w:b/>
          <w:sz w:val="24"/>
          <w:szCs w:val="24"/>
        </w:rPr>
        <w:t xml:space="preserve">deben realizar un análisis </w:t>
      </w:r>
      <w:r>
        <w:rPr>
          <w:rFonts w:ascii="Arial" w:eastAsia="Arial" w:hAnsi="Arial" w:cs="Arial"/>
          <w:sz w:val="24"/>
          <w:szCs w:val="24"/>
        </w:rPr>
        <w:t xml:space="preserve">de todos los </w:t>
      </w:r>
      <w:r>
        <w:rPr>
          <w:rFonts w:ascii="Arial" w:eastAsia="Arial" w:hAnsi="Arial" w:cs="Arial"/>
          <w:b/>
          <w:sz w:val="24"/>
          <w:szCs w:val="24"/>
        </w:rPr>
        <w:t>hechos y agravios</w:t>
      </w:r>
      <w:r>
        <w:rPr>
          <w:rFonts w:ascii="Arial" w:eastAsia="Arial" w:hAnsi="Arial" w:cs="Arial"/>
          <w:sz w:val="24"/>
          <w:szCs w:val="24"/>
        </w:rPr>
        <w:t xml:space="preserve"> que expongan las partes con el propósito de hacer efectivo al acceso a la justicia.</w:t>
      </w:r>
      <w:r>
        <w:rPr>
          <w:rFonts w:ascii="Arial" w:eastAsia="Arial" w:hAnsi="Arial" w:cs="Arial"/>
          <w:sz w:val="24"/>
          <w:szCs w:val="24"/>
          <w:vertAlign w:val="superscript"/>
        </w:rPr>
        <w:footnoteReference w:id="8"/>
      </w:r>
    </w:p>
    <w:p w14:paraId="094588AD" w14:textId="77777777" w:rsidR="003F6146" w:rsidRDefault="003F6146">
      <w:pPr>
        <w:pBdr>
          <w:top w:val="nil"/>
          <w:left w:val="nil"/>
          <w:bottom w:val="nil"/>
          <w:right w:val="nil"/>
          <w:between w:val="nil"/>
        </w:pBdr>
        <w:rPr>
          <w:color w:val="000000"/>
        </w:rPr>
      </w:pPr>
    </w:p>
    <w:p w14:paraId="4B991BF4" w14:textId="77777777" w:rsidR="003F6146" w:rsidRDefault="00296E1C">
      <w:pPr>
        <w:tabs>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Lo anterior, implica la obligación hacia las instituciones para que identifiquen los casos en los que expresiones, actos o cualquier tipo de manifestación violenta </w:t>
      </w:r>
      <w:r>
        <w:rPr>
          <w:rFonts w:ascii="Arial" w:eastAsia="Arial" w:hAnsi="Arial" w:cs="Arial"/>
          <w:sz w:val="24"/>
          <w:szCs w:val="24"/>
        </w:rPr>
        <w:lastRenderedPageBreak/>
        <w:t>ocasione un impacto diferenciado en las mujeres frente al que provoca en los hombres, causándoles afectación desproporcionada por su condición de mujer.</w:t>
      </w:r>
    </w:p>
    <w:p w14:paraId="4BD247F1" w14:textId="77777777" w:rsidR="003F6146" w:rsidRDefault="003F6146">
      <w:pPr>
        <w:pBdr>
          <w:top w:val="nil"/>
          <w:left w:val="nil"/>
          <w:bottom w:val="nil"/>
          <w:right w:val="nil"/>
          <w:between w:val="nil"/>
        </w:pBdr>
        <w:rPr>
          <w:color w:val="000000"/>
        </w:rPr>
      </w:pPr>
    </w:p>
    <w:p w14:paraId="5D1EBC65" w14:textId="77777777" w:rsidR="003F6146" w:rsidRDefault="00296E1C">
      <w:pPr>
        <w:tabs>
          <w:tab w:val="left" w:pos="426"/>
        </w:tabs>
        <w:spacing w:line="360" w:lineRule="auto"/>
        <w:jc w:val="both"/>
        <w:rPr>
          <w:rFonts w:ascii="Arial" w:eastAsia="Arial" w:hAnsi="Arial" w:cs="Arial"/>
          <w:sz w:val="24"/>
          <w:szCs w:val="24"/>
        </w:rPr>
      </w:pPr>
      <w:r>
        <w:rPr>
          <w:rFonts w:ascii="Arial" w:eastAsia="Arial" w:hAnsi="Arial" w:cs="Arial"/>
          <w:sz w:val="24"/>
          <w:szCs w:val="24"/>
        </w:rPr>
        <w:t>Por su parte, el artículo 2°, fracción XVII, del Código Electoral</w:t>
      </w:r>
      <w:r>
        <w:rPr>
          <w:rFonts w:ascii="Arial" w:eastAsia="Arial" w:hAnsi="Arial" w:cs="Arial"/>
          <w:sz w:val="24"/>
          <w:szCs w:val="24"/>
          <w:vertAlign w:val="superscript"/>
        </w:rPr>
        <w:footnoteReference w:id="9"/>
      </w:r>
      <w:r>
        <w:rPr>
          <w:rFonts w:ascii="Arial" w:eastAsia="Arial" w:hAnsi="Arial" w:cs="Arial"/>
          <w:sz w:val="24"/>
          <w:szCs w:val="24"/>
        </w:rPr>
        <w:t xml:space="preserve"> establece la definición de la infracción relativa a la VPG y, a su vez, señala los elementos que condicionan la actualización o no, de tal infracción electoral. Asimismo, tal fracción remite a la Ley de Acceso de las Mujeres a una Vida Libre de Violencia para el Estado de Aguascalientes, con el propósito de definir los tipos de violencia que reconoce la normativa local y quienes son los sujetos destinatarios de la norma. </w:t>
      </w:r>
    </w:p>
    <w:p w14:paraId="7F2E5258" w14:textId="77777777" w:rsidR="003F6146" w:rsidRPr="005A679F" w:rsidRDefault="00296E1C">
      <w:pPr>
        <w:pBdr>
          <w:top w:val="nil"/>
          <w:left w:val="nil"/>
          <w:bottom w:val="nil"/>
          <w:right w:val="nil"/>
          <w:between w:val="nil"/>
        </w:pBdr>
        <w:rPr>
          <w:color w:val="000000"/>
          <w:sz w:val="16"/>
          <w:szCs w:val="16"/>
        </w:rPr>
      </w:pPr>
      <w:r>
        <w:rPr>
          <w:color w:val="000000"/>
        </w:rPr>
        <w:t xml:space="preserve"> </w:t>
      </w:r>
    </w:p>
    <w:p w14:paraId="2F19EA23" w14:textId="77777777" w:rsidR="003F6146" w:rsidRDefault="00296E1C">
      <w:pPr>
        <w:tabs>
          <w:tab w:val="left" w:pos="426"/>
        </w:tabs>
        <w:spacing w:line="360" w:lineRule="auto"/>
        <w:jc w:val="both"/>
        <w:rPr>
          <w:rFonts w:ascii="Arial" w:eastAsia="Arial" w:hAnsi="Arial" w:cs="Arial"/>
          <w:sz w:val="24"/>
          <w:szCs w:val="24"/>
        </w:rPr>
      </w:pPr>
      <w:r>
        <w:rPr>
          <w:rFonts w:ascii="Arial" w:eastAsia="Arial" w:hAnsi="Arial" w:cs="Arial"/>
          <w:sz w:val="24"/>
          <w:szCs w:val="24"/>
        </w:rPr>
        <w:t>En tal sentido, la Sala Superior sostuvo que a fin de realizar el análisis de las infracciones que surjan en el debate político, es necesaria la acreditación de los elementos siguientes</w:t>
      </w:r>
      <w:r>
        <w:rPr>
          <w:rFonts w:ascii="Arial" w:eastAsia="Arial" w:hAnsi="Arial" w:cs="Arial"/>
          <w:sz w:val="24"/>
          <w:szCs w:val="24"/>
          <w:vertAlign w:val="superscript"/>
        </w:rPr>
        <w:footnoteReference w:id="10"/>
      </w:r>
      <w:r>
        <w:rPr>
          <w:rFonts w:ascii="Arial" w:eastAsia="Arial" w:hAnsi="Arial" w:cs="Arial"/>
          <w:sz w:val="24"/>
          <w:szCs w:val="24"/>
        </w:rPr>
        <w:t xml:space="preserve">: </w:t>
      </w:r>
    </w:p>
    <w:p w14:paraId="10381769" w14:textId="77777777" w:rsidR="003F6146" w:rsidRDefault="003F6146">
      <w:pPr>
        <w:pBdr>
          <w:top w:val="nil"/>
          <w:left w:val="nil"/>
          <w:bottom w:val="nil"/>
          <w:right w:val="nil"/>
          <w:between w:val="nil"/>
        </w:pBdr>
        <w:rPr>
          <w:color w:val="000000"/>
          <w:sz w:val="8"/>
          <w:szCs w:val="8"/>
        </w:rPr>
      </w:pPr>
    </w:p>
    <w:p w14:paraId="52E6D0B0" w14:textId="77777777" w:rsidR="003F6146" w:rsidRDefault="00296E1C">
      <w:pPr>
        <w:tabs>
          <w:tab w:val="left" w:pos="426"/>
        </w:tabs>
        <w:spacing w:line="360" w:lineRule="auto"/>
        <w:jc w:val="both"/>
        <w:rPr>
          <w:rFonts w:ascii="Arial" w:eastAsia="Arial" w:hAnsi="Arial" w:cs="Arial"/>
          <w:sz w:val="24"/>
          <w:szCs w:val="24"/>
        </w:rPr>
      </w:pPr>
      <w:r>
        <w:rPr>
          <w:rFonts w:ascii="Arial" w:eastAsia="Arial" w:hAnsi="Arial" w:cs="Arial"/>
          <w:b/>
          <w:sz w:val="24"/>
          <w:szCs w:val="24"/>
        </w:rPr>
        <w:t>a)</w:t>
      </w:r>
      <w:r>
        <w:rPr>
          <w:rFonts w:ascii="Arial" w:eastAsia="Arial" w:hAnsi="Arial" w:cs="Arial"/>
          <w:sz w:val="24"/>
          <w:szCs w:val="24"/>
        </w:rPr>
        <w:t xml:space="preserve"> Sucede en el marco del ejercicio de derechos político-electorales o bien, en el ejercicio de un cargo público. </w:t>
      </w:r>
    </w:p>
    <w:p w14:paraId="7BE0DCF4" w14:textId="77777777" w:rsidR="003F6146" w:rsidRDefault="00296E1C">
      <w:pPr>
        <w:tabs>
          <w:tab w:val="left" w:pos="426"/>
        </w:tabs>
        <w:spacing w:line="360" w:lineRule="auto"/>
        <w:jc w:val="both"/>
        <w:rPr>
          <w:rFonts w:ascii="Arial" w:eastAsia="Arial" w:hAnsi="Arial" w:cs="Arial"/>
          <w:sz w:val="24"/>
          <w:szCs w:val="24"/>
        </w:rPr>
      </w:pPr>
      <w:r>
        <w:rPr>
          <w:rFonts w:ascii="Arial" w:eastAsia="Arial" w:hAnsi="Arial" w:cs="Arial"/>
          <w:b/>
          <w:sz w:val="24"/>
          <w:szCs w:val="24"/>
        </w:rPr>
        <w:t>b)</w:t>
      </w:r>
      <w:r>
        <w:rPr>
          <w:rFonts w:ascii="Arial" w:eastAsia="Arial" w:hAnsi="Arial" w:cs="Arial"/>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7C8987DB" w14:textId="77777777" w:rsidR="003F6146" w:rsidRDefault="00296E1C">
      <w:pPr>
        <w:tabs>
          <w:tab w:val="left" w:pos="426"/>
        </w:tabs>
        <w:spacing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Es simbólico, verbal, patrimonial, económico, físico, sexual y/o psicológico. </w:t>
      </w:r>
    </w:p>
    <w:p w14:paraId="432DC948" w14:textId="77777777" w:rsidR="003F6146" w:rsidRDefault="00296E1C">
      <w:pPr>
        <w:tabs>
          <w:tab w:val="left" w:pos="426"/>
        </w:tabs>
        <w:spacing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Tiene por objeto o resultado menoscabar o anular el reconocimiento, goce y/o ejercicio de los derechos político-electorales de las mujeres, y; </w:t>
      </w:r>
    </w:p>
    <w:p w14:paraId="4E8F9836" w14:textId="77777777" w:rsidR="003F6146" w:rsidRDefault="00296E1C">
      <w:pPr>
        <w:tabs>
          <w:tab w:val="left" w:pos="426"/>
        </w:tabs>
        <w:spacing w:line="360" w:lineRule="auto"/>
        <w:jc w:val="both"/>
        <w:rPr>
          <w:rFonts w:ascii="Arial" w:eastAsia="Arial" w:hAnsi="Arial" w:cs="Arial"/>
          <w:sz w:val="24"/>
          <w:szCs w:val="24"/>
        </w:rPr>
      </w:pPr>
      <w:r>
        <w:rPr>
          <w:rFonts w:ascii="Arial" w:eastAsia="Arial" w:hAnsi="Arial" w:cs="Arial"/>
          <w:b/>
          <w:sz w:val="24"/>
          <w:szCs w:val="24"/>
        </w:rPr>
        <w:t>e)</w:t>
      </w:r>
      <w:r>
        <w:rPr>
          <w:rFonts w:ascii="Arial" w:eastAsia="Arial" w:hAnsi="Arial" w:cs="Arial"/>
          <w:sz w:val="24"/>
          <w:szCs w:val="24"/>
        </w:rPr>
        <w:t xml:space="preserve"> Se basa en elementos de género, es decir: </w:t>
      </w:r>
      <w:r>
        <w:rPr>
          <w:rFonts w:ascii="Arial" w:eastAsia="Arial" w:hAnsi="Arial" w:cs="Arial"/>
          <w:b/>
          <w:i/>
          <w:sz w:val="24"/>
          <w:szCs w:val="24"/>
        </w:rPr>
        <w:t>i.</w:t>
      </w:r>
      <w:r>
        <w:rPr>
          <w:rFonts w:ascii="Arial" w:eastAsia="Arial" w:hAnsi="Arial" w:cs="Arial"/>
          <w:sz w:val="24"/>
          <w:szCs w:val="24"/>
        </w:rPr>
        <w:t xml:space="preserve"> se dirige a una mujer por ser mujer,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tiene un impacto diferenciado en las mujeres y,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afecta desproporcionadamente a las mujeres. </w:t>
      </w:r>
    </w:p>
    <w:p w14:paraId="75CF2D46" w14:textId="77777777" w:rsidR="003F6146" w:rsidRPr="005A679F" w:rsidRDefault="003F6146" w:rsidP="005A679F">
      <w:pPr>
        <w:pStyle w:val="Sinespaciado"/>
        <w:rPr>
          <w:sz w:val="16"/>
          <w:szCs w:val="16"/>
        </w:rPr>
      </w:pPr>
    </w:p>
    <w:p w14:paraId="101EE724" w14:textId="72BCC8A0" w:rsidR="005A679F" w:rsidRDefault="00296E1C" w:rsidP="005A679F">
      <w:pPr>
        <w:tabs>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Así, consideró que de conformidad con el principio </w:t>
      </w:r>
      <w:proofErr w:type="spellStart"/>
      <w:r>
        <w:rPr>
          <w:rFonts w:ascii="Arial" w:eastAsia="Arial" w:hAnsi="Arial" w:cs="Arial"/>
          <w:i/>
          <w:sz w:val="24"/>
          <w:szCs w:val="24"/>
        </w:rPr>
        <w:t>pro</w:t>
      </w:r>
      <w:proofErr w:type="spellEnd"/>
      <w:r>
        <w:rPr>
          <w:rFonts w:ascii="Arial" w:eastAsia="Arial" w:hAnsi="Arial" w:cs="Arial"/>
          <w:i/>
          <w:sz w:val="24"/>
          <w:szCs w:val="24"/>
        </w:rPr>
        <w:t xml:space="preserve"> persona</w:t>
      </w:r>
      <w:r>
        <w:rPr>
          <w:rFonts w:ascii="Arial" w:eastAsia="Arial" w:hAnsi="Arial" w:cs="Arial"/>
          <w:sz w:val="24"/>
          <w:szCs w:val="24"/>
        </w:rPr>
        <w:t>, el derecho a la igualdad entre mujer y hombre y el ejercicio más amplio de los derechos político-electorales, el combate de la violencia política contra las mujeres es una obligación a cargo de cualquier autoridad en el ámbito de sus competencias, a quienes les impone el deber de actuar para prevenir, investigar, sancionar y reparar una posible afectación a sus derechos.</w:t>
      </w:r>
    </w:p>
    <w:p w14:paraId="4F6994EA" w14:textId="2082B957" w:rsidR="005A679F" w:rsidRDefault="005A679F" w:rsidP="005A679F">
      <w:pPr>
        <w:pStyle w:val="Sinespaciado"/>
        <w:rPr>
          <w:rFonts w:eastAsia="Arial"/>
          <w:sz w:val="14"/>
          <w:szCs w:val="14"/>
        </w:rPr>
      </w:pPr>
    </w:p>
    <w:p w14:paraId="520CFA66" w14:textId="56EEF2F2" w:rsidR="005A679F" w:rsidRDefault="005A679F" w:rsidP="005A679F">
      <w:pPr>
        <w:pStyle w:val="Sinespaciado"/>
        <w:rPr>
          <w:rFonts w:eastAsia="Arial"/>
          <w:sz w:val="14"/>
          <w:szCs w:val="14"/>
        </w:rPr>
      </w:pPr>
    </w:p>
    <w:p w14:paraId="27EB0A3A" w14:textId="7EF42484" w:rsidR="005A679F" w:rsidRDefault="005A679F" w:rsidP="005A679F">
      <w:pPr>
        <w:pStyle w:val="Sinespaciado"/>
        <w:rPr>
          <w:rFonts w:eastAsia="Arial"/>
          <w:sz w:val="14"/>
          <w:szCs w:val="14"/>
        </w:rPr>
      </w:pPr>
    </w:p>
    <w:p w14:paraId="7729C6CC" w14:textId="18BC8137" w:rsidR="005A679F" w:rsidRDefault="005A679F" w:rsidP="005A679F">
      <w:pPr>
        <w:pStyle w:val="Sinespaciado"/>
        <w:rPr>
          <w:rFonts w:eastAsia="Arial"/>
          <w:sz w:val="14"/>
          <w:szCs w:val="14"/>
        </w:rPr>
      </w:pPr>
    </w:p>
    <w:p w14:paraId="04D03F34" w14:textId="4415693C" w:rsidR="005A679F" w:rsidRDefault="005A679F" w:rsidP="005A679F">
      <w:pPr>
        <w:pStyle w:val="Sinespaciado"/>
        <w:rPr>
          <w:rFonts w:eastAsia="Arial"/>
          <w:sz w:val="14"/>
          <w:szCs w:val="14"/>
        </w:rPr>
      </w:pPr>
    </w:p>
    <w:p w14:paraId="0472F73F" w14:textId="77777777" w:rsidR="005A679F" w:rsidRPr="005A679F" w:rsidRDefault="005A679F" w:rsidP="005A679F">
      <w:pPr>
        <w:pStyle w:val="Sinespaciado"/>
        <w:rPr>
          <w:rFonts w:eastAsia="Arial"/>
          <w:sz w:val="14"/>
          <w:szCs w:val="14"/>
        </w:rPr>
      </w:pPr>
    </w:p>
    <w:p w14:paraId="4B424D19" w14:textId="4C3F652C" w:rsidR="003F6146" w:rsidRDefault="00296E1C">
      <w:pPr>
        <w:spacing w:line="276" w:lineRule="auto"/>
        <w:jc w:val="both"/>
        <w:rPr>
          <w:rFonts w:ascii="Arial" w:eastAsia="Arial" w:hAnsi="Arial" w:cs="Arial"/>
          <w:b/>
          <w:sz w:val="24"/>
          <w:szCs w:val="24"/>
        </w:rPr>
      </w:pPr>
      <w:r>
        <w:rPr>
          <w:rFonts w:ascii="Arial" w:eastAsia="Arial" w:hAnsi="Arial" w:cs="Arial"/>
          <w:b/>
          <w:sz w:val="24"/>
          <w:szCs w:val="24"/>
        </w:rPr>
        <w:t>1.2. Marco normativo de la valoración de la carga de la prueba en casos relacionados con VPG</w:t>
      </w:r>
    </w:p>
    <w:p w14:paraId="37191CD4" w14:textId="77777777" w:rsidR="005A679F" w:rsidRDefault="005A679F" w:rsidP="005A679F">
      <w:pPr>
        <w:pStyle w:val="Sinespaciado"/>
        <w:rPr>
          <w:rFonts w:eastAsia="Arial"/>
        </w:rPr>
      </w:pPr>
    </w:p>
    <w:p w14:paraId="49948BED" w14:textId="77777777" w:rsidR="003F6146" w:rsidRPr="005A679F" w:rsidRDefault="003F6146">
      <w:pPr>
        <w:pBdr>
          <w:top w:val="nil"/>
          <w:left w:val="nil"/>
          <w:bottom w:val="nil"/>
          <w:right w:val="nil"/>
          <w:between w:val="nil"/>
        </w:pBdr>
        <w:rPr>
          <w:color w:val="000000"/>
          <w:sz w:val="10"/>
          <w:szCs w:val="10"/>
        </w:rPr>
      </w:pPr>
    </w:p>
    <w:p w14:paraId="62C8E6C0" w14:textId="77777777" w:rsidR="003F6146" w:rsidRDefault="00296E1C">
      <w:pPr>
        <w:spacing w:line="360" w:lineRule="auto"/>
        <w:jc w:val="both"/>
        <w:rPr>
          <w:rFonts w:ascii="Arial" w:eastAsia="Arial" w:hAnsi="Arial" w:cs="Arial"/>
          <w:b/>
          <w:sz w:val="24"/>
          <w:szCs w:val="24"/>
        </w:rPr>
      </w:pPr>
      <w:r>
        <w:rPr>
          <w:rFonts w:ascii="Arial" w:eastAsia="Arial" w:hAnsi="Arial" w:cs="Arial"/>
          <w:sz w:val="24"/>
          <w:szCs w:val="24"/>
        </w:rPr>
        <w:t>La Sala Superior ha creado una línea judicial</w:t>
      </w:r>
      <w:r>
        <w:rPr>
          <w:rFonts w:ascii="Arial" w:eastAsia="Arial" w:hAnsi="Arial" w:cs="Arial"/>
          <w:sz w:val="24"/>
          <w:szCs w:val="24"/>
          <w:vertAlign w:val="superscript"/>
        </w:rPr>
        <w:footnoteReference w:id="11"/>
      </w:r>
      <w:r>
        <w:rPr>
          <w:rFonts w:ascii="Arial" w:eastAsia="Arial" w:hAnsi="Arial" w:cs="Arial"/>
          <w:sz w:val="24"/>
          <w:szCs w:val="24"/>
        </w:rPr>
        <w:t xml:space="preserve"> respecto a la forma en que debe realizarse la valoración en casos que involucren la posible comisión de VPG. Así, ha determinado que, en tales asuntos, </w:t>
      </w:r>
      <w:r>
        <w:rPr>
          <w:rFonts w:ascii="Arial" w:eastAsia="Arial" w:hAnsi="Arial" w:cs="Arial"/>
          <w:b/>
          <w:sz w:val="24"/>
          <w:szCs w:val="24"/>
        </w:rPr>
        <w:t>la prueba que aporte la víctima goza de una presunción de veracidad</w:t>
      </w:r>
      <w:r>
        <w:rPr>
          <w:rFonts w:ascii="Arial" w:eastAsia="Arial" w:hAnsi="Arial" w:cs="Arial"/>
          <w:sz w:val="24"/>
          <w:szCs w:val="24"/>
        </w:rPr>
        <w:t xml:space="preserve"> respecto a los hechos señalados. </w:t>
      </w:r>
    </w:p>
    <w:p w14:paraId="504943EB" w14:textId="77777777" w:rsidR="003F6146" w:rsidRDefault="003F6146">
      <w:pPr>
        <w:pBdr>
          <w:top w:val="nil"/>
          <w:left w:val="nil"/>
          <w:bottom w:val="nil"/>
          <w:right w:val="nil"/>
          <w:between w:val="nil"/>
        </w:pBdr>
        <w:rPr>
          <w:color w:val="000000"/>
        </w:rPr>
      </w:pPr>
    </w:p>
    <w:p w14:paraId="25BF64FD"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t>Ello encuentra razón, porque cuando se está ante algún tipo de violencia -incluida VPG- las conductas que la actualizan no siempre corresponden a un patrón común que pueda demostrarse con facilidad, pues la mayoría de los escenarios en que se realizan suceden en un ámbito de privacidad, en el que únicamente se encuentran la víctima y el victimario.</w:t>
      </w:r>
    </w:p>
    <w:p w14:paraId="3A9216DA" w14:textId="77777777" w:rsidR="003F6146" w:rsidRDefault="003F6146">
      <w:pPr>
        <w:pBdr>
          <w:top w:val="nil"/>
          <w:left w:val="nil"/>
          <w:bottom w:val="nil"/>
          <w:right w:val="nil"/>
          <w:between w:val="nil"/>
        </w:pBdr>
        <w:rPr>
          <w:color w:val="000000"/>
        </w:rPr>
      </w:pPr>
    </w:p>
    <w:p w14:paraId="118373FA"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t xml:space="preserve">Así, atendiendo a la naturaleza de tales actos y de la dificultad de demostrarlos, implica que </w:t>
      </w:r>
      <w:r>
        <w:rPr>
          <w:rFonts w:ascii="Arial" w:eastAsia="Arial" w:hAnsi="Arial" w:cs="Arial"/>
          <w:b/>
          <w:sz w:val="24"/>
          <w:szCs w:val="24"/>
        </w:rPr>
        <w:t>no pueda someterse a la víctima a un estándar imposible de probar</w:t>
      </w:r>
      <w:r>
        <w:rPr>
          <w:rFonts w:ascii="Arial" w:eastAsia="Arial" w:hAnsi="Arial" w:cs="Arial"/>
          <w:sz w:val="24"/>
          <w:szCs w:val="24"/>
        </w:rPr>
        <w:t xml:space="preserve">, ya que no puede esperar la existencia de pruebas documentales o testimoniales que gocen de un valor probatorio pleno. De ahí que las pruebas que, en su caso, la víctima pueda aportar, constituyen un dato fundamental respecto a los hechos que se pretenden acreditar. </w:t>
      </w:r>
    </w:p>
    <w:p w14:paraId="7B04FBEF" w14:textId="77777777" w:rsidR="003F6146" w:rsidRDefault="003F6146">
      <w:pPr>
        <w:pBdr>
          <w:top w:val="nil"/>
          <w:left w:val="nil"/>
          <w:bottom w:val="nil"/>
          <w:right w:val="nil"/>
          <w:between w:val="nil"/>
        </w:pBdr>
        <w:rPr>
          <w:color w:val="000000"/>
        </w:rPr>
      </w:pPr>
    </w:p>
    <w:p w14:paraId="0941EFEC"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t xml:space="preserve">De este modo, la valoración de las pruebas en casos que involucren VPG debe realizarse con perspectiva de género, </w:t>
      </w:r>
      <w:r>
        <w:rPr>
          <w:rFonts w:ascii="Arial" w:eastAsia="Arial" w:hAnsi="Arial" w:cs="Arial"/>
          <w:b/>
          <w:sz w:val="24"/>
          <w:szCs w:val="24"/>
        </w:rPr>
        <w:t>sin trasladar a las víctimas la responsabilidad de aportar lo necesario para probar tales hechos,</w:t>
      </w:r>
      <w:r>
        <w:rPr>
          <w:rFonts w:ascii="Arial" w:eastAsia="Arial" w:hAnsi="Arial" w:cs="Arial"/>
          <w:sz w:val="24"/>
          <w:szCs w:val="24"/>
        </w:rPr>
        <w:t xml:space="preserve"> y así, evitar reproducir estereotipos respecto de quienes se atreven a denunciar. </w:t>
      </w:r>
    </w:p>
    <w:p w14:paraId="419DDA05" w14:textId="77777777" w:rsidR="003F6146" w:rsidRDefault="003F6146">
      <w:pPr>
        <w:pBdr>
          <w:top w:val="nil"/>
          <w:left w:val="nil"/>
          <w:bottom w:val="nil"/>
          <w:right w:val="nil"/>
          <w:between w:val="nil"/>
        </w:pBdr>
        <w:rPr>
          <w:color w:val="000000"/>
        </w:rPr>
      </w:pPr>
    </w:p>
    <w:p w14:paraId="5FC1CEE0"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t xml:space="preserve">Entonces, contrario a las reglas y al estándar probatorio habitual, en estos casos aplica la </w:t>
      </w:r>
      <w:r>
        <w:rPr>
          <w:rFonts w:ascii="Arial" w:eastAsia="Arial" w:hAnsi="Arial" w:cs="Arial"/>
          <w:b/>
          <w:sz w:val="24"/>
          <w:szCs w:val="24"/>
        </w:rPr>
        <w:t>inversión de la carga de la prueba</w:t>
      </w:r>
      <w:r>
        <w:rPr>
          <w:rFonts w:ascii="Arial" w:eastAsia="Arial" w:hAnsi="Arial" w:cs="Arial"/>
          <w:sz w:val="24"/>
          <w:szCs w:val="24"/>
        </w:rPr>
        <w:t xml:space="preserve">, es decir, que son las personas demandadas o denunciadas </w:t>
      </w:r>
      <w:r>
        <w:rPr>
          <w:rFonts w:ascii="Arial" w:eastAsia="Arial" w:hAnsi="Arial" w:cs="Arial"/>
          <w:b/>
          <w:sz w:val="24"/>
          <w:szCs w:val="24"/>
        </w:rPr>
        <w:t>quienes tienen la carga de desvirtuar la existencia</w:t>
      </w:r>
      <w:r>
        <w:rPr>
          <w:rFonts w:ascii="Arial" w:eastAsia="Arial" w:hAnsi="Arial" w:cs="Arial"/>
          <w:sz w:val="24"/>
          <w:szCs w:val="24"/>
        </w:rPr>
        <w:t xml:space="preserve"> de los hechos en que la víctima les atribuye. Por tanto, bajo un estándar reforzado, </w:t>
      </w:r>
      <w:r>
        <w:rPr>
          <w:rFonts w:ascii="Arial" w:eastAsia="Arial" w:hAnsi="Arial" w:cs="Arial"/>
          <w:b/>
          <w:sz w:val="24"/>
          <w:szCs w:val="24"/>
        </w:rPr>
        <w:t xml:space="preserve">el dicho de la víctima </w:t>
      </w:r>
      <w:r>
        <w:rPr>
          <w:rFonts w:ascii="Arial" w:eastAsia="Arial" w:hAnsi="Arial" w:cs="Arial"/>
          <w:sz w:val="24"/>
          <w:szCs w:val="24"/>
        </w:rPr>
        <w:t xml:space="preserve">cobra especial relevancia y </w:t>
      </w:r>
      <w:r>
        <w:rPr>
          <w:rFonts w:ascii="Arial" w:eastAsia="Arial" w:hAnsi="Arial" w:cs="Arial"/>
          <w:b/>
          <w:sz w:val="24"/>
          <w:szCs w:val="24"/>
        </w:rPr>
        <w:t>se tomará como cierto</w:t>
      </w:r>
      <w:r>
        <w:rPr>
          <w:rFonts w:ascii="Arial" w:eastAsia="Arial" w:hAnsi="Arial" w:cs="Arial"/>
          <w:sz w:val="24"/>
          <w:szCs w:val="24"/>
        </w:rPr>
        <w:t xml:space="preserve">, </w:t>
      </w:r>
      <w:r>
        <w:rPr>
          <w:rFonts w:ascii="Arial" w:eastAsia="Arial" w:hAnsi="Arial" w:cs="Arial"/>
          <w:b/>
          <w:sz w:val="24"/>
          <w:szCs w:val="24"/>
        </w:rPr>
        <w:t>salvo prueba que demuestre lo contrario</w:t>
      </w:r>
      <w:r>
        <w:rPr>
          <w:rFonts w:ascii="Arial" w:eastAsia="Arial" w:hAnsi="Arial" w:cs="Arial"/>
          <w:sz w:val="24"/>
          <w:szCs w:val="24"/>
        </w:rPr>
        <w:t>.</w:t>
      </w:r>
    </w:p>
    <w:p w14:paraId="292A5825" w14:textId="77777777" w:rsidR="003F6146" w:rsidRDefault="003F6146">
      <w:pPr>
        <w:pBdr>
          <w:top w:val="nil"/>
          <w:left w:val="nil"/>
          <w:bottom w:val="nil"/>
          <w:right w:val="nil"/>
          <w:between w:val="nil"/>
        </w:pBdr>
        <w:rPr>
          <w:color w:val="000000"/>
        </w:rPr>
      </w:pPr>
    </w:p>
    <w:p w14:paraId="58844514"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t xml:space="preserve">Sin embargo, la Sala Monterrey ha considerado que tal criterio </w:t>
      </w:r>
      <w:r>
        <w:rPr>
          <w:rFonts w:ascii="Arial" w:eastAsia="Arial" w:hAnsi="Arial" w:cs="Arial"/>
          <w:b/>
          <w:sz w:val="24"/>
          <w:szCs w:val="24"/>
        </w:rPr>
        <w:t>no aplica en automático</w:t>
      </w:r>
      <w:r>
        <w:rPr>
          <w:rFonts w:ascii="Arial" w:eastAsia="Arial" w:hAnsi="Arial" w:cs="Arial"/>
          <w:sz w:val="24"/>
          <w:szCs w:val="24"/>
        </w:rPr>
        <w:t xml:space="preserve">, pues para que opere dicho estándar probatorio </w:t>
      </w:r>
      <w:r>
        <w:rPr>
          <w:rFonts w:ascii="Arial" w:eastAsia="Arial" w:hAnsi="Arial" w:cs="Arial"/>
          <w:b/>
          <w:sz w:val="24"/>
          <w:szCs w:val="24"/>
        </w:rPr>
        <w:t>resulta necesario</w:t>
      </w:r>
      <w:r>
        <w:rPr>
          <w:rFonts w:ascii="Arial" w:eastAsia="Arial" w:hAnsi="Arial" w:cs="Arial"/>
          <w:sz w:val="24"/>
          <w:szCs w:val="24"/>
        </w:rPr>
        <w:t xml:space="preserve"> que la parte denunciante </w:t>
      </w:r>
      <w:r>
        <w:rPr>
          <w:rFonts w:ascii="Arial" w:eastAsia="Arial" w:hAnsi="Arial" w:cs="Arial"/>
          <w:b/>
          <w:sz w:val="24"/>
          <w:szCs w:val="24"/>
        </w:rPr>
        <w:t>aporte elementos mínimos o indicios</w:t>
      </w:r>
      <w:r>
        <w:rPr>
          <w:rFonts w:ascii="Arial" w:eastAsia="Arial" w:hAnsi="Arial" w:cs="Arial"/>
          <w:sz w:val="24"/>
          <w:szCs w:val="24"/>
        </w:rPr>
        <w:t xml:space="preserve"> de la existencia de los hechos a los que les atribuye la infracción de VPG.</w:t>
      </w:r>
      <w:r>
        <w:rPr>
          <w:rFonts w:ascii="Arial" w:eastAsia="Arial" w:hAnsi="Arial" w:cs="Arial"/>
          <w:sz w:val="24"/>
          <w:szCs w:val="24"/>
          <w:vertAlign w:val="superscript"/>
        </w:rPr>
        <w:footnoteReference w:id="12"/>
      </w:r>
    </w:p>
    <w:p w14:paraId="655AEE99" w14:textId="105C8BEF" w:rsidR="003F6146" w:rsidRDefault="003F6146">
      <w:pPr>
        <w:pBdr>
          <w:top w:val="nil"/>
          <w:left w:val="nil"/>
          <w:bottom w:val="nil"/>
          <w:right w:val="nil"/>
          <w:between w:val="nil"/>
        </w:pBdr>
        <w:rPr>
          <w:color w:val="000000"/>
        </w:rPr>
      </w:pPr>
    </w:p>
    <w:p w14:paraId="49710326" w14:textId="0F92B2E8" w:rsidR="005A679F" w:rsidRDefault="005A679F">
      <w:pPr>
        <w:pBdr>
          <w:top w:val="nil"/>
          <w:left w:val="nil"/>
          <w:bottom w:val="nil"/>
          <w:right w:val="nil"/>
          <w:between w:val="nil"/>
        </w:pBdr>
        <w:rPr>
          <w:color w:val="000000"/>
        </w:rPr>
      </w:pPr>
    </w:p>
    <w:p w14:paraId="09E6298E" w14:textId="77777777" w:rsidR="005A679F" w:rsidRDefault="005A679F">
      <w:pPr>
        <w:pBdr>
          <w:top w:val="nil"/>
          <w:left w:val="nil"/>
          <w:bottom w:val="nil"/>
          <w:right w:val="nil"/>
          <w:between w:val="nil"/>
        </w:pBdr>
        <w:rPr>
          <w:color w:val="000000"/>
        </w:rPr>
      </w:pPr>
    </w:p>
    <w:p w14:paraId="6C8057B8"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Ello, a fin de que </w:t>
      </w:r>
      <w:r>
        <w:rPr>
          <w:rFonts w:ascii="Arial" w:eastAsia="Arial" w:hAnsi="Arial" w:cs="Arial"/>
          <w:b/>
          <w:sz w:val="24"/>
          <w:szCs w:val="24"/>
        </w:rPr>
        <w:t>en cada caso</w:t>
      </w:r>
      <w:r>
        <w:rPr>
          <w:rFonts w:ascii="Arial" w:eastAsia="Arial" w:hAnsi="Arial" w:cs="Arial"/>
          <w:sz w:val="24"/>
          <w:szCs w:val="24"/>
        </w:rPr>
        <w:t xml:space="preserve"> particular </w:t>
      </w:r>
      <w:r>
        <w:rPr>
          <w:rFonts w:ascii="Arial" w:eastAsia="Arial" w:hAnsi="Arial" w:cs="Arial"/>
          <w:b/>
          <w:sz w:val="24"/>
          <w:szCs w:val="24"/>
        </w:rPr>
        <w:t>se atienda el contexto</w:t>
      </w:r>
      <w:r>
        <w:rPr>
          <w:rFonts w:ascii="Arial" w:eastAsia="Arial" w:hAnsi="Arial" w:cs="Arial"/>
          <w:sz w:val="24"/>
          <w:szCs w:val="24"/>
        </w:rPr>
        <w:t xml:space="preserve"> en el que se desarrollan los hechos denunciados y, a su vez, se realice el análisis que permita a la autoridad allegarse de los elementos necesarios para resolver sobre la existencia o no, de dicha infracción.</w:t>
      </w:r>
      <w:r>
        <w:rPr>
          <w:rFonts w:ascii="Arial" w:eastAsia="Arial" w:hAnsi="Arial" w:cs="Arial"/>
          <w:sz w:val="24"/>
          <w:szCs w:val="24"/>
          <w:vertAlign w:val="superscript"/>
        </w:rPr>
        <w:t xml:space="preserve"> </w:t>
      </w:r>
    </w:p>
    <w:p w14:paraId="12B21C84" w14:textId="77777777" w:rsidR="003F6146" w:rsidRDefault="003F6146">
      <w:pPr>
        <w:pBdr>
          <w:top w:val="nil"/>
          <w:left w:val="nil"/>
          <w:bottom w:val="nil"/>
          <w:right w:val="nil"/>
          <w:between w:val="nil"/>
        </w:pBdr>
        <w:rPr>
          <w:color w:val="000000"/>
        </w:rPr>
      </w:pPr>
    </w:p>
    <w:p w14:paraId="5A53A5C0" w14:textId="5DD4D3B2" w:rsidR="003F6146" w:rsidRDefault="00296E1C">
      <w:pPr>
        <w:spacing w:line="360" w:lineRule="auto"/>
        <w:jc w:val="both"/>
        <w:rPr>
          <w:rFonts w:ascii="Arial" w:eastAsia="Arial" w:hAnsi="Arial" w:cs="Arial"/>
          <w:sz w:val="24"/>
          <w:szCs w:val="24"/>
        </w:rPr>
      </w:pPr>
      <w:r>
        <w:rPr>
          <w:rFonts w:ascii="Arial" w:eastAsia="Arial" w:hAnsi="Arial" w:cs="Arial"/>
          <w:sz w:val="24"/>
          <w:szCs w:val="24"/>
        </w:rPr>
        <w:t xml:space="preserve">De lo anterior, se concluye </w:t>
      </w:r>
      <w:proofErr w:type="gramStart"/>
      <w:r>
        <w:rPr>
          <w:rFonts w:ascii="Arial" w:eastAsia="Arial" w:hAnsi="Arial" w:cs="Arial"/>
          <w:sz w:val="24"/>
          <w:szCs w:val="24"/>
        </w:rPr>
        <w:t>que</w:t>
      </w:r>
      <w:proofErr w:type="gramEnd"/>
      <w:r>
        <w:rPr>
          <w:rFonts w:ascii="Arial" w:eastAsia="Arial" w:hAnsi="Arial" w:cs="Arial"/>
          <w:sz w:val="24"/>
          <w:szCs w:val="24"/>
        </w:rPr>
        <w:t xml:space="preserve"> si bien en los casos que involucren VPG, opera la reversión de la carga de la prueba, también es que existe la necesidad de que en el procedimiento se aporten indicios de la existencia de los hechos que se afirman, con el propósito de que la autoridad esté en posibilidad de emitir una determinación, previa valoración de los elementos.  </w:t>
      </w:r>
    </w:p>
    <w:p w14:paraId="560A9C47" w14:textId="77777777" w:rsidR="003F6146" w:rsidRDefault="003F6146">
      <w:pPr>
        <w:pBdr>
          <w:top w:val="nil"/>
          <w:left w:val="nil"/>
          <w:bottom w:val="nil"/>
          <w:right w:val="nil"/>
          <w:between w:val="nil"/>
        </w:pBdr>
        <w:rPr>
          <w:color w:val="000000"/>
          <w:sz w:val="16"/>
          <w:szCs w:val="16"/>
        </w:rPr>
      </w:pPr>
    </w:p>
    <w:p w14:paraId="701A2E5A" w14:textId="77777777" w:rsidR="003F6146" w:rsidRDefault="00296E1C">
      <w:pPr>
        <w:numPr>
          <w:ilvl w:val="0"/>
          <w:numId w:val="3"/>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Caso concreto</w:t>
      </w:r>
    </w:p>
    <w:p w14:paraId="37711560" w14:textId="77777777" w:rsidR="003F6146" w:rsidRDefault="003F6146">
      <w:pPr>
        <w:pBdr>
          <w:top w:val="nil"/>
          <w:left w:val="nil"/>
          <w:bottom w:val="nil"/>
          <w:right w:val="nil"/>
          <w:between w:val="nil"/>
        </w:pBdr>
        <w:rPr>
          <w:color w:val="000000"/>
          <w:sz w:val="16"/>
          <w:szCs w:val="16"/>
        </w:rPr>
      </w:pPr>
    </w:p>
    <w:p w14:paraId="084DE642" w14:textId="77777777" w:rsidR="003F6146" w:rsidRDefault="00296E1C">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En el caso, la candidata de la coalición “Por Aguascalientes” a la Presidencia Municipal de San Francisco de los Romo, denunció</w:t>
      </w:r>
      <w:r>
        <w:t xml:space="preserve"> </w:t>
      </w:r>
      <w:r>
        <w:rPr>
          <w:rFonts w:ascii="Arial" w:eastAsia="Arial" w:hAnsi="Arial" w:cs="Arial"/>
          <w:sz w:val="24"/>
          <w:szCs w:val="24"/>
        </w:rPr>
        <w:t xml:space="preserve">que en el perfil de Facebook denominado “Parlamento Digital” se realizó una publicación que contiene expresiones que actualizan </w:t>
      </w:r>
      <w:r>
        <w:rPr>
          <w:rFonts w:ascii="Arial" w:eastAsia="Arial" w:hAnsi="Arial" w:cs="Arial"/>
          <w:b/>
          <w:sz w:val="24"/>
          <w:szCs w:val="24"/>
        </w:rPr>
        <w:t xml:space="preserve">VPG </w:t>
      </w:r>
      <w:r>
        <w:rPr>
          <w:rFonts w:ascii="Arial" w:eastAsia="Arial" w:hAnsi="Arial" w:cs="Arial"/>
          <w:sz w:val="24"/>
          <w:szCs w:val="24"/>
        </w:rPr>
        <w:t>en su perjuicio, con la finalidad de menospreciar su candidatura. Las frases objeto de análisis en la presente denuncia son las siguientes:</w:t>
      </w:r>
    </w:p>
    <w:p w14:paraId="2F873869" w14:textId="77777777" w:rsidR="003F6146" w:rsidRDefault="003F6146">
      <w:pPr>
        <w:pBdr>
          <w:top w:val="nil"/>
          <w:left w:val="nil"/>
          <w:bottom w:val="nil"/>
          <w:right w:val="nil"/>
          <w:between w:val="nil"/>
        </w:pBdr>
        <w:rPr>
          <w:color w:val="000000"/>
        </w:rPr>
      </w:pPr>
    </w:p>
    <w:p w14:paraId="718BE417" w14:textId="77777777" w:rsidR="003F6146" w:rsidRDefault="00296E1C">
      <w:pPr>
        <w:ind w:firstLine="708"/>
        <w:jc w:val="both"/>
        <w:rPr>
          <w:rFonts w:ascii="Arial" w:eastAsia="Arial" w:hAnsi="Arial" w:cs="Arial"/>
          <w:b/>
          <w:i/>
          <w:sz w:val="22"/>
          <w:szCs w:val="22"/>
        </w:rPr>
      </w:pPr>
      <w:r>
        <w:rPr>
          <w:rFonts w:ascii="Arial" w:eastAsia="Arial" w:hAnsi="Arial" w:cs="Arial"/>
          <w:b/>
          <w:i/>
          <w:sz w:val="22"/>
          <w:szCs w:val="22"/>
        </w:rPr>
        <w:t>“¡Ni un voto para la corrupción!”</w:t>
      </w:r>
    </w:p>
    <w:p w14:paraId="1EBA3F4B" w14:textId="77777777" w:rsidR="003F6146" w:rsidRDefault="00296E1C">
      <w:pPr>
        <w:ind w:firstLine="708"/>
        <w:jc w:val="both"/>
        <w:rPr>
          <w:rFonts w:ascii="Arial" w:eastAsia="Arial" w:hAnsi="Arial" w:cs="Arial"/>
          <w:i/>
          <w:sz w:val="22"/>
          <w:szCs w:val="22"/>
        </w:rPr>
      </w:pPr>
      <w:r>
        <w:rPr>
          <w:rFonts w:ascii="Arial" w:eastAsia="Arial" w:hAnsi="Arial" w:cs="Arial"/>
          <w:i/>
          <w:sz w:val="22"/>
          <w:szCs w:val="22"/>
        </w:rPr>
        <w:t>(…)</w:t>
      </w:r>
    </w:p>
    <w:p w14:paraId="6A1ADA50" w14:textId="77777777" w:rsidR="003F6146" w:rsidRDefault="00296E1C">
      <w:pPr>
        <w:ind w:left="708" w:right="2742"/>
        <w:rPr>
          <w:rFonts w:ascii="Arial" w:eastAsia="Arial" w:hAnsi="Arial" w:cs="Arial"/>
          <w:b/>
          <w:i/>
          <w:sz w:val="22"/>
          <w:szCs w:val="22"/>
        </w:rPr>
      </w:pPr>
      <w:r>
        <w:rPr>
          <w:rFonts w:ascii="Arial" w:eastAsia="Arial" w:hAnsi="Arial" w:cs="Arial"/>
          <w:b/>
          <w:i/>
          <w:sz w:val="22"/>
          <w:szCs w:val="22"/>
        </w:rPr>
        <w:t>“VOTÓ EN CONTRA DE OTORGAR APOYO A LOS ADULTOS MAYORES Y A DISCAPACITADOS”</w:t>
      </w:r>
    </w:p>
    <w:p w14:paraId="23362680" w14:textId="77777777" w:rsidR="003F6146" w:rsidRDefault="003F6146">
      <w:pPr>
        <w:pBdr>
          <w:top w:val="nil"/>
          <w:left w:val="nil"/>
          <w:bottom w:val="nil"/>
          <w:right w:val="nil"/>
          <w:between w:val="nil"/>
        </w:pBdr>
        <w:rPr>
          <w:color w:val="000000"/>
        </w:rPr>
      </w:pPr>
    </w:p>
    <w:p w14:paraId="6F6FC481" w14:textId="77777777" w:rsidR="003F6146" w:rsidRDefault="00296E1C">
      <w:pPr>
        <w:numPr>
          <w:ilvl w:val="0"/>
          <w:numId w:val="3"/>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Valoración</w:t>
      </w:r>
    </w:p>
    <w:p w14:paraId="2DD2780F" w14:textId="77777777" w:rsidR="003F6146" w:rsidRPr="00D21C85" w:rsidRDefault="003F6146">
      <w:pPr>
        <w:pBdr>
          <w:top w:val="nil"/>
          <w:left w:val="nil"/>
          <w:bottom w:val="nil"/>
          <w:right w:val="nil"/>
          <w:between w:val="nil"/>
        </w:pBdr>
        <w:rPr>
          <w:color w:val="000000"/>
          <w:sz w:val="12"/>
          <w:szCs w:val="12"/>
        </w:rPr>
      </w:pPr>
    </w:p>
    <w:p w14:paraId="0F92D30B" w14:textId="13F2097B" w:rsidR="003F6146" w:rsidRDefault="00296E1C">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Este Tribunal Electoral considera que las expresiones cuestionadas no actualizan la infracción de VPG, dado que a pesar de que tales imputaciones no advierten algún elemento de género, también es que de las constancias que existen en el expediente no fue posible atribuir a algún sujeto la responsabilidad de tal publicación, la cual, se encuentra permitida en el marco del debate político y, por tanto, está protegida por la libertad de expresión. </w:t>
      </w:r>
    </w:p>
    <w:p w14:paraId="47626A75" w14:textId="77777777" w:rsidR="005A679F" w:rsidRDefault="005A679F" w:rsidP="005A679F">
      <w:pPr>
        <w:pStyle w:val="Sinespaciado"/>
        <w:rPr>
          <w:rFonts w:eastAsia="Arial"/>
        </w:rPr>
      </w:pPr>
    </w:p>
    <w:p w14:paraId="0EB7130F" w14:textId="77777777" w:rsidR="003F6146" w:rsidRDefault="00296E1C">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Lo anterior es así, ya que para que este órgano jurisdiccional se encuentre en posibilidad de determinar si las conductas denunciadas actualizan VPG en perjuicio de la denunciante o no, implica la necesidad de realizar el análisis de los elementos a que hace referencia la jurisprudencia de la Sala Superior. </w:t>
      </w:r>
    </w:p>
    <w:p w14:paraId="2062D38F" w14:textId="77777777" w:rsidR="003F6146" w:rsidRPr="00D21C85" w:rsidRDefault="003F6146" w:rsidP="00D21C85">
      <w:pPr>
        <w:pStyle w:val="Sinespaciado"/>
        <w:rPr>
          <w:sz w:val="8"/>
          <w:szCs w:val="8"/>
        </w:rPr>
      </w:pPr>
    </w:p>
    <w:p w14:paraId="0A5AD5C4" w14:textId="77777777" w:rsidR="003F6146" w:rsidRDefault="00296E1C">
      <w:pPr>
        <w:shd w:val="clear" w:color="auto" w:fill="FFFFFF"/>
        <w:spacing w:line="360" w:lineRule="auto"/>
        <w:jc w:val="both"/>
        <w:rPr>
          <w:rFonts w:ascii="Arial" w:eastAsia="Arial" w:hAnsi="Arial" w:cs="Arial"/>
          <w:color w:val="000000"/>
          <w:sz w:val="24"/>
          <w:szCs w:val="24"/>
          <w:u w:val="single"/>
        </w:rPr>
      </w:pPr>
      <w:r>
        <w:rPr>
          <w:rFonts w:ascii="Arial" w:eastAsia="Arial" w:hAnsi="Arial" w:cs="Arial"/>
          <w:color w:val="000000"/>
          <w:sz w:val="24"/>
          <w:szCs w:val="24"/>
          <w:u w:val="single"/>
        </w:rPr>
        <w:t xml:space="preserve">1. Sucede en el marco del ejercicio de derechos político-electorales o bien en el ejercicio de un cargo público; </w:t>
      </w:r>
    </w:p>
    <w:p w14:paraId="59C77840" w14:textId="77777777" w:rsidR="003F6146" w:rsidRPr="00D21C85" w:rsidRDefault="003F6146">
      <w:pPr>
        <w:pBdr>
          <w:top w:val="nil"/>
          <w:left w:val="nil"/>
          <w:bottom w:val="nil"/>
          <w:right w:val="nil"/>
          <w:between w:val="nil"/>
        </w:pBdr>
        <w:rPr>
          <w:color w:val="000000"/>
          <w:sz w:val="10"/>
          <w:szCs w:val="10"/>
        </w:rPr>
      </w:pPr>
    </w:p>
    <w:p w14:paraId="0F6F11D3" w14:textId="06FB7E3E" w:rsidR="003F6146" w:rsidRPr="00D21C85" w:rsidRDefault="00296E1C" w:rsidP="00D21C85">
      <w:pPr>
        <w:shd w:val="clear" w:color="auto" w:fill="FFFFFF"/>
        <w:spacing w:line="360" w:lineRule="auto"/>
        <w:jc w:val="both"/>
        <w:rPr>
          <w:rFonts w:ascii="Arial" w:eastAsia="Arial" w:hAnsi="Arial" w:cs="Arial"/>
          <w:color w:val="000000"/>
          <w:sz w:val="24"/>
          <w:szCs w:val="24"/>
        </w:rPr>
      </w:pPr>
      <w:r>
        <w:rPr>
          <w:rFonts w:ascii="Arial" w:eastAsia="Arial" w:hAnsi="Arial" w:cs="Arial"/>
          <w:color w:val="000000"/>
          <w:sz w:val="24"/>
          <w:szCs w:val="24"/>
        </w:rPr>
        <w:t>Se cumple con este elemento porque las expresiones en cuestión, se realizaron en el ejercicio del derecho político-electoral a ser votada de la denunciante, ya que ostenta una candidatura para el cargo a la Presidencia Municipal del Ayuntamiento de San Francisco de los Romo.</w:t>
      </w:r>
    </w:p>
    <w:p w14:paraId="330B8A5E" w14:textId="77777777" w:rsidR="003F6146" w:rsidRDefault="00296E1C">
      <w:pPr>
        <w:shd w:val="clear" w:color="auto" w:fill="FFFFFF"/>
        <w:spacing w:line="360" w:lineRule="auto"/>
        <w:jc w:val="both"/>
        <w:rPr>
          <w:rFonts w:ascii="Arial" w:eastAsia="Arial" w:hAnsi="Arial" w:cs="Arial"/>
          <w:color w:val="000000"/>
          <w:sz w:val="24"/>
          <w:szCs w:val="24"/>
          <w:u w:val="single"/>
        </w:rPr>
      </w:pPr>
      <w:r>
        <w:rPr>
          <w:rFonts w:ascii="Arial" w:eastAsia="Arial" w:hAnsi="Arial" w:cs="Arial"/>
          <w:color w:val="000000"/>
          <w:sz w:val="24"/>
          <w:szCs w:val="24"/>
          <w:u w:val="single"/>
        </w:rPr>
        <w:lastRenderedPageBreak/>
        <w:t xml:space="preserve">2. Es perpetrado por el Estado o sus agentes, por superiores jerárquicos, colegas de trabajo, partidos políticos o representantes de los mismos; medios de comunicación y sus integrantes, un particular y/o un grupo de personas; </w:t>
      </w:r>
    </w:p>
    <w:p w14:paraId="5CC81343" w14:textId="77777777" w:rsidR="003F6146" w:rsidRPr="00D21C85" w:rsidRDefault="003F6146" w:rsidP="00D21C85">
      <w:pPr>
        <w:pBdr>
          <w:top w:val="nil"/>
          <w:left w:val="nil"/>
          <w:bottom w:val="nil"/>
          <w:right w:val="nil"/>
          <w:between w:val="nil"/>
        </w:pBdr>
        <w:ind w:firstLine="720"/>
        <w:rPr>
          <w:color w:val="000000"/>
          <w:sz w:val="14"/>
          <w:szCs w:val="14"/>
        </w:rPr>
      </w:pPr>
    </w:p>
    <w:p w14:paraId="0297C663"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t xml:space="preserve">En el caso, la quejosa denuncia una publicación realizada a través de un perfil de Facebook de nombre “Parlamento Digital”, del cual se desconoce la identidad de la persona responsable de su manejo y/o autoría, a pesar de que la autoridad investigadora realizó distintas acciones con el propósito de identificar a la o el sujeto responsable. </w:t>
      </w:r>
    </w:p>
    <w:p w14:paraId="13A27DAA" w14:textId="77777777" w:rsidR="003F6146" w:rsidRPr="00D21C85" w:rsidRDefault="003F6146">
      <w:pPr>
        <w:pBdr>
          <w:top w:val="nil"/>
          <w:left w:val="nil"/>
          <w:bottom w:val="nil"/>
          <w:right w:val="nil"/>
          <w:between w:val="nil"/>
        </w:pBdr>
        <w:rPr>
          <w:color w:val="000000"/>
          <w:sz w:val="14"/>
          <w:szCs w:val="14"/>
        </w:rPr>
      </w:pPr>
    </w:p>
    <w:p w14:paraId="5BBB90FD" w14:textId="77777777" w:rsidR="003F6146" w:rsidRDefault="00296E1C">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particular, de las constancias que existen en el expediente se advierte que la autoridad administrativa llevo a cabo distintas diligencias, con la finalidad tener elementos que permitan conocer la identidad de la persona a la que pertenece la referida cuenta, ello sin obtener resultados favorables, pues del requerimiento realizado a la empresa Facebook, no se obtuvieron datos que resultaran útiles, por tanto, se desconoce a la o el titular de tal perfil. </w:t>
      </w:r>
    </w:p>
    <w:p w14:paraId="45B62D86" w14:textId="77777777" w:rsidR="003F6146" w:rsidRPr="00D21C85" w:rsidRDefault="003F6146">
      <w:pPr>
        <w:pBdr>
          <w:top w:val="nil"/>
          <w:left w:val="nil"/>
          <w:bottom w:val="nil"/>
          <w:right w:val="nil"/>
          <w:between w:val="nil"/>
        </w:pBdr>
        <w:rPr>
          <w:color w:val="000000"/>
          <w:sz w:val="14"/>
          <w:szCs w:val="14"/>
        </w:rPr>
      </w:pPr>
    </w:p>
    <w:p w14:paraId="78FD51EE" w14:textId="77777777" w:rsidR="003F6146" w:rsidRDefault="00296E1C">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Por lo anterior, no puede identificarse la responsabilidad de alguna persona en particular. Sin embargo, de un análisis objetivo se advierte que la publicación denunciada se realizó por un medio de comunicación en la red social de Facebook, ya que este se centra en publicar contenido informativo de carácter noticiosos y, por tanto, puede ser susceptible de responsabilidad, no obstante, como se adelantó, no fue posible identificar al sujeto responsable. </w:t>
      </w:r>
    </w:p>
    <w:p w14:paraId="293D1904" w14:textId="77777777" w:rsidR="003F6146" w:rsidRPr="00D21C85" w:rsidRDefault="003F6146" w:rsidP="005A679F">
      <w:pPr>
        <w:pStyle w:val="Sinespaciado"/>
        <w:rPr>
          <w:rFonts w:eastAsia="Arial"/>
          <w:sz w:val="12"/>
          <w:szCs w:val="12"/>
        </w:rPr>
      </w:pPr>
    </w:p>
    <w:p w14:paraId="27F5642E" w14:textId="77777777" w:rsidR="003F6146" w:rsidRDefault="00296E1C">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En consecuencia, al carecer de pruebas que permitan atribuir la responsabilidad de tal conducta a algún sujeto, este Tribunal considera que no puede actualizarse el elemento en cuestión.</w:t>
      </w:r>
    </w:p>
    <w:p w14:paraId="0C10F542" w14:textId="77777777" w:rsidR="003F6146" w:rsidRPr="00D21C85" w:rsidRDefault="003F6146">
      <w:pPr>
        <w:pBdr>
          <w:top w:val="nil"/>
          <w:left w:val="nil"/>
          <w:bottom w:val="nil"/>
          <w:right w:val="nil"/>
          <w:between w:val="nil"/>
        </w:pBdr>
        <w:rPr>
          <w:color w:val="000000"/>
          <w:sz w:val="14"/>
          <w:szCs w:val="14"/>
        </w:rPr>
      </w:pPr>
    </w:p>
    <w:p w14:paraId="019D8F77" w14:textId="77777777" w:rsidR="003F6146" w:rsidRDefault="00296E1C">
      <w:pPr>
        <w:shd w:val="clear" w:color="auto" w:fill="FFFFFF"/>
        <w:spacing w:line="360" w:lineRule="auto"/>
        <w:jc w:val="both"/>
        <w:rPr>
          <w:rFonts w:ascii="Arial" w:eastAsia="Arial" w:hAnsi="Arial" w:cs="Arial"/>
          <w:color w:val="000000"/>
          <w:sz w:val="24"/>
          <w:szCs w:val="24"/>
          <w:u w:val="single"/>
        </w:rPr>
      </w:pPr>
      <w:r>
        <w:rPr>
          <w:rFonts w:ascii="Arial" w:eastAsia="Arial" w:hAnsi="Arial" w:cs="Arial"/>
          <w:color w:val="000000"/>
          <w:sz w:val="24"/>
          <w:szCs w:val="24"/>
          <w:u w:val="single"/>
        </w:rPr>
        <w:t xml:space="preserve">3. Es simbólico, verbal, patrimonial, económico, físico, sexual y/o psicológico; </w:t>
      </w:r>
    </w:p>
    <w:p w14:paraId="14957B56" w14:textId="77777777" w:rsidR="003F6146" w:rsidRDefault="003F6146">
      <w:pPr>
        <w:pBdr>
          <w:top w:val="nil"/>
          <w:left w:val="nil"/>
          <w:bottom w:val="nil"/>
          <w:right w:val="nil"/>
          <w:between w:val="nil"/>
        </w:pBdr>
        <w:rPr>
          <w:color w:val="000000"/>
        </w:rPr>
      </w:pPr>
    </w:p>
    <w:p w14:paraId="45A94113" w14:textId="77777777" w:rsidR="003F6146" w:rsidRDefault="00296E1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Este órgano jurisdiccional estima que el presente elemento no puede tenerse por actualizado, ello porque de las frases </w:t>
      </w:r>
      <w:r>
        <w:rPr>
          <w:rFonts w:ascii="Arial" w:eastAsia="Arial" w:hAnsi="Arial" w:cs="Arial"/>
          <w:i/>
          <w:sz w:val="24"/>
          <w:szCs w:val="24"/>
        </w:rPr>
        <w:t>“Ni un voto para la Corrupción”</w:t>
      </w:r>
      <w:r>
        <w:rPr>
          <w:rFonts w:ascii="Arial" w:eastAsia="Arial" w:hAnsi="Arial" w:cs="Arial"/>
          <w:sz w:val="24"/>
          <w:szCs w:val="24"/>
        </w:rPr>
        <w:t xml:space="preserve"> y </w:t>
      </w:r>
      <w:r>
        <w:rPr>
          <w:rFonts w:ascii="Arial" w:eastAsia="Arial" w:hAnsi="Arial" w:cs="Arial"/>
          <w:i/>
          <w:sz w:val="24"/>
          <w:szCs w:val="24"/>
        </w:rPr>
        <w:t xml:space="preserve">“votó en contra de otorgar apoyos a adultos mayores y a discapacitados”, </w:t>
      </w:r>
      <w:r>
        <w:rPr>
          <w:rFonts w:ascii="Arial" w:eastAsia="Arial" w:hAnsi="Arial" w:cs="Arial"/>
          <w:sz w:val="24"/>
          <w:szCs w:val="24"/>
        </w:rPr>
        <w:t xml:space="preserve">no se advierte que se traten de palabras ofensivas y/o violentas que pudiesen causar algún daño o tipo de violencia. </w:t>
      </w:r>
    </w:p>
    <w:p w14:paraId="0932490A" w14:textId="77777777" w:rsidR="003F6146" w:rsidRPr="00D21C85" w:rsidRDefault="003F6146" w:rsidP="005A679F">
      <w:pPr>
        <w:pStyle w:val="Sinespaciado"/>
        <w:rPr>
          <w:sz w:val="14"/>
          <w:szCs w:val="14"/>
        </w:rPr>
      </w:pPr>
    </w:p>
    <w:p w14:paraId="6928B93B" w14:textId="77777777" w:rsidR="003F6146" w:rsidRDefault="00296E1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Asimismo, del contexto de estas no se observa que contenga roles o estereotipos o, en su caso, alguna carga simbólica dirigida a las mujeres o al género femenino, que pudiesen afectar a la candidata. </w:t>
      </w:r>
    </w:p>
    <w:p w14:paraId="5A56F9E7" w14:textId="77777777" w:rsidR="003F6146" w:rsidRPr="00D21C85" w:rsidRDefault="003F6146">
      <w:pPr>
        <w:pBdr>
          <w:top w:val="nil"/>
          <w:left w:val="nil"/>
          <w:bottom w:val="nil"/>
          <w:right w:val="nil"/>
          <w:between w:val="nil"/>
        </w:pBdr>
        <w:rPr>
          <w:color w:val="000000"/>
          <w:sz w:val="14"/>
          <w:szCs w:val="14"/>
        </w:rPr>
      </w:pPr>
    </w:p>
    <w:p w14:paraId="55BDFB38" w14:textId="77777777" w:rsidR="003F6146" w:rsidRDefault="00296E1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Esto es así, porque las expresiones denunciadas únicamente se refieren a una opinión personal de una persona –que no fue posible identificar- en uso de su libertad de expresión, en un contexto de </w:t>
      </w:r>
      <w:r>
        <w:rPr>
          <w:rFonts w:ascii="Arial" w:eastAsia="Arial" w:hAnsi="Arial" w:cs="Arial"/>
          <w:b/>
          <w:sz w:val="24"/>
          <w:szCs w:val="24"/>
        </w:rPr>
        <w:t>debate político</w:t>
      </w:r>
      <w:r>
        <w:rPr>
          <w:rFonts w:ascii="Arial" w:eastAsia="Arial" w:hAnsi="Arial" w:cs="Arial"/>
          <w:sz w:val="24"/>
          <w:szCs w:val="24"/>
        </w:rPr>
        <w:t xml:space="preserve">, sin que ello pueda demostrar que se trata de un agravio directo o indirecto en perjuicio de la quejosa. </w:t>
      </w:r>
    </w:p>
    <w:p w14:paraId="745B6730" w14:textId="77777777" w:rsidR="003F6146" w:rsidRDefault="003F6146">
      <w:pPr>
        <w:pBdr>
          <w:top w:val="nil"/>
          <w:left w:val="nil"/>
          <w:bottom w:val="nil"/>
          <w:right w:val="nil"/>
          <w:between w:val="nil"/>
        </w:pBdr>
        <w:rPr>
          <w:color w:val="000000"/>
        </w:rPr>
      </w:pPr>
    </w:p>
    <w:p w14:paraId="71928017" w14:textId="77777777" w:rsidR="003F6146" w:rsidRDefault="00296E1C">
      <w:pPr>
        <w:shd w:val="clear" w:color="auto" w:fill="FFFFFF"/>
        <w:spacing w:line="360" w:lineRule="auto"/>
        <w:jc w:val="both"/>
        <w:rPr>
          <w:rFonts w:ascii="Arial" w:eastAsia="Arial" w:hAnsi="Arial" w:cs="Arial"/>
          <w:color w:val="000000"/>
          <w:sz w:val="24"/>
          <w:szCs w:val="24"/>
          <w:u w:val="single"/>
        </w:rPr>
      </w:pPr>
      <w:r>
        <w:rPr>
          <w:rFonts w:ascii="Arial" w:eastAsia="Arial" w:hAnsi="Arial" w:cs="Arial"/>
          <w:color w:val="000000"/>
          <w:sz w:val="24"/>
          <w:szCs w:val="24"/>
          <w:u w:val="single"/>
        </w:rPr>
        <w:t xml:space="preserve">4. Tiene por objeto o resultado menoscabar o anular el reconocimiento, goce y/o ejercicio de los derechos político-electorales de las mujeres y; </w:t>
      </w:r>
    </w:p>
    <w:p w14:paraId="1C48E2AD" w14:textId="77777777" w:rsidR="003F6146" w:rsidRDefault="003F6146">
      <w:pPr>
        <w:pBdr>
          <w:top w:val="nil"/>
          <w:left w:val="nil"/>
          <w:bottom w:val="nil"/>
          <w:right w:val="nil"/>
          <w:between w:val="nil"/>
        </w:pBdr>
        <w:rPr>
          <w:color w:val="000000"/>
        </w:rPr>
      </w:pPr>
    </w:p>
    <w:p w14:paraId="332CC51D" w14:textId="77777777" w:rsidR="003F6146" w:rsidRDefault="00296E1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Este elemento tampoco se satisface, porque como se explicó, las frases en cuestión no constituyen una crítica directa a la imagen de la denunciada y, en tal medida, no se desprende que tengan por objeto denostarla o causar un daño a su persona, así que esta autoridad considera que ello no le causa una afectación a sus derechos político-electorales.</w:t>
      </w:r>
    </w:p>
    <w:p w14:paraId="5792C133" w14:textId="77777777" w:rsidR="003F6146" w:rsidRDefault="003F6146">
      <w:pPr>
        <w:pBdr>
          <w:top w:val="nil"/>
          <w:left w:val="nil"/>
          <w:bottom w:val="nil"/>
          <w:right w:val="nil"/>
          <w:between w:val="nil"/>
        </w:pBdr>
        <w:rPr>
          <w:color w:val="000000"/>
        </w:rPr>
      </w:pPr>
    </w:p>
    <w:p w14:paraId="340AAF4C" w14:textId="77777777" w:rsidR="003F6146" w:rsidRDefault="00296E1C">
      <w:pPr>
        <w:shd w:val="clear" w:color="auto" w:fill="FFFFFF"/>
        <w:spacing w:line="360" w:lineRule="auto"/>
        <w:jc w:val="both"/>
        <w:rPr>
          <w:rFonts w:ascii="Arial" w:eastAsia="Arial" w:hAnsi="Arial" w:cs="Arial"/>
          <w:color w:val="000000"/>
          <w:sz w:val="24"/>
          <w:szCs w:val="24"/>
          <w:u w:val="single"/>
        </w:rPr>
      </w:pPr>
      <w:r>
        <w:rPr>
          <w:rFonts w:ascii="Arial" w:eastAsia="Arial" w:hAnsi="Arial" w:cs="Arial"/>
          <w:color w:val="000000"/>
          <w:sz w:val="24"/>
          <w:szCs w:val="24"/>
          <w:u w:val="single"/>
        </w:rPr>
        <w:t xml:space="preserve">5. Se basa en elementos de género, es decir: i. se dirige a una mujer por ser mujer, </w:t>
      </w:r>
      <w:proofErr w:type="spellStart"/>
      <w:r>
        <w:rPr>
          <w:rFonts w:ascii="Arial" w:eastAsia="Arial" w:hAnsi="Arial" w:cs="Arial"/>
          <w:color w:val="000000"/>
          <w:sz w:val="24"/>
          <w:szCs w:val="24"/>
          <w:u w:val="single"/>
        </w:rPr>
        <w:t>ii</w:t>
      </w:r>
      <w:proofErr w:type="spellEnd"/>
      <w:r>
        <w:rPr>
          <w:rFonts w:ascii="Arial" w:eastAsia="Arial" w:hAnsi="Arial" w:cs="Arial"/>
          <w:color w:val="000000"/>
          <w:sz w:val="24"/>
          <w:szCs w:val="24"/>
          <w:u w:val="single"/>
        </w:rPr>
        <w:t xml:space="preserve">. tiene un impacto diferenciado en las mujeres; </w:t>
      </w:r>
      <w:proofErr w:type="spellStart"/>
      <w:r>
        <w:rPr>
          <w:rFonts w:ascii="Arial" w:eastAsia="Arial" w:hAnsi="Arial" w:cs="Arial"/>
          <w:color w:val="000000"/>
          <w:sz w:val="24"/>
          <w:szCs w:val="24"/>
          <w:u w:val="single"/>
        </w:rPr>
        <w:t>iii</w:t>
      </w:r>
      <w:proofErr w:type="spellEnd"/>
      <w:r>
        <w:rPr>
          <w:rFonts w:ascii="Arial" w:eastAsia="Arial" w:hAnsi="Arial" w:cs="Arial"/>
          <w:color w:val="000000"/>
          <w:sz w:val="24"/>
          <w:szCs w:val="24"/>
          <w:u w:val="single"/>
        </w:rPr>
        <w:t xml:space="preserve">. afecta desproporcionadamente a las mujeres. </w:t>
      </w:r>
    </w:p>
    <w:p w14:paraId="18F3D46C" w14:textId="77777777" w:rsidR="003F6146" w:rsidRDefault="003F6146">
      <w:pPr>
        <w:pBdr>
          <w:top w:val="nil"/>
          <w:left w:val="nil"/>
          <w:bottom w:val="nil"/>
          <w:right w:val="nil"/>
          <w:between w:val="nil"/>
        </w:pBdr>
        <w:rPr>
          <w:color w:val="000000"/>
        </w:rPr>
      </w:pPr>
    </w:p>
    <w:p w14:paraId="5D28F698" w14:textId="77777777" w:rsidR="003F6146" w:rsidRDefault="00296E1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Finalmente, esta autoridad jurisdiccional considera que del estudio tanto individual y conjunto de las expresiones que la denunciante refiere, no se advierte una relación o incidencia directa en razón al género, dado que no se dirige a una mujer por ser mujer, no causa un impacto diferenciado ni le afecta de forma desproporcionada. Esto, porque no se demuestra la existencia de algún rol o estereotipo en torno a dichas expresiones. </w:t>
      </w:r>
    </w:p>
    <w:p w14:paraId="07890A60" w14:textId="77777777" w:rsidR="003F6146" w:rsidRDefault="003F6146">
      <w:pPr>
        <w:pBdr>
          <w:top w:val="nil"/>
          <w:left w:val="nil"/>
          <w:bottom w:val="nil"/>
          <w:right w:val="nil"/>
          <w:between w:val="nil"/>
        </w:pBdr>
        <w:rPr>
          <w:color w:val="000000"/>
        </w:rPr>
      </w:pPr>
    </w:p>
    <w:p w14:paraId="627E3D82" w14:textId="1F0FC321" w:rsidR="003F6146" w:rsidRPr="005A679F" w:rsidRDefault="00296E1C" w:rsidP="005A679F">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Por tanto, del análisis de los elementos y, a su vez, la aplicación del test al caso concreto, se advierte que únicamente se acreditó el primer elemento y, por tanto, </w:t>
      </w:r>
      <w:r>
        <w:rPr>
          <w:rFonts w:ascii="Arial" w:eastAsia="Arial" w:hAnsi="Arial" w:cs="Arial"/>
          <w:b/>
          <w:sz w:val="24"/>
          <w:szCs w:val="24"/>
        </w:rPr>
        <w:t>no es posible considerar que las expresiones denunciadas actualizaron VPG</w:t>
      </w:r>
      <w:r>
        <w:rPr>
          <w:rFonts w:ascii="Arial" w:eastAsia="Arial" w:hAnsi="Arial" w:cs="Arial"/>
          <w:sz w:val="24"/>
          <w:szCs w:val="24"/>
        </w:rPr>
        <w:t xml:space="preserve"> en perjuicio de la denunciante. </w:t>
      </w:r>
    </w:p>
    <w:p w14:paraId="200A9BAA" w14:textId="77777777" w:rsidR="003F6146" w:rsidRPr="00D21C85" w:rsidRDefault="003F6146">
      <w:pPr>
        <w:pBdr>
          <w:top w:val="nil"/>
          <w:left w:val="nil"/>
          <w:bottom w:val="nil"/>
          <w:right w:val="nil"/>
          <w:between w:val="nil"/>
        </w:pBdr>
        <w:rPr>
          <w:color w:val="000000"/>
          <w:sz w:val="10"/>
          <w:szCs w:val="10"/>
        </w:rPr>
      </w:pPr>
    </w:p>
    <w:p w14:paraId="520290C3" w14:textId="77777777" w:rsidR="003F6146" w:rsidRDefault="00296E1C">
      <w:pPr>
        <w:pBdr>
          <w:top w:val="nil"/>
          <w:left w:val="nil"/>
          <w:bottom w:val="nil"/>
          <w:right w:val="nil"/>
          <w:between w:val="nil"/>
        </w:pBdr>
        <w:tabs>
          <w:tab w:val="left" w:pos="284"/>
        </w:tabs>
        <w:spacing w:line="360" w:lineRule="auto"/>
        <w:ind w:right="36"/>
        <w:jc w:val="both"/>
        <w:rPr>
          <w:rFonts w:ascii="Arial" w:eastAsia="Arial" w:hAnsi="Arial" w:cs="Arial"/>
          <w:b/>
          <w:sz w:val="24"/>
          <w:szCs w:val="24"/>
          <w:u w:val="single"/>
        </w:rPr>
      </w:pPr>
      <w:r>
        <w:rPr>
          <w:rFonts w:ascii="Arial" w:eastAsia="Arial" w:hAnsi="Arial" w:cs="Arial"/>
          <w:b/>
          <w:sz w:val="24"/>
          <w:szCs w:val="24"/>
          <w:u w:val="single"/>
        </w:rPr>
        <w:t>Tema 2. De la calumnia</w:t>
      </w:r>
    </w:p>
    <w:p w14:paraId="47787809" w14:textId="77777777" w:rsidR="003F6146" w:rsidRDefault="003F6146">
      <w:pPr>
        <w:pBdr>
          <w:top w:val="nil"/>
          <w:left w:val="nil"/>
          <w:bottom w:val="nil"/>
          <w:right w:val="nil"/>
          <w:between w:val="nil"/>
        </w:pBdr>
        <w:rPr>
          <w:color w:val="000000"/>
          <w:sz w:val="16"/>
          <w:szCs w:val="16"/>
        </w:rPr>
      </w:pPr>
    </w:p>
    <w:p w14:paraId="73A1BA06" w14:textId="77777777" w:rsidR="003F6146" w:rsidRDefault="00296E1C">
      <w:pPr>
        <w:spacing w:line="360" w:lineRule="auto"/>
        <w:jc w:val="both"/>
        <w:rPr>
          <w:rFonts w:ascii="Arial" w:eastAsia="Arial" w:hAnsi="Arial" w:cs="Arial"/>
          <w:b/>
          <w:sz w:val="24"/>
          <w:szCs w:val="24"/>
        </w:rPr>
      </w:pPr>
      <w:r>
        <w:rPr>
          <w:rFonts w:ascii="Arial" w:eastAsia="Arial" w:hAnsi="Arial" w:cs="Arial"/>
          <w:b/>
          <w:sz w:val="24"/>
          <w:szCs w:val="24"/>
        </w:rPr>
        <w:t>1. Marco normativo de calumnia</w:t>
      </w:r>
    </w:p>
    <w:p w14:paraId="1E6A6055" w14:textId="77777777" w:rsidR="003F6146" w:rsidRDefault="003F6146">
      <w:pPr>
        <w:pBdr>
          <w:top w:val="nil"/>
          <w:left w:val="nil"/>
          <w:bottom w:val="nil"/>
          <w:right w:val="nil"/>
          <w:between w:val="nil"/>
        </w:pBdr>
        <w:rPr>
          <w:color w:val="000000"/>
        </w:rPr>
      </w:pPr>
    </w:p>
    <w:p w14:paraId="71FE62EF" w14:textId="4D6B7E8D" w:rsidR="003F6146" w:rsidRDefault="00296E1C">
      <w:pPr>
        <w:tabs>
          <w:tab w:val="left" w:pos="567"/>
        </w:tabs>
        <w:spacing w:line="360" w:lineRule="auto"/>
        <w:jc w:val="both"/>
        <w:rPr>
          <w:rFonts w:ascii="Arial" w:eastAsia="Arial" w:hAnsi="Arial" w:cs="Arial"/>
          <w:b/>
          <w:sz w:val="24"/>
          <w:szCs w:val="24"/>
        </w:rPr>
      </w:pPr>
      <w:r>
        <w:rPr>
          <w:rFonts w:ascii="Arial" w:eastAsia="Arial" w:hAnsi="Arial" w:cs="Arial"/>
          <w:sz w:val="24"/>
          <w:szCs w:val="24"/>
        </w:rPr>
        <w:t>El artículo 6</w:t>
      </w:r>
      <w:r w:rsidR="00136699">
        <w:rPr>
          <w:rFonts w:ascii="Arial" w:eastAsia="Arial" w:hAnsi="Arial" w:cs="Arial"/>
          <w:sz w:val="24"/>
          <w:szCs w:val="24"/>
        </w:rPr>
        <w:t>°</w:t>
      </w:r>
      <w:r>
        <w:rPr>
          <w:rFonts w:ascii="Arial" w:eastAsia="Arial" w:hAnsi="Arial" w:cs="Arial"/>
          <w:sz w:val="24"/>
          <w:szCs w:val="24"/>
        </w:rPr>
        <w:t xml:space="preserve"> de la Constitución Federal</w:t>
      </w:r>
      <w:r>
        <w:rPr>
          <w:rFonts w:ascii="Arial" w:eastAsia="Arial" w:hAnsi="Arial" w:cs="Arial"/>
          <w:sz w:val="24"/>
          <w:szCs w:val="24"/>
          <w:vertAlign w:val="superscript"/>
        </w:rPr>
        <w:footnoteReference w:id="13"/>
      </w:r>
      <w:r>
        <w:rPr>
          <w:rFonts w:ascii="Arial" w:eastAsia="Arial" w:hAnsi="Arial" w:cs="Arial"/>
          <w:sz w:val="24"/>
          <w:szCs w:val="24"/>
        </w:rPr>
        <w:t xml:space="preserve"> establece en qué supuestos la libertad de expresión se encuentra limitada y son en los siguientes: </w:t>
      </w:r>
      <w:r>
        <w:rPr>
          <w:rFonts w:ascii="Arial" w:eastAsia="Arial" w:hAnsi="Arial" w:cs="Arial"/>
          <w:b/>
          <w:i/>
          <w:sz w:val="24"/>
          <w:szCs w:val="24"/>
        </w:rPr>
        <w:t>a)</w:t>
      </w:r>
      <w:r>
        <w:rPr>
          <w:rFonts w:ascii="Arial" w:eastAsia="Arial" w:hAnsi="Arial" w:cs="Arial"/>
          <w:sz w:val="24"/>
          <w:szCs w:val="24"/>
        </w:rPr>
        <w:t xml:space="preserve"> cuando se ataque a la moral, a la vida privada y los derechos de terceros: </w:t>
      </w:r>
      <w:r>
        <w:rPr>
          <w:rFonts w:ascii="Arial" w:eastAsia="Arial" w:hAnsi="Arial" w:cs="Arial"/>
          <w:b/>
          <w:i/>
          <w:sz w:val="24"/>
          <w:szCs w:val="24"/>
        </w:rPr>
        <w:t>b)</w:t>
      </w:r>
      <w:r>
        <w:rPr>
          <w:rFonts w:ascii="Arial" w:eastAsia="Arial" w:hAnsi="Arial" w:cs="Arial"/>
          <w:sz w:val="24"/>
          <w:szCs w:val="24"/>
        </w:rPr>
        <w:t xml:space="preserve"> cuando se provoque algún delito y/o: </w:t>
      </w:r>
      <w:r>
        <w:rPr>
          <w:rFonts w:ascii="Arial" w:eastAsia="Arial" w:hAnsi="Arial" w:cs="Arial"/>
          <w:b/>
          <w:i/>
          <w:sz w:val="24"/>
          <w:szCs w:val="24"/>
        </w:rPr>
        <w:t>c)</w:t>
      </w:r>
      <w:r>
        <w:rPr>
          <w:rFonts w:ascii="Arial" w:eastAsia="Arial" w:hAnsi="Arial" w:cs="Arial"/>
          <w:sz w:val="24"/>
          <w:szCs w:val="24"/>
        </w:rPr>
        <w:t xml:space="preserve"> se perturbe el orden público.</w:t>
      </w:r>
    </w:p>
    <w:p w14:paraId="472664A8" w14:textId="77777777" w:rsidR="003F6146" w:rsidRDefault="003F6146" w:rsidP="00D21C85">
      <w:pPr>
        <w:pStyle w:val="Sinespaciado"/>
      </w:pPr>
    </w:p>
    <w:p w14:paraId="26F0685C"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t>A su vez, el articulo 41 Base II, apartado C</w:t>
      </w:r>
      <w:r>
        <w:rPr>
          <w:rFonts w:ascii="Arial" w:eastAsia="Arial" w:hAnsi="Arial" w:cs="Arial"/>
          <w:sz w:val="24"/>
          <w:szCs w:val="24"/>
          <w:vertAlign w:val="superscript"/>
        </w:rPr>
        <w:footnoteReference w:id="14"/>
      </w:r>
      <w:r>
        <w:rPr>
          <w:rFonts w:ascii="Arial" w:eastAsia="Arial" w:hAnsi="Arial" w:cs="Arial"/>
          <w:sz w:val="24"/>
          <w:szCs w:val="24"/>
        </w:rPr>
        <w:t xml:space="preserve"> del mismo ordenamiento establece que los partidos políticos y candidatos deben de abstenerse de difundir propaganda que calumnie a las personas o cometan alguna infracción electoral. </w:t>
      </w:r>
    </w:p>
    <w:p w14:paraId="6FE05767" w14:textId="77777777" w:rsidR="003F6146" w:rsidRDefault="003F6146">
      <w:pPr>
        <w:pBdr>
          <w:top w:val="nil"/>
          <w:left w:val="nil"/>
          <w:bottom w:val="nil"/>
          <w:right w:val="nil"/>
          <w:between w:val="nil"/>
        </w:pBdr>
        <w:rPr>
          <w:color w:val="000000"/>
        </w:rPr>
      </w:pPr>
    </w:p>
    <w:p w14:paraId="0C85FD49"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lastRenderedPageBreak/>
        <w:t>Por otro lado, el artículo 471 segundo párrafo de la LEGIPE</w:t>
      </w:r>
      <w:r>
        <w:rPr>
          <w:rFonts w:ascii="Arial" w:eastAsia="Arial" w:hAnsi="Arial" w:cs="Arial"/>
          <w:sz w:val="24"/>
          <w:szCs w:val="24"/>
          <w:vertAlign w:val="superscript"/>
        </w:rPr>
        <w:footnoteReference w:id="15"/>
      </w:r>
      <w:r>
        <w:rPr>
          <w:rFonts w:ascii="Arial" w:eastAsia="Arial" w:hAnsi="Arial" w:cs="Arial"/>
          <w:sz w:val="24"/>
          <w:szCs w:val="24"/>
        </w:rPr>
        <w:t xml:space="preserve"> establece que </w:t>
      </w:r>
      <w:r>
        <w:rPr>
          <w:rFonts w:ascii="Arial" w:eastAsia="Arial" w:hAnsi="Arial" w:cs="Arial"/>
          <w:b/>
          <w:sz w:val="24"/>
          <w:szCs w:val="24"/>
        </w:rPr>
        <w:t>la calumnia es la imputación de hechos o delitos falsos por parte de partidos políticos</w:t>
      </w:r>
      <w:r>
        <w:rPr>
          <w:rFonts w:ascii="Arial" w:eastAsia="Arial" w:hAnsi="Arial" w:cs="Arial"/>
          <w:sz w:val="24"/>
          <w:szCs w:val="24"/>
        </w:rPr>
        <w:t xml:space="preserve"> </w:t>
      </w:r>
      <w:r>
        <w:rPr>
          <w:rFonts w:ascii="Arial" w:eastAsia="Arial" w:hAnsi="Arial" w:cs="Arial"/>
          <w:b/>
          <w:sz w:val="24"/>
          <w:szCs w:val="24"/>
        </w:rPr>
        <w:t>o los candidatos</w:t>
      </w:r>
      <w:r>
        <w:rPr>
          <w:rFonts w:ascii="Arial" w:eastAsia="Arial" w:hAnsi="Arial" w:cs="Arial"/>
          <w:sz w:val="24"/>
          <w:szCs w:val="24"/>
        </w:rPr>
        <w:t>.</w:t>
      </w:r>
    </w:p>
    <w:p w14:paraId="0B529E88" w14:textId="77777777" w:rsidR="003F6146" w:rsidRDefault="003F6146">
      <w:pPr>
        <w:pBdr>
          <w:top w:val="nil"/>
          <w:left w:val="nil"/>
          <w:bottom w:val="nil"/>
          <w:right w:val="nil"/>
          <w:between w:val="nil"/>
        </w:pBdr>
        <w:rPr>
          <w:color w:val="000000"/>
        </w:rPr>
      </w:pPr>
    </w:p>
    <w:p w14:paraId="7B98860B"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t xml:space="preserve">De lo anterior podemos concluir que las limitaciones a la libertad de expresión tienen como finalidad: </w:t>
      </w:r>
      <w:r>
        <w:rPr>
          <w:rFonts w:ascii="Arial" w:eastAsia="Arial" w:hAnsi="Arial" w:cs="Arial"/>
          <w:b/>
          <w:i/>
          <w:sz w:val="24"/>
          <w:szCs w:val="24"/>
        </w:rPr>
        <w:t>i)</w:t>
      </w:r>
      <w:r>
        <w:rPr>
          <w:rFonts w:ascii="Arial" w:eastAsia="Arial" w:hAnsi="Arial" w:cs="Arial"/>
          <w:sz w:val="24"/>
          <w:szCs w:val="24"/>
        </w:rPr>
        <w:t xml:space="preserve"> el respeto a los derechos y reputación de los demás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la protección a la seguridad nacional y el orden público.</w:t>
      </w:r>
    </w:p>
    <w:p w14:paraId="255B4E81" w14:textId="77777777" w:rsidR="003F6146" w:rsidRDefault="003F6146" w:rsidP="00136699">
      <w:pPr>
        <w:pStyle w:val="Sinespaciado"/>
        <w:rPr>
          <w:rFonts w:eastAsia="Arial"/>
        </w:rPr>
      </w:pPr>
    </w:p>
    <w:p w14:paraId="3ADF841B"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t>Al respecto, la SCJN</w:t>
      </w:r>
      <w:r>
        <w:rPr>
          <w:rFonts w:ascii="Arial" w:eastAsia="Arial" w:hAnsi="Arial" w:cs="Arial"/>
          <w:sz w:val="24"/>
          <w:szCs w:val="24"/>
          <w:vertAlign w:val="superscript"/>
        </w:rPr>
        <w:footnoteReference w:id="16"/>
      </w:r>
      <w:r>
        <w:rPr>
          <w:rFonts w:ascii="Arial" w:eastAsia="Arial" w:hAnsi="Arial" w:cs="Arial"/>
          <w:sz w:val="24"/>
          <w:szCs w:val="24"/>
        </w:rPr>
        <w:t xml:space="preserve"> estableció que para poder acreditar la calumnia es necesario que se cumplan estos dos elementos; </w:t>
      </w:r>
    </w:p>
    <w:p w14:paraId="2BDBC019" w14:textId="77777777" w:rsidR="003F6146" w:rsidRDefault="003F6146">
      <w:pPr>
        <w:pBdr>
          <w:top w:val="nil"/>
          <w:left w:val="nil"/>
          <w:bottom w:val="nil"/>
          <w:right w:val="nil"/>
          <w:between w:val="nil"/>
        </w:pBdr>
        <w:rPr>
          <w:color w:val="000000"/>
          <w:sz w:val="16"/>
          <w:szCs w:val="16"/>
        </w:rPr>
      </w:pPr>
    </w:p>
    <w:p w14:paraId="28655314" w14:textId="77777777" w:rsidR="003F6146" w:rsidRDefault="00296E1C">
      <w:pPr>
        <w:numPr>
          <w:ilvl w:val="0"/>
          <w:numId w:val="2"/>
        </w:numPr>
        <w:spacing w:line="360" w:lineRule="auto"/>
        <w:jc w:val="both"/>
        <w:rPr>
          <w:sz w:val="24"/>
          <w:szCs w:val="24"/>
        </w:rPr>
      </w:pPr>
      <w:r>
        <w:rPr>
          <w:rFonts w:ascii="Arial" w:eastAsia="Arial" w:hAnsi="Arial" w:cs="Arial"/>
          <w:b/>
          <w:sz w:val="24"/>
          <w:szCs w:val="24"/>
        </w:rPr>
        <w:t>Elemento objetivo:</w:t>
      </w:r>
      <w:r>
        <w:rPr>
          <w:rFonts w:ascii="Arial" w:eastAsia="Arial" w:hAnsi="Arial" w:cs="Arial"/>
          <w:color w:val="000000"/>
          <w:sz w:val="24"/>
          <w:szCs w:val="24"/>
        </w:rPr>
        <w:t xml:space="preserve"> </w:t>
      </w:r>
      <w:r>
        <w:rPr>
          <w:rFonts w:ascii="Arial" w:eastAsia="Arial" w:hAnsi="Arial" w:cs="Arial"/>
          <w:sz w:val="24"/>
          <w:szCs w:val="24"/>
        </w:rPr>
        <w:t>Imputación de hechos o delitos falsos.</w:t>
      </w:r>
    </w:p>
    <w:p w14:paraId="5230F17E" w14:textId="77777777" w:rsidR="003F6146" w:rsidRDefault="00296E1C">
      <w:pPr>
        <w:numPr>
          <w:ilvl w:val="0"/>
          <w:numId w:val="2"/>
        </w:numPr>
        <w:spacing w:after="160" w:line="360" w:lineRule="auto"/>
        <w:jc w:val="both"/>
        <w:rPr>
          <w:sz w:val="24"/>
          <w:szCs w:val="24"/>
        </w:rPr>
      </w:pPr>
      <w:r>
        <w:rPr>
          <w:rFonts w:ascii="Arial" w:eastAsia="Arial" w:hAnsi="Arial" w:cs="Arial"/>
          <w:b/>
          <w:sz w:val="24"/>
          <w:szCs w:val="24"/>
        </w:rPr>
        <w:t>Elemento subjetivo:</w:t>
      </w:r>
      <w:r>
        <w:rPr>
          <w:rFonts w:ascii="Arial" w:eastAsia="Arial" w:hAnsi="Arial" w:cs="Arial"/>
          <w:sz w:val="24"/>
          <w:szCs w:val="24"/>
        </w:rPr>
        <w:t xml:space="preserve"> Quien realiza la imputación sabe que los hechos y delitos son falsos.</w:t>
      </w:r>
    </w:p>
    <w:p w14:paraId="3AAD56B3" w14:textId="77777777" w:rsidR="003F6146" w:rsidRDefault="003F6146">
      <w:pPr>
        <w:pBdr>
          <w:top w:val="nil"/>
          <w:left w:val="nil"/>
          <w:bottom w:val="nil"/>
          <w:right w:val="nil"/>
          <w:between w:val="nil"/>
        </w:pBdr>
        <w:rPr>
          <w:color w:val="000000"/>
          <w:sz w:val="2"/>
          <w:szCs w:val="2"/>
        </w:rPr>
      </w:pPr>
    </w:p>
    <w:p w14:paraId="26E3E865"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t xml:space="preserve">Por su parte, la Sala Superior estableció dos elementos adicionales para poder acreditar tal infracción y, en su caso, sancionar la calumnia. Estos son los siguientes: </w:t>
      </w:r>
      <w:r>
        <w:rPr>
          <w:rFonts w:ascii="Arial" w:eastAsia="Arial" w:hAnsi="Arial" w:cs="Arial"/>
          <w:b/>
          <w:i/>
          <w:sz w:val="24"/>
          <w:szCs w:val="24"/>
        </w:rPr>
        <w:t>i)</w:t>
      </w:r>
      <w:r>
        <w:rPr>
          <w:rFonts w:ascii="Arial" w:eastAsia="Arial" w:hAnsi="Arial" w:cs="Arial"/>
          <w:sz w:val="24"/>
          <w:szCs w:val="24"/>
        </w:rPr>
        <w:t xml:space="preserve"> que las expresiones tengan un impacto en el proceso electoral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Pr>
          <w:rFonts w:ascii="Arial" w:eastAsia="Arial" w:hAnsi="Arial" w:cs="Arial"/>
          <w:sz w:val="24"/>
          <w:szCs w:val="24"/>
          <w:vertAlign w:val="superscript"/>
        </w:rPr>
        <w:footnoteReference w:id="17"/>
      </w:r>
      <w:r>
        <w:rPr>
          <w:rFonts w:ascii="Arial" w:eastAsia="Arial" w:hAnsi="Arial" w:cs="Arial"/>
          <w:sz w:val="24"/>
          <w:szCs w:val="24"/>
        </w:rPr>
        <w:t>.</w:t>
      </w:r>
    </w:p>
    <w:p w14:paraId="10573C97" w14:textId="77777777" w:rsidR="003F6146" w:rsidRDefault="003F6146"/>
    <w:p w14:paraId="07FBC0D0" w14:textId="3E02979F" w:rsidR="00945D2A" w:rsidRPr="00136699" w:rsidRDefault="00296E1C" w:rsidP="00136699">
      <w:pPr>
        <w:spacing w:line="360" w:lineRule="auto"/>
        <w:jc w:val="both"/>
        <w:rPr>
          <w:rFonts w:ascii="Arial" w:eastAsia="Arial" w:hAnsi="Arial" w:cs="Arial"/>
          <w:b/>
          <w:sz w:val="24"/>
          <w:szCs w:val="24"/>
        </w:rPr>
      </w:pPr>
      <w:r>
        <w:rPr>
          <w:rFonts w:ascii="Arial" w:eastAsia="Arial" w:hAnsi="Arial" w:cs="Arial"/>
          <w:sz w:val="24"/>
          <w:szCs w:val="24"/>
        </w:rPr>
        <w:t xml:space="preserve">De lo anterior podemos concluir que </w:t>
      </w:r>
      <w:r>
        <w:rPr>
          <w:rFonts w:ascii="Arial" w:eastAsia="Arial" w:hAnsi="Arial" w:cs="Arial"/>
          <w:b/>
          <w:sz w:val="24"/>
          <w:szCs w:val="24"/>
        </w:rPr>
        <w:t>la restricción a la libertad de expresión en el ámbito electoral, es constitucional</w:t>
      </w:r>
      <w:r>
        <w:rPr>
          <w:rFonts w:ascii="Arial" w:eastAsia="Arial" w:hAnsi="Arial" w:cs="Arial"/>
          <w:sz w:val="24"/>
          <w:szCs w:val="24"/>
        </w:rPr>
        <w:t xml:space="preserve">. Pues dicha restricción no limita la libre circulación de crítica </w:t>
      </w:r>
      <w:r>
        <w:rPr>
          <w:rFonts w:ascii="Arial" w:eastAsia="Arial" w:hAnsi="Arial" w:cs="Arial"/>
          <w:b/>
          <w:sz w:val="24"/>
          <w:szCs w:val="24"/>
        </w:rPr>
        <w:t>incluso permite la que pueda considerarse severa, vehemente, molesta o perturbadora.</w:t>
      </w:r>
    </w:p>
    <w:p w14:paraId="5C62CCBF" w14:textId="77777777" w:rsidR="00945D2A" w:rsidRDefault="00945D2A">
      <w:pPr>
        <w:pBdr>
          <w:top w:val="nil"/>
          <w:left w:val="nil"/>
          <w:bottom w:val="nil"/>
          <w:right w:val="nil"/>
          <w:between w:val="nil"/>
        </w:pBdr>
        <w:rPr>
          <w:color w:val="000000"/>
        </w:rPr>
      </w:pPr>
    </w:p>
    <w:p w14:paraId="53EA9CD6" w14:textId="77777777" w:rsidR="003F6146" w:rsidRDefault="00296E1C">
      <w:pPr>
        <w:numPr>
          <w:ilvl w:val="1"/>
          <w:numId w:val="5"/>
        </w:num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Marco normativo de la libertad de expresión en las redes sociales.</w:t>
      </w:r>
    </w:p>
    <w:p w14:paraId="6A8FAC7C" w14:textId="77777777" w:rsidR="003F6146" w:rsidRDefault="003F6146">
      <w:pPr>
        <w:pBdr>
          <w:top w:val="nil"/>
          <w:left w:val="nil"/>
          <w:bottom w:val="nil"/>
          <w:right w:val="nil"/>
          <w:between w:val="nil"/>
        </w:pBdr>
        <w:rPr>
          <w:color w:val="000000"/>
        </w:rPr>
      </w:pPr>
    </w:p>
    <w:p w14:paraId="24D8FCB9" w14:textId="77777777" w:rsidR="003F6146" w:rsidRDefault="00296E1C">
      <w:pPr>
        <w:tabs>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Las redes sociales constituyen una herramienta útil para general la comunicación social, ya que permite a un número indefinido de personas, a fin de que puedan acceder, compartir e intercambiar información, de manera global, instantánea y a un bajo costo. </w:t>
      </w:r>
    </w:p>
    <w:p w14:paraId="3363F95C" w14:textId="77777777" w:rsidR="003F6146" w:rsidRDefault="003F6146" w:rsidP="00D21C85">
      <w:pPr>
        <w:pStyle w:val="Sinespaciado"/>
      </w:pPr>
    </w:p>
    <w:p w14:paraId="1D620216"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t xml:space="preserve">Además, este medio de comunicación tiene la ventaja de que la comunicación no es unidireccional, esto es, que los usuarios pueden interactuar de diferentes </w:t>
      </w:r>
      <w:r>
        <w:rPr>
          <w:rFonts w:ascii="Arial" w:eastAsia="Arial" w:hAnsi="Arial" w:cs="Arial"/>
          <w:sz w:val="24"/>
          <w:szCs w:val="24"/>
        </w:rPr>
        <w:lastRenderedPageBreak/>
        <w:t>maneras y con varias personas a la vez. Por otro lado, las redes sociales son el medio idóneo para que las personas ejerzan de manera plena sus derechos a la libertad de expresión, opinión asociación y reunión.</w:t>
      </w:r>
    </w:p>
    <w:p w14:paraId="53F6BA4B" w14:textId="77777777" w:rsidR="003F6146" w:rsidRDefault="003F6146">
      <w:pPr>
        <w:pBdr>
          <w:top w:val="nil"/>
          <w:left w:val="nil"/>
          <w:bottom w:val="nil"/>
          <w:right w:val="nil"/>
          <w:between w:val="nil"/>
        </w:pBdr>
        <w:rPr>
          <w:color w:val="000000"/>
        </w:rPr>
      </w:pPr>
    </w:p>
    <w:p w14:paraId="3B55A0D8" w14:textId="77777777" w:rsidR="003F6146" w:rsidRDefault="00296E1C">
      <w:pPr>
        <w:spacing w:line="360" w:lineRule="auto"/>
        <w:jc w:val="both"/>
        <w:rPr>
          <w:rFonts w:ascii="Arial" w:eastAsia="Arial" w:hAnsi="Arial" w:cs="Arial"/>
          <w:sz w:val="24"/>
          <w:szCs w:val="24"/>
        </w:rPr>
      </w:pPr>
      <w:r>
        <w:rPr>
          <w:rFonts w:ascii="Arial" w:eastAsia="Arial" w:hAnsi="Arial" w:cs="Arial"/>
          <w:sz w:val="24"/>
          <w:szCs w:val="24"/>
        </w:rPr>
        <w:t xml:space="preserve">Igualmente, tales medios fungen como un medio de comunicación masivo que </w:t>
      </w:r>
      <w:r>
        <w:rPr>
          <w:rFonts w:ascii="Arial" w:eastAsia="Arial" w:hAnsi="Arial" w:cs="Arial"/>
          <w:b/>
          <w:sz w:val="24"/>
          <w:szCs w:val="24"/>
        </w:rPr>
        <w:t>permite a los usuarios tener un debate amplio y robusto</w:t>
      </w:r>
      <w:r>
        <w:rPr>
          <w:rFonts w:ascii="Arial" w:eastAsia="Arial" w:hAnsi="Arial" w:cs="Arial"/>
          <w:sz w:val="24"/>
          <w:szCs w:val="24"/>
        </w:rPr>
        <w:t>, en el que los usuarios </w:t>
      </w:r>
      <w:r>
        <w:rPr>
          <w:rFonts w:ascii="Arial" w:eastAsia="Arial" w:hAnsi="Arial" w:cs="Arial"/>
          <w:b/>
          <w:sz w:val="24"/>
          <w:szCs w:val="24"/>
        </w:rPr>
        <w:t>intercambien ideas y opiniones, positivas o negativas</w:t>
      </w:r>
      <w:r>
        <w:rPr>
          <w:rFonts w:ascii="Arial" w:eastAsia="Arial" w:hAnsi="Arial" w:cs="Arial"/>
          <w:sz w:val="24"/>
          <w:szCs w:val="24"/>
        </w:rPr>
        <w:t>, de manera ágil y fluida. Por ende, las redes sociales se vuelven un vehículo de suma importancia para la democracia.</w:t>
      </w:r>
    </w:p>
    <w:p w14:paraId="5F0850E3" w14:textId="77777777" w:rsidR="003F6146" w:rsidRDefault="003F6146">
      <w:pPr>
        <w:pBdr>
          <w:top w:val="nil"/>
          <w:left w:val="nil"/>
          <w:bottom w:val="nil"/>
          <w:right w:val="nil"/>
          <w:between w:val="nil"/>
        </w:pBdr>
        <w:rPr>
          <w:color w:val="000000"/>
        </w:rPr>
      </w:pPr>
    </w:p>
    <w:p w14:paraId="5D140D2C" w14:textId="77777777" w:rsidR="003F6146" w:rsidRDefault="00296E1C">
      <w:pPr>
        <w:spacing w:line="360" w:lineRule="auto"/>
        <w:jc w:val="both"/>
        <w:rPr>
          <w:rFonts w:ascii="Arial" w:eastAsia="Arial" w:hAnsi="Arial" w:cs="Arial"/>
          <w:sz w:val="24"/>
          <w:szCs w:val="24"/>
        </w:rPr>
      </w:pPr>
      <w:bookmarkStart w:id="4" w:name="_2et92p0" w:colFirst="0" w:colLast="0"/>
      <w:bookmarkEnd w:id="4"/>
      <w:r>
        <w:rPr>
          <w:rFonts w:ascii="Arial" w:eastAsia="Arial" w:hAnsi="Arial" w:cs="Arial"/>
          <w:sz w:val="24"/>
          <w:szCs w:val="24"/>
        </w:rPr>
        <w:t xml:space="preserve">De lo anterior es posible concluir </w:t>
      </w:r>
      <w:proofErr w:type="gramStart"/>
      <w:r>
        <w:rPr>
          <w:rFonts w:ascii="Arial" w:eastAsia="Arial" w:hAnsi="Arial" w:cs="Arial"/>
          <w:sz w:val="24"/>
          <w:szCs w:val="24"/>
        </w:rPr>
        <w:t>que</w:t>
      </w:r>
      <w:proofErr w:type="gramEnd"/>
      <w:r>
        <w:rPr>
          <w:rFonts w:ascii="Arial" w:eastAsia="Arial" w:hAnsi="Arial" w:cs="Arial"/>
          <w:sz w:val="24"/>
          <w:szCs w:val="24"/>
        </w:rPr>
        <w:t xml:space="preserve"> si bien los contenidos en las redes sociales pueden ser susceptibles de constituir una infracción en materia electoral, también lo es que la </w:t>
      </w:r>
      <w:r>
        <w:rPr>
          <w:rFonts w:ascii="Arial" w:eastAsia="Arial" w:hAnsi="Arial" w:cs="Arial"/>
          <w:b/>
          <w:sz w:val="24"/>
          <w:szCs w:val="24"/>
        </w:rPr>
        <w:t>libertad de expresión a través de redes sociales goza, en principio, de una presunción de espontaneidad</w:t>
      </w:r>
      <w:r>
        <w:rPr>
          <w:rFonts w:ascii="Arial" w:eastAsia="Arial" w:hAnsi="Arial" w:cs="Arial"/>
          <w:sz w:val="24"/>
          <w:szCs w:val="24"/>
        </w:rPr>
        <w:t>, es decir, que la difusión de mensajes, videos, fotografías o cualquier elemento audiovisual cuenta con una protección amplia.</w:t>
      </w:r>
    </w:p>
    <w:p w14:paraId="654A42B9" w14:textId="77777777" w:rsidR="003F6146" w:rsidRDefault="003F6146">
      <w:pPr>
        <w:pBdr>
          <w:top w:val="nil"/>
          <w:left w:val="nil"/>
          <w:bottom w:val="nil"/>
          <w:right w:val="nil"/>
          <w:between w:val="nil"/>
        </w:pBdr>
        <w:rPr>
          <w:color w:val="000000"/>
        </w:rPr>
      </w:pPr>
    </w:p>
    <w:p w14:paraId="6CEEA911" w14:textId="77777777" w:rsidR="003F6146" w:rsidRDefault="00296E1C">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2</w:t>
      </w:r>
      <w:r>
        <w:t>.</w:t>
      </w:r>
      <w:r>
        <w:rPr>
          <w:rFonts w:ascii="Arial" w:eastAsia="Arial" w:hAnsi="Arial" w:cs="Arial"/>
          <w:b/>
          <w:sz w:val="24"/>
          <w:szCs w:val="24"/>
        </w:rPr>
        <w:t xml:space="preserve"> Caso Concreto</w:t>
      </w:r>
    </w:p>
    <w:p w14:paraId="1AD8E6AA" w14:textId="77777777" w:rsidR="003F6146" w:rsidRDefault="003F6146">
      <w:pPr>
        <w:pBdr>
          <w:top w:val="nil"/>
          <w:left w:val="nil"/>
          <w:bottom w:val="nil"/>
          <w:right w:val="nil"/>
          <w:between w:val="nil"/>
        </w:pBdr>
        <w:rPr>
          <w:color w:val="000000"/>
        </w:rPr>
      </w:pPr>
    </w:p>
    <w:p w14:paraId="0E15DA68" w14:textId="77777777" w:rsidR="003F6146" w:rsidRDefault="00296E1C">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A su vez, la candidata en cuestión también denuncia que la referida publicación realizada en el perfil de Facebook “Parlamento Digital” contiene expresiones que </w:t>
      </w:r>
      <w:r>
        <w:rPr>
          <w:rFonts w:ascii="Arial" w:eastAsia="Arial" w:hAnsi="Arial" w:cs="Arial"/>
          <w:b/>
          <w:sz w:val="24"/>
          <w:szCs w:val="24"/>
        </w:rPr>
        <w:t xml:space="preserve">calumnian </w:t>
      </w:r>
      <w:r>
        <w:rPr>
          <w:rFonts w:ascii="Arial" w:eastAsia="Arial" w:hAnsi="Arial" w:cs="Arial"/>
          <w:sz w:val="24"/>
          <w:szCs w:val="24"/>
        </w:rPr>
        <w:t>su imagen, con la finalidad de menospreciar su candidatura, de ahí que le atribuye tal infracción a quien resulte responsable del manejo de dicha página.  Las frases objeto de análisis en la presente denuncia son las siguientes:</w:t>
      </w:r>
    </w:p>
    <w:p w14:paraId="776888AB" w14:textId="77777777" w:rsidR="003F6146" w:rsidRDefault="003F6146">
      <w:pPr>
        <w:pBdr>
          <w:top w:val="nil"/>
          <w:left w:val="nil"/>
          <w:bottom w:val="nil"/>
          <w:right w:val="nil"/>
          <w:between w:val="nil"/>
        </w:pBdr>
        <w:rPr>
          <w:color w:val="000000"/>
        </w:rPr>
      </w:pPr>
    </w:p>
    <w:p w14:paraId="004FED81" w14:textId="77777777" w:rsidR="003F6146" w:rsidRDefault="00296E1C">
      <w:pPr>
        <w:ind w:firstLine="708"/>
        <w:jc w:val="both"/>
        <w:rPr>
          <w:rFonts w:ascii="Arial" w:eastAsia="Arial" w:hAnsi="Arial" w:cs="Arial"/>
          <w:b/>
          <w:i/>
          <w:sz w:val="22"/>
          <w:szCs w:val="22"/>
        </w:rPr>
      </w:pPr>
      <w:r>
        <w:rPr>
          <w:rFonts w:ascii="Arial" w:eastAsia="Arial" w:hAnsi="Arial" w:cs="Arial"/>
          <w:b/>
          <w:i/>
          <w:sz w:val="22"/>
          <w:szCs w:val="22"/>
        </w:rPr>
        <w:t>“¡Ni un voto para la corrupción!</w:t>
      </w:r>
    </w:p>
    <w:p w14:paraId="15571833" w14:textId="77777777" w:rsidR="003F6146" w:rsidRDefault="00296E1C">
      <w:pPr>
        <w:ind w:firstLine="708"/>
        <w:jc w:val="both"/>
        <w:rPr>
          <w:rFonts w:ascii="Arial" w:eastAsia="Arial" w:hAnsi="Arial" w:cs="Arial"/>
          <w:i/>
          <w:sz w:val="22"/>
          <w:szCs w:val="22"/>
        </w:rPr>
      </w:pPr>
      <w:r>
        <w:rPr>
          <w:rFonts w:ascii="Arial" w:eastAsia="Arial" w:hAnsi="Arial" w:cs="Arial"/>
          <w:i/>
          <w:sz w:val="22"/>
          <w:szCs w:val="22"/>
        </w:rPr>
        <w:t>(…)</w:t>
      </w:r>
    </w:p>
    <w:p w14:paraId="70358CE3" w14:textId="3ABD9019" w:rsidR="003F6146" w:rsidRPr="005A679F" w:rsidRDefault="00296E1C" w:rsidP="005A679F">
      <w:pPr>
        <w:ind w:left="708" w:right="2742"/>
        <w:jc w:val="both"/>
        <w:rPr>
          <w:rFonts w:ascii="Arial" w:eastAsia="Arial" w:hAnsi="Arial" w:cs="Arial"/>
          <w:b/>
          <w:i/>
          <w:sz w:val="22"/>
          <w:szCs w:val="22"/>
        </w:rPr>
      </w:pPr>
      <w:r>
        <w:rPr>
          <w:rFonts w:ascii="Arial" w:eastAsia="Arial" w:hAnsi="Arial" w:cs="Arial"/>
          <w:b/>
          <w:i/>
          <w:sz w:val="22"/>
          <w:szCs w:val="22"/>
        </w:rPr>
        <w:t>“VOTÓ EN CONTRA DE OTORGAR APOYO A LOS ADULTOS MAYORES Y A DISCAPACITADOS”</w:t>
      </w:r>
    </w:p>
    <w:p w14:paraId="516AD0C8" w14:textId="77777777" w:rsidR="003F6146" w:rsidRPr="00D21C85" w:rsidRDefault="003F6146">
      <w:pPr>
        <w:pBdr>
          <w:top w:val="nil"/>
          <w:left w:val="nil"/>
          <w:bottom w:val="nil"/>
          <w:right w:val="nil"/>
          <w:between w:val="nil"/>
        </w:pBdr>
        <w:tabs>
          <w:tab w:val="left" w:pos="284"/>
        </w:tabs>
        <w:spacing w:line="360" w:lineRule="auto"/>
        <w:ind w:right="36"/>
        <w:jc w:val="both"/>
        <w:rPr>
          <w:rFonts w:ascii="Arial" w:eastAsia="Arial" w:hAnsi="Arial" w:cs="Arial"/>
          <w:b/>
          <w:sz w:val="14"/>
          <w:szCs w:val="14"/>
        </w:rPr>
      </w:pPr>
    </w:p>
    <w:p w14:paraId="09D86D4A" w14:textId="77777777" w:rsidR="003F6146" w:rsidRDefault="00296E1C">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4EE5612F" w14:textId="77777777" w:rsidR="003F6146" w:rsidRPr="00D21C85" w:rsidRDefault="003F6146">
      <w:pPr>
        <w:pBdr>
          <w:top w:val="nil"/>
          <w:left w:val="nil"/>
          <w:bottom w:val="nil"/>
          <w:right w:val="nil"/>
          <w:between w:val="nil"/>
        </w:pBdr>
        <w:rPr>
          <w:color w:val="000000"/>
          <w:sz w:val="8"/>
          <w:szCs w:val="8"/>
        </w:rPr>
      </w:pPr>
    </w:p>
    <w:p w14:paraId="11F47D48" w14:textId="6AABF0FB" w:rsidR="003F6146" w:rsidRDefault="00296E1C" w:rsidP="00945D2A">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Al respecto, este Tribunal considera que </w:t>
      </w:r>
      <w:r>
        <w:rPr>
          <w:rFonts w:ascii="Arial" w:eastAsia="Arial" w:hAnsi="Arial" w:cs="Arial"/>
          <w:b/>
          <w:sz w:val="24"/>
          <w:szCs w:val="24"/>
        </w:rPr>
        <w:t>no se actualiza el</w:t>
      </w:r>
      <w:r>
        <w:rPr>
          <w:rFonts w:ascii="Arial" w:eastAsia="Arial" w:hAnsi="Arial" w:cs="Arial"/>
          <w:sz w:val="24"/>
          <w:szCs w:val="24"/>
        </w:rPr>
        <w:t xml:space="preserve"> </w:t>
      </w:r>
      <w:r>
        <w:rPr>
          <w:rFonts w:ascii="Arial" w:eastAsia="Arial" w:hAnsi="Arial" w:cs="Arial"/>
          <w:b/>
          <w:sz w:val="24"/>
          <w:szCs w:val="24"/>
        </w:rPr>
        <w:t xml:space="preserve">elemento objetivo </w:t>
      </w:r>
      <w:r>
        <w:rPr>
          <w:rFonts w:ascii="Arial" w:eastAsia="Arial" w:hAnsi="Arial" w:cs="Arial"/>
          <w:sz w:val="24"/>
          <w:szCs w:val="24"/>
        </w:rPr>
        <w:t>porque del contenido de tal mensaje no se advierte la imputación de un hecho o delito que sea falso.</w:t>
      </w:r>
    </w:p>
    <w:p w14:paraId="6148D03B" w14:textId="77777777" w:rsidR="00D21C85" w:rsidRPr="00D21C85" w:rsidRDefault="00D21C85" w:rsidP="00D21C85">
      <w:pPr>
        <w:pStyle w:val="Sinespaciado"/>
        <w:rPr>
          <w:rFonts w:eastAsia="Arial"/>
          <w:sz w:val="10"/>
          <w:szCs w:val="10"/>
        </w:rPr>
      </w:pPr>
    </w:p>
    <w:p w14:paraId="6B76F684" w14:textId="264F0917" w:rsidR="003F6146" w:rsidRDefault="00296E1C" w:rsidP="00D21C85">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Esto se debe, a que si bien en el contenido del mensaje se advierte lo siguiente: </w:t>
      </w:r>
      <w:r>
        <w:rPr>
          <w:rFonts w:ascii="Arial" w:eastAsia="Arial" w:hAnsi="Arial" w:cs="Arial"/>
          <w:i/>
          <w:sz w:val="24"/>
          <w:szCs w:val="24"/>
        </w:rPr>
        <w:t>“Ni un voto para la Corrupción”,</w:t>
      </w:r>
      <w:r>
        <w:rPr>
          <w:rFonts w:ascii="Arial" w:eastAsia="Arial" w:hAnsi="Arial" w:cs="Arial"/>
          <w:sz w:val="24"/>
          <w:szCs w:val="24"/>
        </w:rPr>
        <w:t xml:space="preserve"> lo cierto es que de dicha frase no se demuestra -de forma directa o inequívoca- la imputación de un hecho o delito falso. </w:t>
      </w:r>
    </w:p>
    <w:p w14:paraId="411C7ACB" w14:textId="77777777" w:rsidR="00D21C85" w:rsidRPr="00D21C85" w:rsidRDefault="00D21C85" w:rsidP="00D21C85">
      <w:pPr>
        <w:pStyle w:val="Sinespaciado"/>
        <w:rPr>
          <w:rFonts w:eastAsia="Arial"/>
          <w:sz w:val="4"/>
          <w:szCs w:val="4"/>
        </w:rPr>
      </w:pPr>
    </w:p>
    <w:p w14:paraId="0DA2ED0B" w14:textId="7C9F8380" w:rsidR="003F6146" w:rsidRPr="00D21C85" w:rsidRDefault="00296E1C" w:rsidP="00D21C85">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porque en lo que respecta a la expresión en cuestión, surge del encabezado de una publicación difundida en el perfil de Facebook de nombre “Parlamento Digital” en el que aparece una fotografía del rostro de la denunciante y una frase alusiva a que votó en contra de otorgar apoyos a ciertos grupos vulnerables, ello no resulta suficiente para demostrar que se trató de una imputación directa de un delito. </w:t>
      </w:r>
    </w:p>
    <w:p w14:paraId="3E6C777E" w14:textId="28EB1AD6" w:rsidR="003F6146" w:rsidRDefault="00296E1C" w:rsidP="00D21C85">
      <w:pPr>
        <w:tabs>
          <w:tab w:val="left" w:pos="5461"/>
        </w:tabs>
        <w:spacing w:line="360" w:lineRule="auto"/>
        <w:jc w:val="both"/>
        <w:rPr>
          <w:rFonts w:ascii="Arial" w:eastAsia="Arial" w:hAnsi="Arial" w:cs="Arial"/>
          <w:sz w:val="24"/>
          <w:szCs w:val="24"/>
        </w:rPr>
      </w:pPr>
      <w:bookmarkStart w:id="5" w:name="_tyjcwt" w:colFirst="0" w:colLast="0"/>
      <w:bookmarkEnd w:id="5"/>
      <w:r>
        <w:rPr>
          <w:rFonts w:ascii="Arial" w:eastAsia="Arial" w:hAnsi="Arial" w:cs="Arial"/>
          <w:sz w:val="24"/>
          <w:szCs w:val="24"/>
        </w:rPr>
        <w:lastRenderedPageBreak/>
        <w:t xml:space="preserve">De ahí que su contenido, de acuerdo al contexto precisado, se encuentra dentro del </w:t>
      </w:r>
      <w:r>
        <w:rPr>
          <w:rFonts w:ascii="Arial" w:eastAsia="Arial" w:hAnsi="Arial" w:cs="Arial"/>
          <w:b/>
          <w:sz w:val="24"/>
          <w:szCs w:val="24"/>
        </w:rPr>
        <w:t>debate electoral</w:t>
      </w:r>
      <w:r>
        <w:rPr>
          <w:rFonts w:ascii="Arial" w:eastAsia="Arial" w:hAnsi="Arial" w:cs="Arial"/>
          <w:sz w:val="24"/>
          <w:szCs w:val="24"/>
        </w:rPr>
        <w:t xml:space="preserve"> y, a su vez, amparado por la </w:t>
      </w:r>
      <w:r>
        <w:rPr>
          <w:rFonts w:ascii="Arial" w:eastAsia="Arial" w:hAnsi="Arial" w:cs="Arial"/>
          <w:b/>
          <w:sz w:val="24"/>
          <w:szCs w:val="24"/>
        </w:rPr>
        <w:t>maximización de la libertad</w:t>
      </w:r>
      <w:r>
        <w:rPr>
          <w:rFonts w:ascii="Arial" w:eastAsia="Arial" w:hAnsi="Arial" w:cs="Arial"/>
          <w:sz w:val="24"/>
          <w:szCs w:val="24"/>
        </w:rPr>
        <w:t xml:space="preserve"> </w:t>
      </w:r>
      <w:r>
        <w:rPr>
          <w:rFonts w:ascii="Arial" w:eastAsia="Arial" w:hAnsi="Arial" w:cs="Arial"/>
          <w:b/>
          <w:sz w:val="24"/>
          <w:szCs w:val="24"/>
        </w:rPr>
        <w:t>de expresión</w:t>
      </w:r>
      <w:r>
        <w:rPr>
          <w:rFonts w:ascii="Arial" w:eastAsia="Arial" w:hAnsi="Arial" w:cs="Arial"/>
          <w:sz w:val="24"/>
          <w:szCs w:val="24"/>
        </w:rPr>
        <w:t xml:space="preserve">, porque este Tribunal considera que al no estar frente a la imputación de un hecho falso no se configura la calumnia, sino que, básicamente, </w:t>
      </w:r>
      <w:r>
        <w:rPr>
          <w:rFonts w:ascii="Arial" w:eastAsia="Arial" w:hAnsi="Arial" w:cs="Arial"/>
          <w:b/>
          <w:sz w:val="24"/>
          <w:szCs w:val="24"/>
        </w:rPr>
        <w:t>se trata de una manifestación genérica</w:t>
      </w:r>
      <w:r>
        <w:rPr>
          <w:rFonts w:ascii="Arial" w:eastAsia="Arial" w:hAnsi="Arial" w:cs="Arial"/>
          <w:sz w:val="24"/>
          <w:szCs w:val="24"/>
        </w:rPr>
        <w:t xml:space="preserve"> en relación a un supuesto acto realizado por la candidata y, por otra parte, de la emisión de un mensaje del denunciado, relativa a una opinión personal sobre su candidatura.</w:t>
      </w:r>
    </w:p>
    <w:p w14:paraId="5E714F58" w14:textId="77777777" w:rsidR="00D21C85" w:rsidRDefault="00D21C85" w:rsidP="00D21C85">
      <w:pPr>
        <w:pStyle w:val="Sinespaciado"/>
        <w:rPr>
          <w:rFonts w:eastAsia="Arial"/>
        </w:rPr>
      </w:pPr>
    </w:p>
    <w:p w14:paraId="6230F4F6" w14:textId="77777777" w:rsidR="003F6146" w:rsidRDefault="00296E1C">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Por su parte, la Sala Superior sostuvo que para actualizar la infracción en cuestión se debe estar en presencia de una interpretación unívoca sobre la imputación de un hecho o delito falso, lo que en el caso no ocurre porque dicha expresión no encuadra en ninguna de las hipótesis exigidas. </w:t>
      </w:r>
    </w:p>
    <w:p w14:paraId="0B32798E" w14:textId="77777777" w:rsidR="003F6146" w:rsidRDefault="003F6146">
      <w:pPr>
        <w:pBdr>
          <w:top w:val="nil"/>
          <w:left w:val="nil"/>
          <w:bottom w:val="nil"/>
          <w:right w:val="nil"/>
          <w:between w:val="nil"/>
        </w:pBdr>
        <w:rPr>
          <w:color w:val="000000"/>
        </w:rPr>
      </w:pPr>
    </w:p>
    <w:p w14:paraId="2A6DFD8D" w14:textId="77777777" w:rsidR="003F6146" w:rsidRDefault="00296E1C">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Ello, porque </w:t>
      </w:r>
      <w:r>
        <w:rPr>
          <w:rFonts w:ascii="Arial" w:eastAsia="Arial" w:hAnsi="Arial" w:cs="Arial"/>
          <w:b/>
          <w:sz w:val="24"/>
          <w:szCs w:val="24"/>
        </w:rPr>
        <w:t xml:space="preserve">el discurso político debe privilegiarse y maximizarse para garantizar de forma efectiva la libertad de expresión </w:t>
      </w:r>
      <w:r>
        <w:rPr>
          <w:rFonts w:ascii="Arial" w:eastAsia="Arial" w:hAnsi="Arial" w:cs="Arial"/>
          <w:sz w:val="24"/>
          <w:szCs w:val="24"/>
        </w:rPr>
        <w:t>y, por tanto, permitir las expresiones antes indicadas.</w:t>
      </w:r>
    </w:p>
    <w:p w14:paraId="58A4D034" w14:textId="77777777" w:rsidR="003F6146" w:rsidRDefault="003F6146" w:rsidP="00945D2A">
      <w:pPr>
        <w:pStyle w:val="Sinespaciado"/>
        <w:rPr>
          <w:rFonts w:eastAsia="Arial"/>
        </w:rPr>
      </w:pPr>
    </w:p>
    <w:p w14:paraId="45D44DC1" w14:textId="77777777" w:rsidR="003F6146" w:rsidRDefault="00296E1C">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Así que el hecho de que los mensajes denunciados surjan dentro del debate político, implica la necesidad de permitir la </w:t>
      </w:r>
      <w:r>
        <w:rPr>
          <w:rFonts w:ascii="Arial" w:eastAsia="Arial" w:hAnsi="Arial" w:cs="Arial"/>
          <w:b/>
          <w:sz w:val="24"/>
          <w:szCs w:val="24"/>
        </w:rPr>
        <w:t>libre circulación de ideas e información</w:t>
      </w:r>
      <w:r>
        <w:rPr>
          <w:rFonts w:ascii="Arial" w:eastAsia="Arial" w:hAnsi="Arial" w:cs="Arial"/>
          <w:sz w:val="24"/>
          <w:szCs w:val="24"/>
        </w:rPr>
        <w:t xml:space="preserve"> con relación al actuar tanto de gobiernos, candidaturas y partidos políticos por parte de cualquier persona interesada en emitir su opinión, pues las y los actores políticos se permite un mayor margen de crítica.</w:t>
      </w:r>
    </w:p>
    <w:p w14:paraId="7CB7D068" w14:textId="77777777" w:rsidR="003F6146" w:rsidRDefault="003F6146">
      <w:pPr>
        <w:pBdr>
          <w:top w:val="nil"/>
          <w:left w:val="nil"/>
          <w:bottom w:val="nil"/>
          <w:right w:val="nil"/>
          <w:between w:val="nil"/>
        </w:pBdr>
        <w:rPr>
          <w:color w:val="000000"/>
        </w:rPr>
      </w:pPr>
    </w:p>
    <w:p w14:paraId="640264C7" w14:textId="4C83D87A" w:rsidR="00945D2A" w:rsidRPr="00D21C85" w:rsidRDefault="00296E1C" w:rsidP="00D21C85">
      <w:pPr>
        <w:tabs>
          <w:tab w:val="left" w:pos="5461"/>
        </w:tabs>
        <w:spacing w:line="360" w:lineRule="auto"/>
        <w:jc w:val="both"/>
        <w:rPr>
          <w:rFonts w:ascii="Arial" w:eastAsia="Arial" w:hAnsi="Arial" w:cs="Arial"/>
          <w:b/>
          <w:sz w:val="24"/>
          <w:szCs w:val="24"/>
        </w:rPr>
      </w:pPr>
      <w:r>
        <w:rPr>
          <w:rFonts w:ascii="Arial" w:eastAsia="Arial" w:hAnsi="Arial" w:cs="Arial"/>
          <w:sz w:val="24"/>
          <w:szCs w:val="24"/>
        </w:rPr>
        <w:t xml:space="preserve">Por lo expuesto, este Tribunal considera que, </w:t>
      </w:r>
      <w:r>
        <w:rPr>
          <w:rFonts w:ascii="Arial" w:eastAsia="Arial" w:hAnsi="Arial" w:cs="Arial"/>
          <w:b/>
          <w:sz w:val="24"/>
          <w:szCs w:val="24"/>
        </w:rPr>
        <w:t>al no acreditarse el elemento objetivo, es innecesario estudiar el elemento subjetivo</w:t>
      </w:r>
      <w:r>
        <w:rPr>
          <w:rFonts w:ascii="Arial" w:eastAsia="Arial" w:hAnsi="Arial" w:cs="Arial"/>
          <w:sz w:val="24"/>
          <w:szCs w:val="24"/>
        </w:rPr>
        <w:t xml:space="preserve">, en el cual correspondería analizar la intencionalidad de dar a conocer las expresiones denunciadas, por tanto, es que </w:t>
      </w:r>
      <w:r>
        <w:rPr>
          <w:rFonts w:ascii="Arial" w:eastAsia="Arial" w:hAnsi="Arial" w:cs="Arial"/>
          <w:b/>
          <w:sz w:val="24"/>
          <w:szCs w:val="24"/>
        </w:rPr>
        <w:t xml:space="preserve">no se actualiza la infracción de calumnia.  </w:t>
      </w:r>
    </w:p>
    <w:p w14:paraId="392757FA" w14:textId="77777777" w:rsidR="00945D2A" w:rsidRPr="005A679F" w:rsidRDefault="00945D2A" w:rsidP="005A679F">
      <w:pPr>
        <w:pStyle w:val="Sinespaciado"/>
        <w:rPr>
          <w:rFonts w:eastAsia="Arial"/>
        </w:rPr>
      </w:pPr>
    </w:p>
    <w:p w14:paraId="0F55CEC5" w14:textId="77777777" w:rsidR="003F6146" w:rsidRDefault="00296E1C">
      <w:pPr>
        <w:tabs>
          <w:tab w:val="left" w:pos="5461"/>
        </w:tabs>
        <w:spacing w:after="280" w:line="360" w:lineRule="auto"/>
        <w:jc w:val="both"/>
        <w:rPr>
          <w:rFonts w:ascii="Arial" w:eastAsia="Arial" w:hAnsi="Arial" w:cs="Arial"/>
          <w:b/>
          <w:sz w:val="24"/>
          <w:szCs w:val="24"/>
          <w:u w:val="single"/>
        </w:rPr>
      </w:pPr>
      <w:r>
        <w:rPr>
          <w:rFonts w:ascii="Arial" w:eastAsia="Arial" w:hAnsi="Arial" w:cs="Arial"/>
          <w:b/>
          <w:sz w:val="24"/>
          <w:szCs w:val="24"/>
          <w:u w:val="single"/>
        </w:rPr>
        <w:t>Viabilidad de no reponer el procedimiento en relación al debido proceso</w:t>
      </w:r>
    </w:p>
    <w:p w14:paraId="69EA224C" w14:textId="59FC65F3" w:rsidR="003F6146" w:rsidRDefault="00296E1C" w:rsidP="005A679F">
      <w:pPr>
        <w:tabs>
          <w:tab w:val="left" w:pos="5461"/>
        </w:tabs>
        <w:spacing w:line="360" w:lineRule="auto"/>
        <w:jc w:val="both"/>
        <w:rPr>
          <w:rFonts w:ascii="Arial" w:eastAsia="Arial" w:hAnsi="Arial" w:cs="Arial"/>
          <w:sz w:val="24"/>
          <w:szCs w:val="24"/>
        </w:rPr>
      </w:pPr>
      <w:r>
        <w:rPr>
          <w:rFonts w:ascii="Arial" w:eastAsia="Arial" w:hAnsi="Arial" w:cs="Arial"/>
          <w:sz w:val="24"/>
          <w:szCs w:val="24"/>
        </w:rPr>
        <w:t>Este Tribunal considera que el hecho de se haya declarado la inexistencia de las infracciones denunciadas, sin contar con mayores elementos que permitan identificar y, en su caso, emplazar a la parte denunciada, no le genera perjuicio a ninguna de las partes, sino que es necesario atender las circunstancias particulares del caso en relación con la naturaleza del proce</w:t>
      </w:r>
      <w:r w:rsidR="005A679F">
        <w:rPr>
          <w:rFonts w:ascii="Arial" w:eastAsia="Arial" w:hAnsi="Arial" w:cs="Arial"/>
          <w:sz w:val="24"/>
          <w:szCs w:val="24"/>
        </w:rPr>
        <w:t>dimiento</w:t>
      </w:r>
      <w:r>
        <w:rPr>
          <w:rFonts w:ascii="Arial" w:eastAsia="Arial" w:hAnsi="Arial" w:cs="Arial"/>
          <w:sz w:val="24"/>
          <w:szCs w:val="24"/>
        </w:rPr>
        <w:t xml:space="preserve"> especial sancionador -urgente resolución- y, a su vez, esta determinación tiene como fin privilegiar la solución del conflicto sobre los formalismos procedimentales</w:t>
      </w:r>
      <w:r>
        <w:rPr>
          <w:rFonts w:ascii="Arial" w:eastAsia="Arial" w:hAnsi="Arial" w:cs="Arial"/>
          <w:sz w:val="24"/>
          <w:szCs w:val="24"/>
          <w:vertAlign w:val="superscript"/>
        </w:rPr>
        <w:footnoteReference w:id="18"/>
      </w:r>
      <w:r>
        <w:rPr>
          <w:rFonts w:ascii="Arial" w:eastAsia="Arial" w:hAnsi="Arial" w:cs="Arial"/>
          <w:sz w:val="24"/>
          <w:szCs w:val="24"/>
        </w:rPr>
        <w:t xml:space="preserve">. </w:t>
      </w:r>
    </w:p>
    <w:p w14:paraId="17C130AF" w14:textId="77777777" w:rsidR="005A679F" w:rsidRPr="005A679F" w:rsidRDefault="005A679F" w:rsidP="005A679F">
      <w:pPr>
        <w:pStyle w:val="Sinespaciado"/>
        <w:rPr>
          <w:rFonts w:eastAsia="Arial"/>
        </w:rPr>
      </w:pPr>
    </w:p>
    <w:p w14:paraId="5632A96E" w14:textId="6686A2AD" w:rsidR="003F6146" w:rsidRDefault="00296E1C">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 xml:space="preserve">Lo anterior es así, dado que en el presente asunto no se afecta la igualdad entre las partes ni el debido proceso. De ahí que, como se adelantó, atendiendo a la esencia del procedimiento especial sancionador, relativa a la necesidad de una urgente resolución no fue conveniente reponer el procedimiento para efecto de que se realizaran </w:t>
      </w:r>
      <w:r w:rsidR="005A679F">
        <w:rPr>
          <w:rFonts w:ascii="Arial" w:eastAsia="Arial" w:hAnsi="Arial" w:cs="Arial"/>
          <w:sz w:val="24"/>
          <w:szCs w:val="24"/>
        </w:rPr>
        <w:t>mayores diligencias</w:t>
      </w:r>
      <w:r>
        <w:rPr>
          <w:rFonts w:ascii="Arial" w:eastAsia="Arial" w:hAnsi="Arial" w:cs="Arial"/>
          <w:sz w:val="24"/>
          <w:szCs w:val="24"/>
        </w:rPr>
        <w:t xml:space="preserve"> que tuvieran como fin emplazar a la parte denunciada, pues a ningún fin práctico llevaría tal actuación.  </w:t>
      </w:r>
    </w:p>
    <w:p w14:paraId="7D2DA2EC" w14:textId="42E00168" w:rsidR="003F6146" w:rsidRPr="005A679F" w:rsidRDefault="00296E1C">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Esto se debe a que</w:t>
      </w:r>
      <w:r w:rsidR="005A679F">
        <w:rPr>
          <w:rFonts w:ascii="Arial" w:eastAsia="Arial" w:hAnsi="Arial" w:cs="Arial"/>
          <w:sz w:val="24"/>
          <w:szCs w:val="24"/>
        </w:rPr>
        <w:t>,</w:t>
      </w:r>
      <w:r>
        <w:rPr>
          <w:rFonts w:ascii="Arial" w:eastAsia="Arial" w:hAnsi="Arial" w:cs="Arial"/>
          <w:sz w:val="24"/>
          <w:szCs w:val="24"/>
        </w:rPr>
        <w:t xml:space="preserve"> a pesar de no haber dado contestación a tales hechos, en el caso, no fue posible acreditar ambas infracciones y, por tanto, no sería posible sancionar a quien resultara responsable. Así que, a criterio de este órgano jurisdiccional, no se vulneró su derecho al debido proceso ni la garantía de audiencia, en perjuicio de ninguna de las partes, sino que se atendió a las circunstancias del presente caso y se priorizó la solución del conflicto.</w:t>
      </w:r>
      <w:r w:rsidR="005A679F">
        <w:rPr>
          <w:rStyle w:val="Refdenotaalpie"/>
          <w:rFonts w:ascii="Arial" w:eastAsia="Arial" w:hAnsi="Arial" w:cs="Arial"/>
          <w:sz w:val="24"/>
          <w:szCs w:val="24"/>
        </w:rPr>
        <w:footnoteReference w:id="19"/>
      </w:r>
      <w:r>
        <w:rPr>
          <w:rFonts w:ascii="Arial" w:eastAsia="Arial" w:hAnsi="Arial" w:cs="Arial"/>
          <w:sz w:val="24"/>
          <w:szCs w:val="24"/>
        </w:rPr>
        <w:t xml:space="preserve"> </w:t>
      </w:r>
      <w:bookmarkStart w:id="6" w:name="_3dy6vkm" w:colFirst="0" w:colLast="0"/>
      <w:bookmarkEnd w:id="6"/>
    </w:p>
    <w:p w14:paraId="5AD03995" w14:textId="77777777" w:rsidR="003F6146" w:rsidRDefault="00296E1C">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VII. Resolutivos</w:t>
      </w:r>
    </w:p>
    <w:p w14:paraId="013E0118" w14:textId="77777777" w:rsidR="003F6146" w:rsidRDefault="003F6146">
      <w:pPr>
        <w:pBdr>
          <w:top w:val="nil"/>
          <w:left w:val="nil"/>
          <w:bottom w:val="nil"/>
          <w:right w:val="nil"/>
          <w:between w:val="nil"/>
        </w:pBdr>
        <w:rPr>
          <w:color w:val="000000"/>
        </w:rPr>
      </w:pPr>
    </w:p>
    <w:p w14:paraId="42BCA1C7" w14:textId="77777777" w:rsidR="003F6146" w:rsidRDefault="00296E1C">
      <w:pPr>
        <w:tabs>
          <w:tab w:val="left" w:pos="5461"/>
        </w:tabs>
        <w:spacing w:line="360" w:lineRule="auto"/>
        <w:jc w:val="both"/>
        <w:rPr>
          <w:rFonts w:ascii="Arial" w:eastAsia="Arial" w:hAnsi="Arial" w:cs="Arial"/>
          <w:sz w:val="24"/>
          <w:szCs w:val="24"/>
        </w:rPr>
      </w:pPr>
      <w:r>
        <w:rPr>
          <w:rFonts w:ascii="Arial" w:eastAsia="Arial" w:hAnsi="Arial" w:cs="Arial"/>
          <w:b/>
          <w:sz w:val="24"/>
          <w:szCs w:val="24"/>
        </w:rPr>
        <w:t>Único.</w:t>
      </w:r>
      <w:r>
        <w:rPr>
          <w:sz w:val="24"/>
          <w:szCs w:val="24"/>
        </w:rPr>
        <w:t xml:space="preserve"> </w:t>
      </w:r>
      <w:r>
        <w:rPr>
          <w:rFonts w:ascii="Arial" w:eastAsia="Arial" w:hAnsi="Arial" w:cs="Arial"/>
          <w:sz w:val="24"/>
          <w:szCs w:val="24"/>
        </w:rPr>
        <w:t xml:space="preserve">Son </w:t>
      </w:r>
      <w:r>
        <w:rPr>
          <w:rFonts w:ascii="Arial" w:eastAsia="Arial" w:hAnsi="Arial" w:cs="Arial"/>
          <w:b/>
          <w:sz w:val="24"/>
          <w:szCs w:val="24"/>
        </w:rPr>
        <w:t>inexistentes</w:t>
      </w:r>
      <w:r>
        <w:rPr>
          <w:rFonts w:ascii="Arial" w:eastAsia="Arial" w:hAnsi="Arial" w:cs="Arial"/>
          <w:sz w:val="24"/>
          <w:szCs w:val="24"/>
        </w:rPr>
        <w:t xml:space="preserve"> las infracciones atribuidas al perfil de Facebook denominado “Parlamento Digital”.</w:t>
      </w:r>
    </w:p>
    <w:p w14:paraId="599721A4" w14:textId="77777777" w:rsidR="003F6146" w:rsidRDefault="003F6146">
      <w:pPr>
        <w:pBdr>
          <w:top w:val="nil"/>
          <w:left w:val="nil"/>
          <w:bottom w:val="nil"/>
          <w:right w:val="nil"/>
          <w:between w:val="nil"/>
        </w:pBdr>
        <w:rPr>
          <w:color w:val="000000"/>
        </w:rPr>
      </w:pPr>
    </w:p>
    <w:p w14:paraId="6922176F" w14:textId="2FF99B1B" w:rsidR="00945D2A" w:rsidRDefault="00296E1C" w:rsidP="00136699">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15C038D9" w14:textId="77777777" w:rsidR="00136699" w:rsidRPr="00136699" w:rsidRDefault="00136699" w:rsidP="00136699">
      <w:pPr>
        <w:pStyle w:val="Sinespaciado"/>
        <w:rPr>
          <w:rFonts w:eastAsia="Arial"/>
        </w:rPr>
      </w:pPr>
    </w:p>
    <w:p w14:paraId="4B8F8E42" w14:textId="77777777" w:rsidR="003F6146" w:rsidRDefault="00296E1C">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Magistrado que lo integran, ante el Secretario General de Acuerdos, quien autoriza y da fe.</w:t>
      </w:r>
    </w:p>
    <w:p w14:paraId="5D515F94" w14:textId="77777777" w:rsidR="003F6146" w:rsidRDefault="003F6146">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A36475" w14:paraId="0DCA62E5" w14:textId="77777777" w:rsidTr="00CC1A30">
        <w:trPr>
          <w:trHeight w:val="1463"/>
          <w:jc w:val="center"/>
        </w:trPr>
        <w:tc>
          <w:tcPr>
            <w:tcW w:w="9120" w:type="dxa"/>
            <w:gridSpan w:val="2"/>
          </w:tcPr>
          <w:p w14:paraId="23F1940B" w14:textId="0B79BAC1" w:rsidR="00A36475" w:rsidRDefault="00A36475" w:rsidP="00CC1A30">
            <w:pPr>
              <w:spacing w:line="360" w:lineRule="auto"/>
              <w:jc w:val="center"/>
              <w:rPr>
                <w:rFonts w:ascii="Arial" w:eastAsia="Arial" w:hAnsi="Arial" w:cs="Arial"/>
                <w:b/>
                <w:color w:val="000000"/>
                <w:sz w:val="24"/>
                <w:szCs w:val="24"/>
              </w:rPr>
            </w:pPr>
            <w:bookmarkStart w:id="7" w:name="_Hlk72842321"/>
            <w:r>
              <w:rPr>
                <w:rFonts w:ascii="Arial" w:eastAsia="Arial" w:hAnsi="Arial" w:cs="Arial"/>
                <w:b/>
                <w:color w:val="000000"/>
                <w:sz w:val="24"/>
                <w:szCs w:val="24"/>
              </w:rPr>
              <w:t>MAGISTRADA PRESIDENTA</w:t>
            </w:r>
          </w:p>
          <w:p w14:paraId="05C93574" w14:textId="77777777" w:rsidR="00A36475" w:rsidRDefault="00A36475" w:rsidP="00CC1A30">
            <w:pPr>
              <w:jc w:val="center"/>
              <w:rPr>
                <w:rFonts w:ascii="Arial" w:eastAsia="Arial" w:hAnsi="Arial" w:cs="Arial"/>
                <w:b/>
                <w:color w:val="000000"/>
                <w:sz w:val="24"/>
                <w:szCs w:val="24"/>
              </w:rPr>
            </w:pPr>
          </w:p>
          <w:p w14:paraId="1314533F" w14:textId="57FE448B" w:rsidR="00A36475" w:rsidRPr="003A391D" w:rsidRDefault="00A36475"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A36475" w14:paraId="5958A6E9" w14:textId="77777777" w:rsidTr="00CC1A30">
        <w:trPr>
          <w:trHeight w:val="1549"/>
          <w:jc w:val="center"/>
        </w:trPr>
        <w:tc>
          <w:tcPr>
            <w:tcW w:w="4559" w:type="dxa"/>
          </w:tcPr>
          <w:p w14:paraId="284097DA" w14:textId="05459DC6" w:rsidR="00A36475" w:rsidRDefault="00A36475"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510E4390" w14:textId="77777777" w:rsidR="00A36475" w:rsidRDefault="00A36475" w:rsidP="00CC1A30">
            <w:pPr>
              <w:jc w:val="center"/>
              <w:rPr>
                <w:rFonts w:ascii="Arial" w:eastAsia="Arial" w:hAnsi="Arial" w:cs="Arial"/>
                <w:b/>
                <w:color w:val="000000"/>
                <w:sz w:val="24"/>
                <w:szCs w:val="24"/>
              </w:rPr>
            </w:pPr>
          </w:p>
          <w:p w14:paraId="2B42BC16" w14:textId="77777777" w:rsidR="00A36475" w:rsidRDefault="00A36475" w:rsidP="00CC1A30">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3A366A7D" w14:textId="77777777" w:rsidR="00A36475" w:rsidRDefault="00A36475" w:rsidP="00CC1A30">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54A016B9" w14:textId="77777777" w:rsidR="00A36475" w:rsidRDefault="00A36475"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1C94A4D4" w14:textId="77777777" w:rsidR="00A36475" w:rsidRDefault="00A36475" w:rsidP="00CC1A30">
            <w:pPr>
              <w:jc w:val="center"/>
              <w:rPr>
                <w:rFonts w:ascii="Arial" w:eastAsia="Arial" w:hAnsi="Arial" w:cs="Arial"/>
                <w:b/>
                <w:color w:val="000000"/>
                <w:sz w:val="24"/>
                <w:szCs w:val="24"/>
              </w:rPr>
            </w:pPr>
          </w:p>
          <w:p w14:paraId="0D8428E5" w14:textId="77777777" w:rsidR="00A36475" w:rsidRDefault="00A36475" w:rsidP="00CC1A30">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22217E6F" w14:textId="77777777" w:rsidR="00A36475" w:rsidRDefault="00A36475" w:rsidP="00CC1A30">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79FC265D" w14:textId="77777777" w:rsidR="00A36475" w:rsidRPr="003A391D" w:rsidRDefault="00A36475" w:rsidP="00CC1A30">
            <w:pPr>
              <w:rPr>
                <w:rFonts w:eastAsia="Arial"/>
                <w:sz w:val="36"/>
                <w:szCs w:val="36"/>
              </w:rPr>
            </w:pPr>
          </w:p>
        </w:tc>
      </w:tr>
      <w:tr w:rsidR="00A36475" w14:paraId="462167CD" w14:textId="77777777" w:rsidTr="00CC1A30">
        <w:trPr>
          <w:jc w:val="center"/>
        </w:trPr>
        <w:tc>
          <w:tcPr>
            <w:tcW w:w="9120" w:type="dxa"/>
            <w:gridSpan w:val="2"/>
          </w:tcPr>
          <w:p w14:paraId="39080C7D" w14:textId="50987ECF" w:rsidR="00A36475" w:rsidRDefault="00A36475"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04D3FB12" w14:textId="77777777" w:rsidR="00A36475" w:rsidRDefault="00A36475" w:rsidP="00CC1A30">
            <w:pPr>
              <w:jc w:val="center"/>
              <w:rPr>
                <w:rFonts w:ascii="Arial" w:eastAsia="Arial" w:hAnsi="Arial" w:cs="Arial"/>
                <w:b/>
                <w:color w:val="000000"/>
                <w:sz w:val="24"/>
                <w:szCs w:val="24"/>
              </w:rPr>
            </w:pPr>
          </w:p>
          <w:p w14:paraId="535384FB" w14:textId="77777777" w:rsidR="00A36475" w:rsidRDefault="00A36475"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7"/>
    </w:tbl>
    <w:p w14:paraId="7680A2DA" w14:textId="77777777" w:rsidR="003F6146" w:rsidRDefault="003F6146">
      <w:pPr>
        <w:spacing w:line="360" w:lineRule="auto"/>
        <w:rPr>
          <w:rFonts w:ascii="Arial" w:eastAsia="Arial" w:hAnsi="Arial" w:cs="Arial"/>
          <w:sz w:val="24"/>
          <w:szCs w:val="24"/>
        </w:rPr>
      </w:pPr>
    </w:p>
    <w:sectPr w:rsidR="003F6146">
      <w:headerReference w:type="even" r:id="rId9"/>
      <w:headerReference w:type="default" r:id="rId10"/>
      <w:footerReference w:type="even" r:id="rId11"/>
      <w:footerReference w:type="default" r:id="rId12"/>
      <w:headerReference w:type="first" r:id="rId13"/>
      <w:footerReference w:type="first" r:id="rId14"/>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21EDB" w14:textId="77777777" w:rsidR="005C49BC" w:rsidRDefault="005C49BC">
      <w:r>
        <w:separator/>
      </w:r>
    </w:p>
  </w:endnote>
  <w:endnote w:type="continuationSeparator" w:id="0">
    <w:p w14:paraId="394BCCD8" w14:textId="77777777" w:rsidR="005C49BC" w:rsidRDefault="005C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w:altName w:val="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A80E" w14:textId="77777777" w:rsidR="00A36475" w:rsidRDefault="00A3647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30AA2" w14:textId="77777777" w:rsidR="00A36475" w:rsidRDefault="00A3647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5E08" w14:textId="77777777" w:rsidR="00A36475" w:rsidRDefault="00A364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1F49C" w14:textId="77777777" w:rsidR="005C49BC" w:rsidRDefault="005C49BC">
      <w:r>
        <w:separator/>
      </w:r>
    </w:p>
  </w:footnote>
  <w:footnote w:type="continuationSeparator" w:id="0">
    <w:p w14:paraId="33E672AC" w14:textId="77777777" w:rsidR="005C49BC" w:rsidRDefault="005C49BC">
      <w:r>
        <w:continuationSeparator/>
      </w:r>
    </w:p>
  </w:footnote>
  <w:footnote w:id="1">
    <w:p w14:paraId="4565D687" w14:textId="77777777" w:rsidR="003F6146" w:rsidRDefault="00296E1C">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6EE3C684" w14:textId="77777777" w:rsidR="003F6146" w:rsidRDefault="00296E1C">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Los hechos sucedieron en el año dos mil veintiuno, salvo precisión distinta.</w:t>
      </w:r>
    </w:p>
  </w:footnote>
  <w:footnote w:id="3">
    <w:p w14:paraId="3343AF1D" w14:textId="77777777" w:rsidR="003F6146" w:rsidRDefault="00296E1C">
      <w:pPr>
        <w:pBdr>
          <w:top w:val="nil"/>
          <w:left w:val="nil"/>
          <w:bottom w:val="nil"/>
          <w:right w:val="nil"/>
          <w:between w:val="nil"/>
        </w:pBdr>
        <w:tabs>
          <w:tab w:val="left" w:pos="567"/>
        </w:tabs>
        <w:spacing w:line="276" w:lineRule="auto"/>
        <w:ind w:right="36"/>
        <w:jc w:val="both"/>
        <w:rPr>
          <w:rFonts w:ascii="Arial" w:eastAsia="Arial" w:hAnsi="Arial" w:cs="Arial"/>
          <w:color w:val="000000"/>
          <w:sz w:val="16"/>
          <w:szCs w:val="16"/>
        </w:rPr>
      </w:pPr>
      <w:r>
        <w:rPr>
          <w:vertAlign w:val="superscript"/>
        </w:rPr>
        <w:footnoteRef/>
      </w:r>
      <w:r>
        <w:rPr>
          <w:rFonts w:ascii="Arial" w:eastAsia="Arial" w:hAnsi="Arial" w:cs="Arial"/>
          <w:i/>
          <w:color w:val="000000"/>
        </w:rPr>
        <w:t xml:space="preserve"> Precampaña</w:t>
      </w:r>
      <w:r>
        <w:rPr>
          <w:rFonts w:ascii="Arial" w:eastAsia="Arial" w:hAnsi="Arial" w:cs="Arial"/>
          <w:color w:val="000000"/>
        </w:rPr>
        <w:t xml:space="preserve">: Del dos al treinta y uno de enero de dos mil veintiuno; </w:t>
      </w:r>
      <w:r>
        <w:rPr>
          <w:rFonts w:ascii="Arial" w:eastAsia="Arial" w:hAnsi="Arial" w:cs="Arial"/>
          <w:i/>
          <w:color w:val="000000"/>
        </w:rPr>
        <w:t>Campaña</w:t>
      </w:r>
      <w:r>
        <w:rPr>
          <w:rFonts w:ascii="Arial" w:eastAsia="Arial" w:hAnsi="Arial" w:cs="Arial"/>
          <w:color w:val="000000"/>
        </w:rPr>
        <w:t xml:space="preserve">: Del diecinueve de abril al dos de junio de dos mil veintiuno; </w:t>
      </w:r>
      <w:r>
        <w:rPr>
          <w:rFonts w:ascii="Arial" w:eastAsia="Arial" w:hAnsi="Arial" w:cs="Arial"/>
          <w:i/>
          <w:color w:val="000000"/>
        </w:rPr>
        <w:t>Veda Electoral</w:t>
      </w:r>
      <w:r>
        <w:rPr>
          <w:rFonts w:ascii="Arial" w:eastAsia="Arial" w:hAnsi="Arial" w:cs="Arial"/>
          <w:color w:val="000000"/>
        </w:rPr>
        <w:t xml:space="preserve">: Tres días antes de la Jornada Electoral; </w:t>
      </w:r>
      <w:r>
        <w:rPr>
          <w:rFonts w:ascii="Arial" w:eastAsia="Arial" w:hAnsi="Arial" w:cs="Arial"/>
          <w:i/>
          <w:color w:val="000000"/>
        </w:rPr>
        <w:t>Jornada Electoral</w:t>
      </w:r>
      <w:r>
        <w:rPr>
          <w:rFonts w:ascii="Arial" w:eastAsia="Arial" w:hAnsi="Arial" w:cs="Arial"/>
          <w:color w:val="000000"/>
        </w:rPr>
        <w:t>: El día seis de junio de dos mil veintiuno.</w:t>
      </w:r>
    </w:p>
  </w:footnote>
  <w:footnote w:id="4">
    <w:p w14:paraId="46A1BA6F" w14:textId="77777777" w:rsidR="003F6146" w:rsidRDefault="00296E1C">
      <w:pPr>
        <w:shd w:val="clear" w:color="auto" w:fill="FFFFFF"/>
        <w:jc w:val="both"/>
        <w:rPr>
          <w:rFonts w:ascii="Arial" w:eastAsia="Arial" w:hAnsi="Arial" w:cs="Arial"/>
          <w:color w:val="000000"/>
        </w:rPr>
      </w:pPr>
      <w:r>
        <w:rPr>
          <w:vertAlign w:val="superscript"/>
        </w:rPr>
        <w:footnoteRef/>
      </w:r>
      <w:r>
        <w:rPr>
          <w:rFonts w:ascii="Arial" w:eastAsia="Arial" w:hAnsi="Arial" w:cs="Arial"/>
        </w:rPr>
        <w:t xml:space="preserve"> Jurisprudencia 21/2018, de rubro: VIOLENCIA POLÍTICA DE GÉNERO. ELEMENTOS QUE LA ACTUALIZAN EN EL DEBATE POLÍTICO. Elementos para actualizarla: </w:t>
      </w:r>
      <w:r>
        <w:rPr>
          <w:rFonts w:ascii="Arial" w:eastAsia="Arial" w:hAnsi="Arial" w:cs="Arial"/>
          <w:i/>
          <w:color w:val="000000"/>
        </w:rPr>
        <w:t>1.</w:t>
      </w:r>
      <w:r>
        <w:rPr>
          <w:rFonts w:ascii="Arial" w:eastAsia="Arial" w:hAnsi="Arial" w:cs="Arial"/>
          <w:color w:val="000000"/>
        </w:rPr>
        <w:t xml:space="preserve"> Sucede en el marco del ejercicio de derechos político-electorales o bien en el ejercicio de un cargo público; </w:t>
      </w:r>
      <w:r>
        <w:rPr>
          <w:rFonts w:ascii="Arial" w:eastAsia="Arial" w:hAnsi="Arial" w:cs="Arial"/>
          <w:i/>
          <w:color w:val="000000"/>
        </w:rPr>
        <w:t>2.</w:t>
      </w:r>
      <w:r>
        <w:rPr>
          <w:rFonts w:ascii="Arial" w:eastAsia="Arial" w:hAnsi="Arial" w:cs="Arial"/>
          <w:color w:val="000000"/>
        </w:rPr>
        <w:t xml:space="preserve"> Es perpetrado por el Estado o sus agentes, por superiores jerárquicos, colegas de trabajo, partidos políticos o representantes de los mismos; medios de comunicación y sus integrantes, un particular y/o un grupo de personas; </w:t>
      </w:r>
      <w:r>
        <w:rPr>
          <w:rFonts w:ascii="Arial" w:eastAsia="Arial" w:hAnsi="Arial" w:cs="Arial"/>
          <w:i/>
          <w:color w:val="000000"/>
        </w:rPr>
        <w:t>3.</w:t>
      </w:r>
      <w:r>
        <w:rPr>
          <w:rFonts w:ascii="Arial" w:eastAsia="Arial" w:hAnsi="Arial" w:cs="Arial"/>
          <w:color w:val="000000"/>
        </w:rPr>
        <w:t xml:space="preserve"> Es simbólico, verbal, patrimonial, económico, físico, sexual y/o psicológico; </w:t>
      </w:r>
      <w:r>
        <w:rPr>
          <w:rFonts w:ascii="Arial" w:eastAsia="Arial" w:hAnsi="Arial" w:cs="Arial"/>
          <w:i/>
          <w:color w:val="000000"/>
        </w:rPr>
        <w:t>4.</w:t>
      </w:r>
      <w:r>
        <w:rPr>
          <w:rFonts w:ascii="Arial" w:eastAsia="Arial" w:hAnsi="Arial" w:cs="Arial"/>
          <w:color w:val="000000"/>
        </w:rPr>
        <w:t xml:space="preserve"> Tiene por objeto o resultado menoscabar o anular el reconocimiento, goce y/o ejercicio de los derechos político-electorales de las mujeres, y </w:t>
      </w:r>
      <w:r>
        <w:rPr>
          <w:rFonts w:ascii="Arial" w:eastAsia="Arial" w:hAnsi="Arial" w:cs="Arial"/>
          <w:i/>
          <w:color w:val="000000"/>
        </w:rPr>
        <w:t>5.</w:t>
      </w:r>
      <w:r>
        <w:rPr>
          <w:rFonts w:ascii="Arial" w:eastAsia="Arial" w:hAnsi="Arial" w:cs="Arial"/>
          <w:color w:val="000000"/>
        </w:rPr>
        <w:t xml:space="preserve"> Se basa en elementos de género, es decir: </w:t>
      </w:r>
      <w:r>
        <w:rPr>
          <w:rFonts w:ascii="Arial" w:eastAsia="Arial" w:hAnsi="Arial" w:cs="Arial"/>
          <w:i/>
          <w:color w:val="000000"/>
        </w:rPr>
        <w:t>i.</w:t>
      </w:r>
      <w:r>
        <w:rPr>
          <w:rFonts w:ascii="Arial" w:eastAsia="Arial" w:hAnsi="Arial" w:cs="Arial"/>
          <w:color w:val="000000"/>
        </w:rPr>
        <w:t xml:space="preserve"> se dirige a una mujer por ser mujer, </w:t>
      </w:r>
      <w:proofErr w:type="spellStart"/>
      <w:r>
        <w:rPr>
          <w:rFonts w:ascii="Arial" w:eastAsia="Arial" w:hAnsi="Arial" w:cs="Arial"/>
          <w:i/>
          <w:color w:val="000000"/>
        </w:rPr>
        <w:t>ii</w:t>
      </w:r>
      <w:proofErr w:type="spellEnd"/>
      <w:r>
        <w:rPr>
          <w:rFonts w:ascii="Arial" w:eastAsia="Arial" w:hAnsi="Arial" w:cs="Arial"/>
          <w:i/>
          <w:color w:val="000000"/>
        </w:rPr>
        <w:t>.</w:t>
      </w:r>
      <w:r>
        <w:rPr>
          <w:rFonts w:ascii="Arial" w:eastAsia="Arial" w:hAnsi="Arial" w:cs="Arial"/>
          <w:color w:val="000000"/>
        </w:rPr>
        <w:t xml:space="preserve"> tiene un impacto diferenciado en las mujeres; </w:t>
      </w:r>
      <w:proofErr w:type="spellStart"/>
      <w:r>
        <w:rPr>
          <w:rFonts w:ascii="Arial" w:eastAsia="Arial" w:hAnsi="Arial" w:cs="Arial"/>
          <w:i/>
          <w:color w:val="000000"/>
        </w:rPr>
        <w:t>iii</w:t>
      </w:r>
      <w:proofErr w:type="spellEnd"/>
      <w:r>
        <w:rPr>
          <w:rFonts w:ascii="Arial" w:eastAsia="Arial" w:hAnsi="Arial" w:cs="Arial"/>
          <w:i/>
          <w:color w:val="000000"/>
        </w:rPr>
        <w:t>.</w:t>
      </w:r>
      <w:r>
        <w:rPr>
          <w:rFonts w:ascii="Arial" w:eastAsia="Arial" w:hAnsi="Arial" w:cs="Arial"/>
          <w:color w:val="000000"/>
        </w:rPr>
        <w:t xml:space="preserve"> afecta desproporcionadamente a las mujeres. En ese sentido, las expresiones que se den en el contexto de un debate político en el marco de un proceso electoral, que reúnan todos los elementos anteriores, constituyen violencia política contra las mujeres por razones de género.</w:t>
      </w:r>
    </w:p>
    <w:p w14:paraId="457A186E" w14:textId="77777777" w:rsidR="003F6146" w:rsidRDefault="003F6146">
      <w:pPr>
        <w:pBdr>
          <w:top w:val="nil"/>
          <w:left w:val="nil"/>
          <w:bottom w:val="nil"/>
          <w:right w:val="nil"/>
          <w:between w:val="nil"/>
        </w:pBdr>
        <w:jc w:val="both"/>
        <w:rPr>
          <w:rFonts w:ascii="Arial" w:eastAsia="Arial" w:hAnsi="Arial" w:cs="Arial"/>
          <w:color w:val="000000"/>
        </w:rPr>
      </w:pPr>
    </w:p>
  </w:footnote>
  <w:footnote w:id="5">
    <w:p w14:paraId="78080135" w14:textId="77777777" w:rsidR="003F6146" w:rsidRDefault="00296E1C">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Tal como se prevé en el artículo 274, fracción IV, del Código Electoral.</w:t>
      </w:r>
    </w:p>
  </w:footnote>
  <w:footnote w:id="6">
    <w:p w14:paraId="662358DF" w14:textId="77777777" w:rsidR="003F6146" w:rsidRDefault="00296E1C">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75153E59" w14:textId="77777777" w:rsidR="003F6146" w:rsidRDefault="00296E1C">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4B05C648" w14:textId="77777777" w:rsidR="003F6146" w:rsidRDefault="003F6146">
      <w:pPr>
        <w:pBdr>
          <w:top w:val="nil"/>
          <w:left w:val="nil"/>
          <w:bottom w:val="nil"/>
          <w:right w:val="nil"/>
          <w:between w:val="nil"/>
        </w:pBdr>
        <w:rPr>
          <w:color w:val="000000"/>
        </w:rPr>
      </w:pPr>
    </w:p>
  </w:footnote>
  <w:footnote w:id="7">
    <w:p w14:paraId="37948C00" w14:textId="77777777" w:rsidR="003F6146" w:rsidRDefault="00296E1C">
      <w:pPr>
        <w:pBdr>
          <w:top w:val="nil"/>
          <w:left w:val="nil"/>
          <w:bottom w:val="nil"/>
          <w:right w:val="nil"/>
          <w:between w:val="nil"/>
        </w:pBdr>
        <w:rPr>
          <w:color w:val="000000"/>
        </w:rPr>
      </w:pPr>
      <w:r>
        <w:rPr>
          <w:vertAlign w:val="superscript"/>
        </w:rPr>
        <w:footnoteRef/>
      </w:r>
      <w:r>
        <w:rPr>
          <w:color w:val="000000"/>
        </w:rPr>
        <w:t xml:space="preserve"> </w:t>
      </w:r>
      <w:r>
        <w:rPr>
          <w:rFonts w:ascii="Arial" w:eastAsia="Arial" w:hAnsi="Arial" w:cs="Arial"/>
          <w:color w:val="000000"/>
        </w:rPr>
        <w:t>Artículo 20 Bis, de la LGAMVLV.</w:t>
      </w:r>
    </w:p>
  </w:footnote>
  <w:footnote w:id="8">
    <w:p w14:paraId="58CBBFA7" w14:textId="77777777" w:rsidR="003F6146" w:rsidRDefault="00296E1C">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rPr>
        <w:t>Véase jurisprudencia 48/2016, de rubro: VIOLENCIA POLÍTICA POR RAZONES DE GÉNERO. LAS AUTORIDADES ELECTORALES ESTÁN OBLIGADAS A EVITAR LA AFECTACIÓN DE DERECHOS POLÍTICOS ELECTORALES.</w:t>
      </w:r>
    </w:p>
  </w:footnote>
  <w:footnote w:id="9">
    <w:p w14:paraId="1B8459D7" w14:textId="77777777" w:rsidR="003F6146" w:rsidRDefault="00296E1C">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ARTÍCULO 2</w:t>
      </w:r>
      <w:proofErr w:type="gramStart"/>
      <w:r>
        <w:rPr>
          <w:rFonts w:ascii="Arial" w:eastAsia="Arial" w:hAnsi="Arial" w:cs="Arial"/>
          <w:color w:val="000000"/>
        </w:rPr>
        <w:t>°.-</w:t>
      </w:r>
      <w:proofErr w:type="gramEnd"/>
      <w:r>
        <w:rPr>
          <w:rFonts w:ascii="Arial" w:eastAsia="Arial" w:hAnsi="Arial" w:cs="Arial"/>
          <w:color w:val="000000"/>
        </w:rPr>
        <w:t xml:space="preserve"> Para efectos de este Código se entiende por:</w:t>
      </w:r>
    </w:p>
    <w:p w14:paraId="3F773D5C" w14:textId="77777777" w:rsidR="003F6146" w:rsidRDefault="00296E1C">
      <w:pPr>
        <w:pBdr>
          <w:top w:val="nil"/>
          <w:left w:val="nil"/>
          <w:bottom w:val="nil"/>
          <w:right w:val="nil"/>
          <w:between w:val="nil"/>
        </w:pBdr>
        <w:rPr>
          <w:rFonts w:ascii="Arial" w:eastAsia="Arial" w:hAnsi="Arial" w:cs="Arial"/>
          <w:color w:val="000000"/>
        </w:rPr>
      </w:pPr>
      <w:r>
        <w:rPr>
          <w:rFonts w:ascii="Arial" w:eastAsia="Arial" w:hAnsi="Arial" w:cs="Arial"/>
          <w:color w:val="000000"/>
        </w:rPr>
        <w:t>(…)</w:t>
      </w:r>
    </w:p>
    <w:p w14:paraId="5C79CB5C" w14:textId="77777777" w:rsidR="003F6146" w:rsidRDefault="00296E1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XVII.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477B7990" w14:textId="77777777" w:rsidR="003F6146" w:rsidRDefault="00296E1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footnote>
  <w:footnote w:id="10">
    <w:p w14:paraId="66F36DCA" w14:textId="77777777" w:rsidR="003F6146" w:rsidRDefault="00296E1C">
      <w:pPr>
        <w:pBdr>
          <w:top w:val="nil"/>
          <w:left w:val="nil"/>
          <w:bottom w:val="nil"/>
          <w:right w:val="nil"/>
          <w:between w:val="nil"/>
        </w:pBdr>
        <w:jc w:val="both"/>
        <w:rPr>
          <w:color w:val="000000"/>
        </w:rPr>
      </w:pPr>
      <w:r>
        <w:rPr>
          <w:vertAlign w:val="superscript"/>
        </w:rPr>
        <w:footnoteRef/>
      </w:r>
      <w:r>
        <w:rPr>
          <w:rFonts w:ascii="Arial" w:eastAsia="Arial" w:hAnsi="Arial" w:cs="Arial"/>
          <w:color w:val="000000"/>
        </w:rPr>
        <w:t xml:space="preserve"> Jurisprudencia 21/2018 de rubro: VIOLENCIA POLÍTICA DE GÉNERO. ELEMENTOS QUE LA ACTUALIZAN EN EL DEBATE PÚBLCIO.</w:t>
      </w:r>
    </w:p>
  </w:footnote>
  <w:footnote w:id="11">
    <w:p w14:paraId="23C7CE7A" w14:textId="77777777" w:rsidR="003F6146" w:rsidRDefault="00296E1C">
      <w:pPr>
        <w:pBdr>
          <w:top w:val="nil"/>
          <w:left w:val="nil"/>
          <w:bottom w:val="nil"/>
          <w:right w:val="nil"/>
          <w:between w:val="nil"/>
        </w:pBdr>
        <w:rPr>
          <w:color w:val="000000"/>
        </w:rPr>
      </w:pPr>
      <w:r>
        <w:rPr>
          <w:vertAlign w:val="superscript"/>
        </w:rPr>
        <w:footnoteRef/>
      </w:r>
      <w:r>
        <w:rPr>
          <w:rFonts w:ascii="Arial" w:eastAsia="Arial" w:hAnsi="Arial" w:cs="Arial"/>
          <w:color w:val="000000"/>
        </w:rPr>
        <w:t xml:space="preserve"> Similar criterio sostuvo la Sala Superior al resolver el asunto SUP-REC-0091/2021.</w:t>
      </w:r>
    </w:p>
  </w:footnote>
  <w:footnote w:id="12">
    <w:p w14:paraId="4348EDF8" w14:textId="77777777" w:rsidR="003F6146" w:rsidRDefault="00296E1C">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Similar criterio sostuvo la Sala Monterrey al resolver el asunto SM-JDC-377/2021.</w:t>
      </w:r>
    </w:p>
  </w:footnote>
  <w:footnote w:id="13">
    <w:p w14:paraId="5FDE2027" w14:textId="2FE2C974" w:rsidR="003F6146" w:rsidRDefault="00296E1C">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6</w:t>
      </w:r>
      <w:r w:rsidR="00136699">
        <w:rPr>
          <w:rFonts w:ascii="Arial" w:eastAsia="Arial" w:hAnsi="Arial" w:cs="Arial"/>
          <w:color w:val="000000"/>
        </w:rPr>
        <w:t>°</w:t>
      </w:r>
      <w:r>
        <w:rPr>
          <w:rFonts w:ascii="Arial" w:eastAsia="Arial" w:hAnsi="Arial" w:cs="Arial"/>
          <w:color w:val="000000"/>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14">
    <w:p w14:paraId="678468EF" w14:textId="71254630" w:rsidR="003F6146" w:rsidRDefault="00296E1C">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Apartado C. En la propaganda política o electoral que difundan los partidos y candidatos deberán abstenerse de expresiones que calumnien a las personas</w:t>
      </w:r>
      <w:r w:rsidR="00136699">
        <w:rPr>
          <w:rFonts w:ascii="Arial" w:eastAsia="Arial" w:hAnsi="Arial" w:cs="Arial"/>
          <w:color w:val="000000"/>
        </w:rPr>
        <w:t>.</w:t>
      </w:r>
    </w:p>
  </w:footnote>
  <w:footnote w:id="15">
    <w:p w14:paraId="5DBA80D3" w14:textId="77777777" w:rsidR="003F6146" w:rsidRDefault="00296E1C">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6">
    <w:p w14:paraId="56ECFCFC" w14:textId="77777777" w:rsidR="003F6146" w:rsidRDefault="00296E1C">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7">
    <w:p w14:paraId="5CB243AF" w14:textId="77777777" w:rsidR="003F6146" w:rsidRDefault="00296E1C">
      <w:pPr>
        <w:pBdr>
          <w:top w:val="nil"/>
          <w:left w:val="nil"/>
          <w:bottom w:val="nil"/>
          <w:right w:val="nil"/>
          <w:between w:val="nil"/>
        </w:pBdr>
        <w:jc w:val="both"/>
        <w:rPr>
          <w:color w:val="000000"/>
        </w:rPr>
      </w:pPr>
      <w:r>
        <w:rPr>
          <w:vertAlign w:val="superscript"/>
        </w:rPr>
        <w:footnoteRef/>
      </w:r>
      <w:r>
        <w:rPr>
          <w:rFonts w:ascii="Arial" w:eastAsia="Arial" w:hAnsi="Arial" w:cs="Arial"/>
          <w:color w:val="000000"/>
        </w:rPr>
        <w:t xml:space="preserve"> Véase la sentencia SUP-REP-042/2018.</w:t>
      </w:r>
    </w:p>
  </w:footnote>
  <w:footnote w:id="18">
    <w:p w14:paraId="3DDB7F3E" w14:textId="77777777" w:rsidR="003F6146" w:rsidRPr="00945D2A" w:rsidRDefault="00296E1C" w:rsidP="00945D2A">
      <w:pPr>
        <w:tabs>
          <w:tab w:val="left" w:pos="5461"/>
        </w:tabs>
        <w:jc w:val="both"/>
        <w:rPr>
          <w:rFonts w:ascii="Arial" w:eastAsia="Arial" w:hAnsi="Arial" w:cs="Arial"/>
        </w:rPr>
      </w:pPr>
      <w:r w:rsidRPr="00945D2A">
        <w:rPr>
          <w:rFonts w:ascii="Arial" w:hAnsi="Arial" w:cs="Arial"/>
          <w:vertAlign w:val="superscript"/>
        </w:rPr>
        <w:footnoteRef/>
      </w:r>
      <w:r w:rsidRPr="00945D2A">
        <w:rPr>
          <w:rFonts w:ascii="Arial" w:eastAsia="Arial" w:hAnsi="Arial" w:cs="Arial"/>
        </w:rPr>
        <w:t xml:space="preserve"> Véase el artículo 17 de la Constitución Política de los Estado Unidos Mexicanos. </w:t>
      </w:r>
    </w:p>
    <w:p w14:paraId="28AD523B" w14:textId="77777777" w:rsidR="003F6146" w:rsidRPr="00945D2A" w:rsidRDefault="00296E1C" w:rsidP="00945D2A">
      <w:pPr>
        <w:tabs>
          <w:tab w:val="left" w:pos="5461"/>
        </w:tabs>
        <w:jc w:val="both"/>
        <w:rPr>
          <w:rFonts w:ascii="Arial" w:eastAsia="Arial" w:hAnsi="Arial" w:cs="Arial"/>
        </w:rPr>
      </w:pPr>
      <w:r w:rsidRPr="00945D2A">
        <w:rPr>
          <w:rFonts w:ascii="Arial" w:eastAsia="Arial" w:hAnsi="Arial" w:cs="Arial"/>
        </w:rPr>
        <w:t>Artículo 17. (…)</w:t>
      </w:r>
    </w:p>
    <w:p w14:paraId="1C3859B5" w14:textId="77777777" w:rsidR="003F6146" w:rsidRPr="00945D2A" w:rsidRDefault="00296E1C" w:rsidP="00945D2A">
      <w:pPr>
        <w:tabs>
          <w:tab w:val="left" w:pos="5461"/>
        </w:tabs>
        <w:jc w:val="both"/>
        <w:rPr>
          <w:rFonts w:ascii="Arial" w:eastAsia="Arial" w:hAnsi="Arial" w:cs="Arial"/>
        </w:rPr>
      </w:pPr>
      <w:r w:rsidRPr="00945D2A">
        <w:rPr>
          <w:rFonts w:ascii="Arial" w:eastAsia="Arial" w:hAnsi="Arial" w:cs="Arial"/>
        </w:rPr>
        <w:t>(…)</w:t>
      </w:r>
    </w:p>
    <w:p w14:paraId="38D6380A" w14:textId="77777777" w:rsidR="003F6146" w:rsidRPr="00945D2A" w:rsidRDefault="00296E1C" w:rsidP="00945D2A">
      <w:pPr>
        <w:tabs>
          <w:tab w:val="left" w:pos="5461"/>
        </w:tabs>
        <w:jc w:val="both"/>
        <w:rPr>
          <w:rFonts w:ascii="Arial" w:eastAsia="Arial" w:hAnsi="Arial" w:cs="Arial"/>
        </w:rPr>
      </w:pPr>
      <w:r w:rsidRPr="00945D2A">
        <w:rPr>
          <w:rFonts w:ascii="Arial" w:eastAsia="Arial" w:hAnsi="Arial" w:cs="Arial"/>
        </w:rPr>
        <w:t>Siempre que no se afecte la igualdad entre las partes, el debido proceso u otros derechos en los juicios o procedimientos seguidos en forma de juicio, las autoridades deberán privilegiar la solución del conflicto sobre los formalismos procedimentales.</w:t>
      </w:r>
    </w:p>
    <w:p w14:paraId="20BBF921" w14:textId="226D5671" w:rsidR="003F6146" w:rsidRPr="00945D2A" w:rsidRDefault="00296E1C" w:rsidP="00945D2A">
      <w:pPr>
        <w:tabs>
          <w:tab w:val="left" w:pos="5461"/>
        </w:tabs>
        <w:jc w:val="both"/>
        <w:rPr>
          <w:rFonts w:ascii="Arial" w:eastAsia="Arial" w:hAnsi="Arial" w:cs="Arial"/>
        </w:rPr>
      </w:pPr>
      <w:r w:rsidRPr="00945D2A">
        <w:rPr>
          <w:rFonts w:ascii="Arial" w:eastAsia="Arial" w:hAnsi="Arial" w:cs="Arial"/>
        </w:rPr>
        <w:t>(…)</w:t>
      </w:r>
    </w:p>
  </w:footnote>
  <w:footnote w:id="19">
    <w:p w14:paraId="26A2BC5D" w14:textId="69A02B8B" w:rsidR="005A679F" w:rsidRDefault="005A679F" w:rsidP="00945D2A">
      <w:pPr>
        <w:pStyle w:val="Textonotapie"/>
        <w:jc w:val="both"/>
      </w:pPr>
      <w:r w:rsidRPr="00945D2A">
        <w:rPr>
          <w:rStyle w:val="Refdenotaalpie"/>
          <w:rFonts w:ascii="Arial" w:hAnsi="Arial" w:cs="Arial"/>
        </w:rPr>
        <w:footnoteRef/>
      </w:r>
      <w:r w:rsidRPr="00945D2A">
        <w:rPr>
          <w:rFonts w:ascii="Arial" w:hAnsi="Arial" w:cs="Arial"/>
        </w:rPr>
        <w:t xml:space="preserve"> </w:t>
      </w:r>
      <w:proofErr w:type="gramStart"/>
      <w:r w:rsidR="00945D2A" w:rsidRPr="00945D2A">
        <w:rPr>
          <w:rFonts w:ascii="Arial" w:hAnsi="Arial" w:cs="Arial"/>
        </w:rPr>
        <w:t>Similares consideraciones sostuvo</w:t>
      </w:r>
      <w:proofErr w:type="gramEnd"/>
      <w:r w:rsidR="00945D2A" w:rsidRPr="00945D2A">
        <w:rPr>
          <w:rFonts w:ascii="Arial" w:hAnsi="Arial" w:cs="Arial"/>
        </w:rPr>
        <w:t xml:space="preserve"> la Sala Regional Especializada al resolver los asuntos: SER-PSD-465/2015 y SER-PSC-83/2021, EN CUANTO A QUE A </w:t>
      </w:r>
      <w:proofErr w:type="spellStart"/>
      <w:r w:rsidR="00945D2A" w:rsidRPr="00945D2A">
        <w:rPr>
          <w:rFonts w:ascii="Arial" w:hAnsi="Arial" w:cs="Arial"/>
        </w:rPr>
        <w:t>NINGún</w:t>
      </w:r>
      <w:proofErr w:type="spellEnd"/>
      <w:r w:rsidR="00945D2A" w:rsidRPr="00945D2A">
        <w:rPr>
          <w:rFonts w:ascii="Arial" w:hAnsi="Arial" w:cs="Arial"/>
        </w:rPr>
        <w:t xml:space="preserve"> fin práctico llevaría reponer el procedimiento, dado que las infracciones denunciadas son inexistentes.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F6B8" w14:textId="6F680167" w:rsidR="003F6146" w:rsidRDefault="005C49BC">
    <w:pPr>
      <w:pBdr>
        <w:top w:val="nil"/>
        <w:left w:val="nil"/>
        <w:bottom w:val="nil"/>
        <w:right w:val="nil"/>
        <w:between w:val="nil"/>
      </w:pBdr>
      <w:tabs>
        <w:tab w:val="center" w:pos="4419"/>
        <w:tab w:val="right" w:pos="8838"/>
      </w:tabs>
      <w:rPr>
        <w:color w:val="000000"/>
      </w:rPr>
    </w:pPr>
    <w:r>
      <w:rPr>
        <w:noProof/>
      </w:rPr>
      <w:pict w14:anchorId="440784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564532" o:spid="_x0000_s2050" type="#_x0000_t136" style="position:absolute;margin-left:0;margin-top:0;width:539.95pt;height:83.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296E1C">
      <w:rPr>
        <w:noProof/>
        <w:color w:val="000000"/>
      </w:rPr>
      <mc:AlternateContent>
        <mc:Choice Requires="wps">
          <w:drawing>
            <wp:anchor distT="0" distB="0" distL="0" distR="0" simplePos="0" relativeHeight="251660288" behindDoc="1" locked="0" layoutInCell="0" hidden="0" allowOverlap="1" wp14:anchorId="30D35A90" wp14:editId="37461A62">
              <wp:simplePos x="0" y="0"/>
              <wp:positionH relativeFrom="margin">
                <wp:align>center</wp:align>
              </wp:positionH>
              <wp:positionV relativeFrom="margin">
                <wp:align>center</wp:align>
              </wp:positionV>
              <wp:extent cx="6857365" cy="1054735"/>
              <wp:effectExtent l="0" t="1990725" r="0" b="210756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wps:spPr>
                    <wps:txbx>
                      <w:txbxContent>
                        <w:p w14:paraId="14C040E0" w14:textId="77777777" w:rsidR="002E0144" w:rsidRDefault="00296E1C"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anchor>
          </w:drawing>
        </mc:Choice>
        <mc:Fallback>
          <w:pict>
            <v:shapetype w14:anchorId="30D35A90" id="_x0000_t202" coordsize="21600,21600" o:spt="202" path="m,l,21600r21600,l21600,xe">
              <v:stroke joinstyle="miter"/>
              <v:path gradientshapeok="t" o:connecttype="rect"/>
            </v:shapetype>
            <v:shape id="Cuadro de texto 1" o:spid="_x0000_s1026" type="#_x0000_t202" style="position:absolute;margin-left:0;margin-top:0;width:539.95pt;height:83.05pt;rotation:-45;z-index:-251656192;visibility:visible;mso-wrap-style:square;mso-wrap-distance-left:0;mso-wrap-distance-top:0;mso-wrap-distance-right:0;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FDBwEgsCAADxAwAA&#10;DgAAAAAAAAAAAAAAAAAuAgAAZHJzL2Uyb0RvYy54bWxQSwECLQAUAAYACAAAACEAdANgHtsAAAAG&#10;AQAADwAAAAAAAAAAAAAAAABlBAAAZHJzL2Rvd25yZXYueG1sUEsFBgAAAAAEAAQA8wAAAG0FAAAA&#10;AA==&#10;" o:allowincell="f" filled="f" stroked="f">
              <o:lock v:ext="edit" shapetype="t"/>
              <v:textbox style="mso-fit-shape-to-text:t">
                <w:txbxContent>
                  <w:p w14:paraId="14C040E0" w14:textId="77777777" w:rsidR="002E0144" w:rsidRDefault="00296E1C"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6529" w14:textId="131C3DA0" w:rsidR="003F6146" w:rsidRDefault="005C49BC">
    <w:pPr>
      <w:pBdr>
        <w:top w:val="nil"/>
        <w:left w:val="nil"/>
        <w:bottom w:val="nil"/>
        <w:right w:val="nil"/>
        <w:between w:val="nil"/>
      </w:pBdr>
      <w:tabs>
        <w:tab w:val="center" w:pos="4419"/>
        <w:tab w:val="right" w:pos="8838"/>
      </w:tabs>
      <w:rPr>
        <w:color w:val="000000"/>
      </w:rPr>
    </w:pPr>
    <w:r>
      <w:rPr>
        <w:noProof/>
      </w:rPr>
      <w:pict w14:anchorId="2B0252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564533" o:spid="_x0000_s2051" type="#_x0000_t136" style="position:absolute;margin-left:0;margin-top:0;width:539.95pt;height:83.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296E1C">
      <w:rPr>
        <w:noProof/>
      </w:rPr>
      <mc:AlternateContent>
        <mc:Choice Requires="wps">
          <w:drawing>
            <wp:anchor distT="0" distB="0" distL="0" distR="0" simplePos="0" relativeHeight="251658240" behindDoc="1" locked="0" layoutInCell="0" hidden="0" allowOverlap="1" wp14:anchorId="176EF3CD" wp14:editId="168BBCEB">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wps:spPr>
                    <wps:txbx>
                      <w:txbxContent>
                        <w:p w14:paraId="54CC66B9" w14:textId="77777777" w:rsidR="002E0144" w:rsidRDefault="00296E1C"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anchor>
          </w:drawing>
        </mc:Choice>
        <mc:Fallback>
          <w:pict>
            <v:shapetype w14:anchorId="176EF3CD" id="_x0000_t202" coordsize="21600,21600" o:spt="202" path="m,l,21600r21600,l21600,xe">
              <v:stroke joinstyle="miter"/>
              <v:path gradientshapeok="t" o:connecttype="rect"/>
            </v:shapetype>
            <v:shape id="Cuadro de texto 3" o:spid="_x0000_s1027" type="#_x0000_t202" style="position:absolute;margin-left:0;margin-top:0;width:539.95pt;height:83.05pt;rotation:-45;z-index:-251658240;visibility:visible;mso-wrap-style:square;mso-wrap-distance-left:0;mso-wrap-distance-top:0;mso-wrap-distance-right:0;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Bsba6EDQIAAPgD&#10;AAAOAAAAAAAAAAAAAAAAAC4CAABkcnMvZTJvRG9jLnhtbFBLAQItABQABgAIAAAAIQB0A2Ae2wAA&#10;AAYBAAAPAAAAAAAAAAAAAAAAAGcEAABkcnMvZG93bnJldi54bWxQSwUGAAAAAAQABADzAAAAbwUA&#10;AAAA&#10;" o:allowincell="f" filled="f" stroked="f">
              <o:lock v:ext="edit" shapetype="t"/>
              <v:textbox style="mso-fit-shape-to-text:t">
                <w:txbxContent>
                  <w:p w14:paraId="54CC66B9" w14:textId="77777777" w:rsidR="002E0144" w:rsidRDefault="00296E1C"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296E1C">
      <w:rPr>
        <w:noProof/>
        <w:color w:val="000000"/>
      </w:rPr>
      <mc:AlternateContent>
        <mc:Choice Requires="wps">
          <w:drawing>
            <wp:anchor distT="0" distB="0" distL="114300" distR="114300" simplePos="0" relativeHeight="251659264" behindDoc="0" locked="0" layoutInCell="0" hidden="0" allowOverlap="1" wp14:anchorId="09DB34C1" wp14:editId="39837820">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62E469A" w14:textId="77777777" w:rsidR="002E0144" w:rsidRDefault="00296E1C">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B2019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09DB34C1" id="Rectángulo 2"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jEvCwIAAO4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62E469A" w14:textId="77777777" w:rsidR="002E0144" w:rsidRDefault="00296E1C">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B2019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296E1C">
      <w:rPr>
        <w:noProof/>
        <w:color w:val="000000"/>
      </w:rPr>
      <w:drawing>
        <wp:inline distT="0" distB="0" distL="0" distR="0" wp14:anchorId="03A43D51" wp14:editId="4ED11029">
          <wp:extent cx="995527" cy="1154534"/>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0C9B2" w14:textId="516C5E3D" w:rsidR="00A36475" w:rsidRDefault="005C49BC">
    <w:pPr>
      <w:pStyle w:val="Encabezado"/>
    </w:pPr>
    <w:r>
      <w:rPr>
        <w:noProof/>
      </w:rPr>
      <w:pict w14:anchorId="42B268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564531" o:spid="_x0000_s2049" type="#_x0000_t136" style="position:absolute;margin-left:0;margin-top:0;width:539.95pt;height:83.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BFA"/>
    <w:multiLevelType w:val="multilevel"/>
    <w:tmpl w:val="CD34C1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58428A"/>
    <w:multiLevelType w:val="multilevel"/>
    <w:tmpl w:val="F14460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E97BA0"/>
    <w:multiLevelType w:val="multilevel"/>
    <w:tmpl w:val="F034A1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444BBD"/>
    <w:multiLevelType w:val="multilevel"/>
    <w:tmpl w:val="B3846270"/>
    <w:lvl w:ilvl="0">
      <w:start w:val="1"/>
      <w:numFmt w:val="upperRoman"/>
      <w:lvlText w:val="%1."/>
      <w:lvlJc w:val="left"/>
      <w:pPr>
        <w:ind w:left="1004" w:hanging="720"/>
      </w:pPr>
      <w:rPr>
        <w:b/>
      </w:rPr>
    </w:lvl>
    <w:lvl w:ilvl="1">
      <w:start w:val="3"/>
      <w:numFmt w:val="decimal"/>
      <w:lvlText w:val="%1.%2."/>
      <w:lvlJc w:val="left"/>
      <w:pPr>
        <w:ind w:left="1004" w:hanging="720"/>
      </w:pPr>
    </w:lvl>
    <w:lvl w:ilvl="2">
      <w:start w:val="1"/>
      <w:numFmt w:val="decimal"/>
      <w:lvlText w:val="%1.%2.%3."/>
      <w:lvlJc w:val="left"/>
      <w:pPr>
        <w:ind w:left="1004" w:hanging="720"/>
      </w:pPr>
    </w:lvl>
    <w:lvl w:ilvl="3">
      <w:start w:val="1"/>
      <w:numFmt w:val="decimal"/>
      <w:lvlText w:val="%1.%2.%3.%4."/>
      <w:lvlJc w:val="left"/>
      <w:pPr>
        <w:ind w:left="1364" w:hanging="1080"/>
      </w:pPr>
    </w:lvl>
    <w:lvl w:ilvl="4">
      <w:start w:val="1"/>
      <w:numFmt w:val="decimal"/>
      <w:lvlText w:val="%1.%2.%3.%4.%5."/>
      <w:lvlJc w:val="left"/>
      <w:pPr>
        <w:ind w:left="1364" w:hanging="1080"/>
      </w:pPr>
    </w:lvl>
    <w:lvl w:ilvl="5">
      <w:start w:val="1"/>
      <w:numFmt w:val="decimal"/>
      <w:lvlText w:val="%1.%2.%3.%4.%5.%6."/>
      <w:lvlJc w:val="left"/>
      <w:pPr>
        <w:ind w:left="1724" w:hanging="1440"/>
      </w:pPr>
    </w:lvl>
    <w:lvl w:ilvl="6">
      <w:start w:val="1"/>
      <w:numFmt w:val="decimal"/>
      <w:lvlText w:val="%1.%2.%3.%4.%5.%6.%7."/>
      <w:lvlJc w:val="left"/>
      <w:pPr>
        <w:ind w:left="1724" w:hanging="1440"/>
      </w:pPr>
    </w:lvl>
    <w:lvl w:ilvl="7">
      <w:start w:val="1"/>
      <w:numFmt w:val="decimal"/>
      <w:lvlText w:val="%1.%2.%3.%4.%5.%6.%7.%8."/>
      <w:lvlJc w:val="left"/>
      <w:pPr>
        <w:ind w:left="2084" w:hanging="1800"/>
      </w:pPr>
    </w:lvl>
    <w:lvl w:ilvl="8">
      <w:start w:val="1"/>
      <w:numFmt w:val="decimal"/>
      <w:lvlText w:val="%1.%2.%3.%4.%5.%6.%7.%8.%9."/>
      <w:lvlJc w:val="left"/>
      <w:pPr>
        <w:ind w:left="2444" w:hanging="2160"/>
      </w:pPr>
    </w:lvl>
  </w:abstractNum>
  <w:abstractNum w:abstractNumId="4" w15:restartNumberingAfterBreak="0">
    <w:nsid w:val="44D56A6D"/>
    <w:multiLevelType w:val="multilevel"/>
    <w:tmpl w:val="581EEE3C"/>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5" w15:restartNumberingAfterBreak="0">
    <w:nsid w:val="539138AC"/>
    <w:multiLevelType w:val="multilevel"/>
    <w:tmpl w:val="A0544A40"/>
    <w:lvl w:ilvl="0">
      <w:start w:val="1"/>
      <w:numFmt w:val="decimal"/>
      <w:lvlText w:val="%1."/>
      <w:lvlJc w:val="left"/>
      <w:pPr>
        <w:ind w:left="502"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E01174E"/>
    <w:multiLevelType w:val="multilevel"/>
    <w:tmpl w:val="76AE7188"/>
    <w:lvl w:ilvl="0">
      <w:start w:val="1"/>
      <w:numFmt w:val="decimal"/>
      <w:lvlText w:val="%1."/>
      <w:lvlJc w:val="left"/>
      <w:pPr>
        <w:ind w:left="720" w:hanging="360"/>
      </w:pPr>
      <w:rPr>
        <w:rFonts w:ascii="Arial" w:eastAsia="Arial" w:hAnsi="Arial" w:cs="Arial"/>
        <w:b/>
        <w:sz w:val="24"/>
        <w:szCs w:val="24"/>
      </w:rPr>
    </w:lvl>
    <w:lvl w:ilvl="1">
      <w:start w:val="1"/>
      <w:numFmt w:val="lowerLetter"/>
      <w:lvlText w:val="%2)"/>
      <w:lvlJc w:val="left"/>
      <w:pPr>
        <w:ind w:left="1650" w:hanging="57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5"/>
  </w:num>
  <w:num w:numId="4">
    <w:abstractNumId w:val="1"/>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146"/>
    <w:rsid w:val="000022B6"/>
    <w:rsid w:val="00136699"/>
    <w:rsid w:val="00280527"/>
    <w:rsid w:val="00296E1C"/>
    <w:rsid w:val="003F6146"/>
    <w:rsid w:val="004D5FE5"/>
    <w:rsid w:val="005A679F"/>
    <w:rsid w:val="005C49BC"/>
    <w:rsid w:val="00945D2A"/>
    <w:rsid w:val="00A36475"/>
    <w:rsid w:val="00D21C85"/>
    <w:rsid w:val="00D63A6A"/>
    <w:rsid w:val="00DB71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EDD13E"/>
  <w15:docId w15:val="{5D8B3090-6AD7-4BF9-B989-3F93C1786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
    <w:tblPr>
      <w:tblStyleRowBandSize w:val="1"/>
      <w:tblStyleColBandSize w:val="1"/>
      <w:tblCellMar>
        <w:left w:w="115" w:type="dxa"/>
        <w:right w:w="115" w:type="dxa"/>
      </w:tblCellMar>
    </w:tblPr>
  </w:style>
  <w:style w:type="table" w:styleId="Tablaconcuadrcula6concolores">
    <w:name w:val="Grid Table 6 Colorful"/>
    <w:basedOn w:val="Tablanormal"/>
    <w:uiPriority w:val="51"/>
    <w:rsid w:val="005A679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7concolores-nfasis5">
    <w:name w:val="Grid Table 7 Colorful Accent 5"/>
    <w:basedOn w:val="Tablanormal"/>
    <w:uiPriority w:val="52"/>
    <w:rsid w:val="005A679F"/>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decuadrcula4">
    <w:name w:val="Grid Table 4"/>
    <w:basedOn w:val="Tablanormal"/>
    <w:uiPriority w:val="49"/>
    <w:rsid w:val="005A679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5">
    <w:name w:val="List Table 4 Accent 5"/>
    <w:basedOn w:val="Tablanormal"/>
    <w:uiPriority w:val="49"/>
    <w:rsid w:val="005A679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4-nfasis31">
    <w:name w:val="Tabla de cuadrícula 4 - Énfasis 31"/>
    <w:basedOn w:val="Tablanormal"/>
    <w:next w:val="Tablaconcuadrcula4-nfasis3"/>
    <w:uiPriority w:val="49"/>
    <w:rsid w:val="005A679F"/>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concuadrcula4-nfasis3">
    <w:name w:val="Grid Table 4 Accent 3"/>
    <w:basedOn w:val="Tablanormal"/>
    <w:uiPriority w:val="49"/>
    <w:rsid w:val="005A679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Sinespaciado">
    <w:name w:val="No Spacing"/>
    <w:uiPriority w:val="1"/>
    <w:qFormat/>
    <w:rsid w:val="005A679F"/>
  </w:style>
  <w:style w:type="paragraph" w:styleId="Prrafodelista">
    <w:name w:val="List Paragraph"/>
    <w:basedOn w:val="Normal"/>
    <w:uiPriority w:val="34"/>
    <w:qFormat/>
    <w:rsid w:val="005A679F"/>
    <w:pPr>
      <w:ind w:left="720"/>
      <w:contextualSpacing/>
    </w:pPr>
  </w:style>
  <w:style w:type="paragraph" w:styleId="Textonotapie">
    <w:name w:val="footnote text"/>
    <w:basedOn w:val="Normal"/>
    <w:link w:val="TextonotapieCar"/>
    <w:uiPriority w:val="99"/>
    <w:semiHidden/>
    <w:unhideWhenUsed/>
    <w:rsid w:val="005A679F"/>
  </w:style>
  <w:style w:type="character" w:customStyle="1" w:styleId="TextonotapieCar">
    <w:name w:val="Texto nota pie Car"/>
    <w:basedOn w:val="Fuentedeprrafopredeter"/>
    <w:link w:val="Textonotapie"/>
    <w:uiPriority w:val="99"/>
    <w:semiHidden/>
    <w:rsid w:val="005A679F"/>
  </w:style>
  <w:style w:type="character" w:styleId="Refdenotaalpie">
    <w:name w:val="footnote reference"/>
    <w:basedOn w:val="Fuentedeprrafopredeter"/>
    <w:uiPriority w:val="99"/>
    <w:semiHidden/>
    <w:unhideWhenUsed/>
    <w:rsid w:val="005A679F"/>
    <w:rPr>
      <w:vertAlign w:val="superscript"/>
    </w:rPr>
  </w:style>
  <w:style w:type="paragraph" w:styleId="Piedepgina">
    <w:name w:val="footer"/>
    <w:basedOn w:val="Normal"/>
    <w:link w:val="PiedepginaCar"/>
    <w:uiPriority w:val="99"/>
    <w:unhideWhenUsed/>
    <w:rsid w:val="00A36475"/>
    <w:pPr>
      <w:tabs>
        <w:tab w:val="center" w:pos="4419"/>
        <w:tab w:val="right" w:pos="8838"/>
      </w:tabs>
    </w:pPr>
  </w:style>
  <w:style w:type="character" w:customStyle="1" w:styleId="PiedepginaCar">
    <w:name w:val="Pie de página Car"/>
    <w:basedOn w:val="Fuentedeprrafopredeter"/>
    <w:link w:val="Piedepgina"/>
    <w:uiPriority w:val="99"/>
    <w:rsid w:val="00A36475"/>
  </w:style>
  <w:style w:type="paragraph" w:styleId="Encabezado">
    <w:name w:val="header"/>
    <w:basedOn w:val="Normal"/>
    <w:link w:val="EncabezadoCar"/>
    <w:uiPriority w:val="99"/>
    <w:unhideWhenUsed/>
    <w:rsid w:val="00A36475"/>
    <w:pPr>
      <w:tabs>
        <w:tab w:val="center" w:pos="4419"/>
        <w:tab w:val="right" w:pos="8838"/>
      </w:tabs>
    </w:pPr>
  </w:style>
  <w:style w:type="character" w:customStyle="1" w:styleId="EncabezadoCar">
    <w:name w:val="Encabezado Car"/>
    <w:basedOn w:val="Fuentedeprrafopredeter"/>
    <w:link w:val="Encabezado"/>
    <w:uiPriority w:val="99"/>
    <w:rsid w:val="00A36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A9F4D-AE1A-4B4B-A58A-A1C3C913E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4453</Words>
  <Characters>24495</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2021-06-10T18:58:00Z</cp:lastPrinted>
  <dcterms:created xsi:type="dcterms:W3CDTF">2021-06-10T20:41:00Z</dcterms:created>
  <dcterms:modified xsi:type="dcterms:W3CDTF">2021-06-10T20:41:00Z</dcterms:modified>
</cp:coreProperties>
</file>