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729" w14:textId="77777777"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3A9220AF"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CC2821">
        <w:rPr>
          <w:rFonts w:ascii="Arial" w:eastAsia="Arial" w:hAnsi="Arial" w:cs="Arial"/>
          <w:spacing w:val="1"/>
          <w:sz w:val="23"/>
          <w:szCs w:val="23"/>
        </w:rPr>
        <w:t>5</w:t>
      </w:r>
      <w:r w:rsidR="00494BAF">
        <w:rPr>
          <w:rFonts w:ascii="Arial" w:eastAsia="Arial" w:hAnsi="Arial" w:cs="Arial"/>
          <w:spacing w:val="1"/>
          <w:sz w:val="23"/>
          <w:szCs w:val="23"/>
        </w:rPr>
        <w:t>6</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21816EB7"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2011BB">
        <w:rPr>
          <w:rFonts w:ascii="Arial" w:eastAsia="Arial" w:hAnsi="Arial" w:cs="Arial"/>
          <w:bCs/>
          <w:sz w:val="23"/>
          <w:szCs w:val="23"/>
        </w:rPr>
        <w:t>Enrique Franco Medina.</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4F565FDC"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w:t>
      </w:r>
      <w:r w:rsidR="00C220CC">
        <w:rPr>
          <w:rFonts w:ascii="Arial" w:eastAsia="Arial" w:hAnsi="Arial" w:cs="Arial"/>
          <w:b/>
          <w:spacing w:val="-5"/>
          <w:sz w:val="23"/>
          <w:szCs w:val="23"/>
        </w:rPr>
        <w:t>O</w:t>
      </w:r>
      <w:r w:rsidR="002011BB">
        <w:rPr>
          <w:rFonts w:ascii="Arial" w:eastAsia="Arial" w:hAnsi="Arial" w:cs="Arial"/>
          <w:b/>
          <w:spacing w:val="-5"/>
          <w:sz w:val="23"/>
          <w:szCs w:val="23"/>
        </w:rPr>
        <w:t>S</w:t>
      </w:r>
      <w:r w:rsidRPr="00B55F05">
        <w:rPr>
          <w:rFonts w:ascii="Arial" w:eastAsia="Arial" w:hAnsi="Arial" w:cs="Arial"/>
          <w:b/>
          <w:sz w:val="23"/>
          <w:szCs w:val="23"/>
        </w:rPr>
        <w:t xml:space="preserve">: </w:t>
      </w:r>
      <w:r w:rsidR="002011BB">
        <w:rPr>
          <w:rFonts w:ascii="Arial" w:eastAsia="Arial" w:hAnsi="Arial" w:cs="Arial"/>
          <w:bCs/>
          <w:sz w:val="23"/>
          <w:szCs w:val="23"/>
        </w:rPr>
        <w:t xml:space="preserve">Partido del Trabajo y </w:t>
      </w:r>
      <w:r w:rsidR="00CC2821">
        <w:rPr>
          <w:rFonts w:ascii="Arial" w:eastAsia="Arial" w:hAnsi="Arial" w:cs="Arial"/>
          <w:bCs/>
          <w:sz w:val="23"/>
          <w:szCs w:val="23"/>
        </w:rPr>
        <w:t xml:space="preserve">C. </w:t>
      </w:r>
      <w:r w:rsidR="002011BB">
        <w:rPr>
          <w:rFonts w:ascii="Arial" w:eastAsia="Arial" w:hAnsi="Arial" w:cs="Arial"/>
          <w:bCs/>
          <w:sz w:val="23"/>
          <w:szCs w:val="23"/>
        </w:rPr>
        <w:t>Blanca Hilda Contreras González.</w:t>
      </w:r>
    </w:p>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69E26F10"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w:t>
      </w:r>
      <w:r w:rsidR="00B35AA6">
        <w:rPr>
          <w:rFonts w:ascii="Arial" w:eastAsia="Arial" w:hAnsi="Arial" w:cs="Arial"/>
          <w:sz w:val="23"/>
          <w:szCs w:val="23"/>
        </w:rPr>
        <w:t>á</w:t>
      </w:r>
      <w:r w:rsidR="005E25E0">
        <w:rPr>
          <w:rFonts w:ascii="Arial" w:eastAsia="Arial" w:hAnsi="Arial" w:cs="Arial"/>
          <w:sz w:val="23"/>
          <w:szCs w:val="23"/>
        </w:rPr>
        <w:t xml:space="preserve">s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51CEA37A" w:rsidR="006C5C18" w:rsidRPr="005833FF" w:rsidRDefault="00E306E7" w:rsidP="00BB7F8E">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3E16DB">
        <w:rPr>
          <w:rFonts w:ascii="Arial" w:eastAsia="Arial Nova" w:hAnsi="Arial" w:cs="Arial"/>
          <w:sz w:val="22"/>
          <w:szCs w:val="22"/>
        </w:rPr>
        <w:t>dieciséis</w:t>
      </w:r>
      <w:r w:rsidR="00CC2821">
        <w:rPr>
          <w:rFonts w:ascii="Arial" w:eastAsia="Arial Nova" w:hAnsi="Arial" w:cs="Arial"/>
          <w:sz w:val="22"/>
          <w:szCs w:val="22"/>
        </w:rPr>
        <w:t xml:space="preserve"> de junio</w:t>
      </w:r>
      <w:r w:rsidRPr="005833FF">
        <w:rPr>
          <w:rFonts w:ascii="Arial" w:eastAsia="Arial Nova" w:hAnsi="Arial" w:cs="Arial"/>
          <w:sz w:val="22"/>
          <w:szCs w:val="22"/>
        </w:rPr>
        <w:t xml:space="preserve"> 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105639B4" w14:textId="3142A105" w:rsidR="00A5213C" w:rsidRPr="00477463" w:rsidRDefault="00A5213C" w:rsidP="00A5213C">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 xml:space="preserve">Sentencia </w:t>
      </w:r>
      <w:r w:rsidRPr="00502E47">
        <w:rPr>
          <w:rFonts w:ascii="Arial" w:eastAsia="Arial Nova" w:hAnsi="Arial" w:cs="Arial"/>
          <w:bCs/>
          <w:sz w:val="22"/>
          <w:szCs w:val="22"/>
        </w:rPr>
        <w:t>mediante la que se determina la inexistencia de la infracción</w:t>
      </w:r>
      <w:r>
        <w:rPr>
          <w:rFonts w:ascii="Arial" w:eastAsia="Arial Nova" w:hAnsi="Arial" w:cs="Arial"/>
          <w:b/>
          <w:sz w:val="22"/>
          <w:szCs w:val="22"/>
        </w:rPr>
        <w:t xml:space="preserve"> </w:t>
      </w:r>
      <w:r w:rsidRPr="00502E47">
        <w:rPr>
          <w:rFonts w:ascii="Arial" w:eastAsia="Arial Nova" w:hAnsi="Arial" w:cs="Arial"/>
          <w:bCs/>
          <w:sz w:val="22"/>
          <w:szCs w:val="22"/>
        </w:rPr>
        <w:t>denunciada</w:t>
      </w:r>
      <w:r w:rsidR="00477463">
        <w:rPr>
          <w:rFonts w:ascii="Arial" w:eastAsia="Arial Nova" w:hAnsi="Arial" w:cs="Arial"/>
          <w:b/>
          <w:sz w:val="22"/>
          <w:szCs w:val="22"/>
        </w:rPr>
        <w:t xml:space="preserve">, </w:t>
      </w:r>
      <w:r w:rsidR="00477463" w:rsidRPr="00477463">
        <w:rPr>
          <w:rFonts w:ascii="Arial" w:eastAsia="Arial Nova" w:hAnsi="Arial" w:cs="Arial"/>
          <w:bCs/>
          <w:sz w:val="22"/>
          <w:szCs w:val="22"/>
        </w:rPr>
        <w:t xml:space="preserve">al considerarse que la fijación de propaganda fuera del distrito electoral por </w:t>
      </w:r>
      <w:r w:rsidR="0099732A" w:rsidRPr="00477463">
        <w:rPr>
          <w:rFonts w:ascii="Arial" w:eastAsia="Arial Nova" w:hAnsi="Arial" w:cs="Arial"/>
          <w:bCs/>
          <w:sz w:val="22"/>
          <w:szCs w:val="22"/>
        </w:rPr>
        <w:t>el</w:t>
      </w:r>
      <w:r w:rsidR="00477463" w:rsidRPr="00477463">
        <w:rPr>
          <w:rFonts w:ascii="Arial" w:eastAsia="Arial Nova" w:hAnsi="Arial" w:cs="Arial"/>
          <w:bCs/>
          <w:sz w:val="22"/>
          <w:szCs w:val="22"/>
        </w:rPr>
        <w:t xml:space="preserve"> que se contiende, no vulnera la equidad en la contienda. </w:t>
      </w:r>
    </w:p>
    <w:p w14:paraId="464B588B" w14:textId="77777777" w:rsidR="00A5213C" w:rsidRPr="005833FF" w:rsidRDefault="00A5213C">
      <w:pPr>
        <w:spacing w:line="360" w:lineRule="auto"/>
        <w:ind w:right="36"/>
        <w:jc w:val="both"/>
        <w:rPr>
          <w:rFonts w:ascii="Arial" w:eastAsia="Arial Nova" w:hAnsi="Arial" w:cs="Arial"/>
          <w:bCs/>
          <w:sz w:val="22"/>
          <w:szCs w:val="22"/>
        </w:rPr>
      </w:pPr>
    </w:p>
    <w:p w14:paraId="4EC79973" w14:textId="47C02ADB" w:rsidR="007E6C40" w:rsidRPr="005833FF" w:rsidRDefault="007E6C40" w:rsidP="007E6C40">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3238FE68" w14:textId="77777777" w:rsidR="00904B5E" w:rsidRPr="005833FF" w:rsidRDefault="00904B5E" w:rsidP="007E6C40">
      <w:pPr>
        <w:spacing w:line="360" w:lineRule="auto"/>
        <w:ind w:right="36"/>
        <w:jc w:val="center"/>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7E6C40" w:rsidRPr="005833FF" w14:paraId="7D692034" w14:textId="77777777" w:rsidTr="00B55F05">
        <w:trPr>
          <w:trHeight w:val="191"/>
          <w:jc w:val="center"/>
        </w:trPr>
        <w:tc>
          <w:tcPr>
            <w:tcW w:w="2249" w:type="dxa"/>
          </w:tcPr>
          <w:p w14:paraId="564A0438" w14:textId="77777777" w:rsidR="007E6C40" w:rsidRPr="005833FF" w:rsidRDefault="007E6C40" w:rsidP="003B09D0">
            <w:pPr>
              <w:jc w:val="both"/>
              <w:rPr>
                <w:rFonts w:ascii="Arial" w:eastAsia="Arial" w:hAnsi="Arial" w:cs="Arial"/>
                <w:sz w:val="22"/>
                <w:szCs w:val="22"/>
              </w:rPr>
            </w:pPr>
            <w:r w:rsidRPr="005833FF">
              <w:rPr>
                <w:rFonts w:ascii="Arial" w:eastAsia="Arial" w:hAnsi="Arial" w:cs="Arial"/>
                <w:b/>
                <w:sz w:val="22"/>
                <w:szCs w:val="22"/>
              </w:rPr>
              <w:t>Denunciante:</w:t>
            </w:r>
          </w:p>
        </w:tc>
        <w:tc>
          <w:tcPr>
            <w:tcW w:w="5368" w:type="dxa"/>
          </w:tcPr>
          <w:p w14:paraId="7090C882" w14:textId="2A9D6DED"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bCs/>
                <w:spacing w:val="4"/>
                <w:sz w:val="22"/>
                <w:szCs w:val="22"/>
              </w:rPr>
              <w:t xml:space="preserve">C. </w:t>
            </w:r>
            <w:r w:rsidR="002011BB">
              <w:rPr>
                <w:rFonts w:ascii="Arial" w:eastAsia="Arial" w:hAnsi="Arial" w:cs="Arial"/>
                <w:bCs/>
                <w:spacing w:val="4"/>
                <w:sz w:val="22"/>
                <w:szCs w:val="22"/>
              </w:rPr>
              <w:t>Enrique Franco Medina</w:t>
            </w:r>
            <w:r w:rsidR="00CC2821">
              <w:rPr>
                <w:rFonts w:ascii="Arial" w:eastAsia="Arial" w:hAnsi="Arial" w:cs="Arial"/>
                <w:bCs/>
                <w:spacing w:val="4"/>
                <w:sz w:val="22"/>
                <w:szCs w:val="22"/>
              </w:rPr>
              <w:t xml:space="preserve">, en su carácter de representante </w:t>
            </w:r>
            <w:r w:rsidR="002011BB">
              <w:rPr>
                <w:rFonts w:ascii="Arial" w:eastAsia="Arial" w:hAnsi="Arial" w:cs="Arial"/>
                <w:bCs/>
                <w:spacing w:val="4"/>
                <w:sz w:val="22"/>
                <w:szCs w:val="22"/>
              </w:rPr>
              <w:t>propietario del PAN ante el Consejo Distrital VI de Aguascalientes</w:t>
            </w:r>
            <w:r w:rsidR="00CC2821">
              <w:rPr>
                <w:rFonts w:ascii="Arial" w:eastAsia="Arial" w:hAnsi="Arial" w:cs="Arial"/>
                <w:bCs/>
                <w:spacing w:val="4"/>
                <w:sz w:val="22"/>
                <w:szCs w:val="22"/>
              </w:rPr>
              <w:t>.</w:t>
            </w:r>
          </w:p>
        </w:tc>
      </w:tr>
      <w:tr w:rsidR="007E6C40" w:rsidRPr="005833FF" w14:paraId="3AC443E7" w14:textId="77777777" w:rsidTr="00B55F05">
        <w:trPr>
          <w:trHeight w:val="191"/>
          <w:jc w:val="center"/>
        </w:trPr>
        <w:tc>
          <w:tcPr>
            <w:tcW w:w="2249" w:type="dxa"/>
          </w:tcPr>
          <w:p w14:paraId="45056A32" w14:textId="77777777" w:rsidR="007E6C40" w:rsidRPr="005833FF" w:rsidRDefault="007E6C40" w:rsidP="003B09D0">
            <w:pPr>
              <w:jc w:val="both"/>
              <w:rPr>
                <w:rFonts w:ascii="Arial" w:eastAsia="Arial" w:hAnsi="Arial" w:cs="Arial"/>
                <w:sz w:val="22"/>
                <w:szCs w:val="22"/>
              </w:rPr>
            </w:pPr>
          </w:p>
        </w:tc>
        <w:tc>
          <w:tcPr>
            <w:tcW w:w="5368" w:type="dxa"/>
          </w:tcPr>
          <w:p w14:paraId="7BC7CB04" w14:textId="77777777" w:rsidR="007E6C40" w:rsidRPr="005833FF" w:rsidRDefault="007E6C40" w:rsidP="003B09D0">
            <w:pPr>
              <w:ind w:right="36"/>
              <w:jc w:val="both"/>
              <w:rPr>
                <w:rFonts w:ascii="Arial" w:eastAsia="Arial" w:hAnsi="Arial" w:cs="Arial"/>
                <w:sz w:val="22"/>
                <w:szCs w:val="22"/>
              </w:rPr>
            </w:pPr>
          </w:p>
        </w:tc>
      </w:tr>
      <w:tr w:rsidR="007E6C40" w:rsidRPr="005833FF" w14:paraId="1DDBDF0D" w14:textId="77777777" w:rsidTr="00B55F05">
        <w:trPr>
          <w:trHeight w:val="393"/>
          <w:jc w:val="center"/>
        </w:trPr>
        <w:tc>
          <w:tcPr>
            <w:tcW w:w="2249" w:type="dxa"/>
          </w:tcPr>
          <w:p w14:paraId="0E9D7591" w14:textId="77777777" w:rsidR="007F27E9" w:rsidRDefault="007E6C40" w:rsidP="003B09D0">
            <w:pPr>
              <w:jc w:val="both"/>
              <w:rPr>
                <w:rFonts w:ascii="Arial" w:eastAsia="Arial" w:hAnsi="Arial" w:cs="Arial"/>
                <w:b/>
                <w:bCs/>
                <w:sz w:val="22"/>
                <w:szCs w:val="22"/>
              </w:rPr>
            </w:pPr>
            <w:r w:rsidRPr="005833FF">
              <w:rPr>
                <w:rFonts w:ascii="Arial" w:eastAsia="Arial" w:hAnsi="Arial" w:cs="Arial"/>
                <w:b/>
                <w:bCs/>
                <w:sz w:val="22"/>
                <w:szCs w:val="22"/>
              </w:rPr>
              <w:t>Denunciad</w:t>
            </w:r>
            <w:r w:rsidR="00C220CC">
              <w:rPr>
                <w:rFonts w:ascii="Arial" w:eastAsia="Arial" w:hAnsi="Arial" w:cs="Arial"/>
                <w:b/>
                <w:bCs/>
                <w:sz w:val="22"/>
                <w:szCs w:val="22"/>
              </w:rPr>
              <w:t>o</w:t>
            </w:r>
            <w:r w:rsidRPr="005833FF">
              <w:rPr>
                <w:rFonts w:ascii="Arial" w:eastAsia="Arial" w:hAnsi="Arial" w:cs="Arial"/>
                <w:b/>
                <w:bCs/>
                <w:sz w:val="22"/>
                <w:szCs w:val="22"/>
              </w:rPr>
              <w:t>:</w:t>
            </w:r>
          </w:p>
          <w:p w14:paraId="18BF07C3" w14:textId="77777777" w:rsidR="00A5213C" w:rsidRDefault="00A5213C" w:rsidP="003B09D0">
            <w:pPr>
              <w:jc w:val="both"/>
              <w:rPr>
                <w:rFonts w:ascii="Arial" w:eastAsia="Arial" w:hAnsi="Arial" w:cs="Arial"/>
                <w:b/>
                <w:bCs/>
                <w:sz w:val="22"/>
                <w:szCs w:val="22"/>
              </w:rPr>
            </w:pPr>
          </w:p>
          <w:p w14:paraId="64437069" w14:textId="77777777" w:rsidR="00A5213C" w:rsidRDefault="00A5213C" w:rsidP="003B09D0">
            <w:pPr>
              <w:jc w:val="both"/>
              <w:rPr>
                <w:rFonts w:ascii="Arial" w:eastAsia="Arial" w:hAnsi="Arial" w:cs="Arial"/>
                <w:b/>
                <w:bCs/>
                <w:sz w:val="22"/>
                <w:szCs w:val="22"/>
              </w:rPr>
            </w:pPr>
          </w:p>
          <w:p w14:paraId="0D473F47" w14:textId="77777777" w:rsidR="00A5213C" w:rsidRDefault="00A5213C" w:rsidP="003B09D0">
            <w:pPr>
              <w:jc w:val="both"/>
              <w:rPr>
                <w:rFonts w:ascii="Arial" w:eastAsia="Arial" w:hAnsi="Arial" w:cs="Arial"/>
                <w:b/>
                <w:bCs/>
                <w:sz w:val="22"/>
                <w:szCs w:val="22"/>
              </w:rPr>
            </w:pPr>
          </w:p>
          <w:p w14:paraId="166DBAAE" w14:textId="4D93DDC7" w:rsidR="00A5213C" w:rsidRPr="005833FF" w:rsidRDefault="002011BB" w:rsidP="003B09D0">
            <w:pPr>
              <w:jc w:val="both"/>
              <w:rPr>
                <w:rFonts w:ascii="Arial" w:eastAsia="Arial" w:hAnsi="Arial" w:cs="Arial"/>
                <w:b/>
                <w:bCs/>
                <w:sz w:val="22"/>
                <w:szCs w:val="22"/>
              </w:rPr>
            </w:pPr>
            <w:r>
              <w:rPr>
                <w:rFonts w:ascii="Arial" w:eastAsia="Arial" w:hAnsi="Arial" w:cs="Arial"/>
                <w:b/>
                <w:bCs/>
                <w:sz w:val="22"/>
                <w:szCs w:val="22"/>
              </w:rPr>
              <w:t>PT</w:t>
            </w:r>
            <w:r w:rsidR="00A5213C">
              <w:rPr>
                <w:rFonts w:ascii="Arial" w:eastAsia="Arial" w:hAnsi="Arial" w:cs="Arial"/>
                <w:b/>
                <w:bCs/>
                <w:sz w:val="22"/>
                <w:szCs w:val="22"/>
              </w:rPr>
              <w:t>:</w:t>
            </w:r>
          </w:p>
        </w:tc>
        <w:tc>
          <w:tcPr>
            <w:tcW w:w="5368" w:type="dxa"/>
          </w:tcPr>
          <w:p w14:paraId="3674E48C" w14:textId="71FB22D0" w:rsidR="007F27E9" w:rsidRDefault="007E6C40" w:rsidP="003B09D0">
            <w:pPr>
              <w:tabs>
                <w:tab w:val="left" w:pos="9923"/>
              </w:tabs>
              <w:jc w:val="both"/>
              <w:rPr>
                <w:rFonts w:ascii="Arial" w:eastAsia="Arial" w:hAnsi="Arial" w:cs="Arial"/>
                <w:spacing w:val="1"/>
                <w:sz w:val="22"/>
                <w:szCs w:val="22"/>
              </w:rPr>
            </w:pPr>
            <w:r w:rsidRPr="005833FF">
              <w:rPr>
                <w:rFonts w:ascii="Arial" w:eastAsia="Arial" w:hAnsi="Arial" w:cs="Arial"/>
                <w:spacing w:val="1"/>
                <w:sz w:val="22"/>
                <w:szCs w:val="22"/>
              </w:rPr>
              <w:t xml:space="preserve">C. </w:t>
            </w:r>
            <w:r w:rsidR="002011BB">
              <w:rPr>
                <w:rFonts w:ascii="Arial" w:eastAsia="Arial" w:hAnsi="Arial" w:cs="Arial"/>
                <w:spacing w:val="1"/>
                <w:sz w:val="22"/>
                <w:szCs w:val="22"/>
              </w:rPr>
              <w:t xml:space="preserve">Blanca Hilda Contreras González, en su carácter de candidata a diputada local en el distrito electoral </w:t>
            </w:r>
            <w:r w:rsidR="0072375A">
              <w:rPr>
                <w:rFonts w:ascii="Arial" w:eastAsia="Arial" w:hAnsi="Arial" w:cs="Arial"/>
                <w:spacing w:val="1"/>
                <w:sz w:val="22"/>
                <w:szCs w:val="22"/>
              </w:rPr>
              <w:t>VI</w:t>
            </w:r>
            <w:r w:rsidR="002011BB">
              <w:rPr>
                <w:rFonts w:ascii="Arial" w:eastAsia="Arial" w:hAnsi="Arial" w:cs="Arial"/>
                <w:spacing w:val="1"/>
                <w:sz w:val="22"/>
                <w:szCs w:val="22"/>
              </w:rPr>
              <w:t>, postulada por el Partido del Trabajo</w:t>
            </w:r>
          </w:p>
          <w:p w14:paraId="11939E7D" w14:textId="6733D868" w:rsidR="00A5213C" w:rsidRDefault="00A5213C" w:rsidP="003B09D0">
            <w:pPr>
              <w:tabs>
                <w:tab w:val="left" w:pos="9923"/>
              </w:tabs>
              <w:jc w:val="both"/>
              <w:rPr>
                <w:rFonts w:ascii="Arial" w:eastAsia="Arial" w:hAnsi="Arial" w:cs="Arial"/>
                <w:spacing w:val="1"/>
                <w:sz w:val="22"/>
                <w:szCs w:val="22"/>
              </w:rPr>
            </w:pPr>
          </w:p>
          <w:p w14:paraId="4B01F40F" w14:textId="2B61ED11" w:rsidR="00A5213C" w:rsidRDefault="002011BB" w:rsidP="003B09D0">
            <w:pPr>
              <w:tabs>
                <w:tab w:val="left" w:pos="9923"/>
              </w:tabs>
              <w:jc w:val="both"/>
              <w:rPr>
                <w:rFonts w:ascii="Arial" w:eastAsia="Arial" w:hAnsi="Arial" w:cs="Arial"/>
                <w:spacing w:val="1"/>
                <w:sz w:val="22"/>
                <w:szCs w:val="22"/>
              </w:rPr>
            </w:pPr>
            <w:r>
              <w:rPr>
                <w:rFonts w:ascii="Arial" w:eastAsia="Arial" w:hAnsi="Arial" w:cs="Arial"/>
                <w:spacing w:val="1"/>
                <w:sz w:val="22"/>
                <w:szCs w:val="22"/>
              </w:rPr>
              <w:t>Partido del Trabajo</w:t>
            </w:r>
          </w:p>
          <w:p w14:paraId="1EB84280" w14:textId="77777777" w:rsidR="007E6C40" w:rsidRPr="005833FF" w:rsidRDefault="007E6C40" w:rsidP="00CC2821">
            <w:pPr>
              <w:tabs>
                <w:tab w:val="left" w:pos="9923"/>
              </w:tabs>
              <w:jc w:val="both"/>
              <w:rPr>
                <w:rFonts w:ascii="Arial" w:eastAsia="Arial" w:hAnsi="Arial" w:cs="Arial"/>
                <w:sz w:val="22"/>
                <w:szCs w:val="22"/>
              </w:rPr>
            </w:pPr>
          </w:p>
        </w:tc>
      </w:tr>
      <w:tr w:rsidR="007E6C40" w:rsidRPr="005833FF" w14:paraId="7256F9ED" w14:textId="77777777" w:rsidTr="00B55F05">
        <w:trPr>
          <w:trHeight w:val="2706"/>
          <w:jc w:val="center"/>
        </w:trPr>
        <w:tc>
          <w:tcPr>
            <w:tcW w:w="2249" w:type="dxa"/>
          </w:tcPr>
          <w:p w14:paraId="226B2A6A" w14:textId="05F7CE33" w:rsidR="007E6C40" w:rsidRPr="005833FF" w:rsidRDefault="00CC2821" w:rsidP="003B09D0">
            <w:pPr>
              <w:jc w:val="both"/>
              <w:rPr>
                <w:rFonts w:ascii="Arial" w:eastAsia="Arial" w:hAnsi="Arial" w:cs="Arial"/>
                <w:b/>
                <w:sz w:val="22"/>
                <w:szCs w:val="22"/>
              </w:rPr>
            </w:pPr>
            <w:r>
              <w:rPr>
                <w:rFonts w:ascii="Arial" w:eastAsia="Arial" w:hAnsi="Arial" w:cs="Arial"/>
                <w:b/>
                <w:sz w:val="22"/>
                <w:szCs w:val="22"/>
              </w:rPr>
              <w:t>I</w:t>
            </w:r>
            <w:r w:rsidR="007E6C40" w:rsidRPr="005833FF">
              <w:rPr>
                <w:rFonts w:ascii="Arial" w:eastAsia="Arial" w:hAnsi="Arial" w:cs="Arial"/>
                <w:b/>
                <w:sz w:val="22"/>
                <w:szCs w:val="22"/>
              </w:rPr>
              <w:t>EE:</w:t>
            </w:r>
          </w:p>
          <w:p w14:paraId="218BE149" w14:textId="77777777" w:rsidR="00C220CC" w:rsidRDefault="00C220CC" w:rsidP="003B09D0">
            <w:pPr>
              <w:jc w:val="both"/>
              <w:rPr>
                <w:rFonts w:ascii="Arial" w:eastAsia="Arial" w:hAnsi="Arial" w:cs="Arial"/>
                <w:b/>
                <w:sz w:val="22"/>
                <w:szCs w:val="22"/>
              </w:rPr>
            </w:pPr>
          </w:p>
          <w:p w14:paraId="7699AB2D" w14:textId="2F927B2B" w:rsidR="003D176B" w:rsidRPr="005833FF" w:rsidRDefault="003D176B" w:rsidP="003B09D0">
            <w:pPr>
              <w:jc w:val="both"/>
              <w:rPr>
                <w:rFonts w:ascii="Arial" w:eastAsia="Arial" w:hAnsi="Arial" w:cs="Arial"/>
                <w:b/>
                <w:sz w:val="22"/>
                <w:szCs w:val="22"/>
              </w:rPr>
            </w:pPr>
            <w:r w:rsidRPr="005833FF">
              <w:rPr>
                <w:rFonts w:ascii="Arial" w:eastAsia="Arial" w:hAnsi="Arial" w:cs="Arial"/>
                <w:b/>
                <w:sz w:val="22"/>
                <w:szCs w:val="22"/>
              </w:rPr>
              <w:t>Secretario Ejecutivo:</w:t>
            </w:r>
          </w:p>
          <w:p w14:paraId="04D5CE14" w14:textId="77777777" w:rsidR="003D176B" w:rsidRPr="005833FF" w:rsidRDefault="003D176B" w:rsidP="003B09D0">
            <w:pPr>
              <w:jc w:val="both"/>
              <w:rPr>
                <w:rFonts w:ascii="Arial" w:eastAsia="Arial" w:hAnsi="Arial" w:cs="Arial"/>
                <w:b/>
                <w:sz w:val="22"/>
                <w:szCs w:val="22"/>
              </w:rPr>
            </w:pPr>
          </w:p>
          <w:p w14:paraId="10397A8A" w14:textId="77777777" w:rsidR="003D176B" w:rsidRDefault="003D176B" w:rsidP="003B09D0">
            <w:pPr>
              <w:jc w:val="both"/>
              <w:rPr>
                <w:rFonts w:ascii="Arial" w:eastAsia="Arial" w:hAnsi="Arial" w:cs="Arial"/>
                <w:b/>
                <w:sz w:val="22"/>
                <w:szCs w:val="22"/>
              </w:rPr>
            </w:pPr>
            <w:r w:rsidRPr="005833FF">
              <w:rPr>
                <w:rFonts w:ascii="Arial" w:eastAsia="Arial" w:hAnsi="Arial" w:cs="Arial"/>
                <w:b/>
                <w:sz w:val="22"/>
                <w:szCs w:val="22"/>
              </w:rPr>
              <w:t>Tribunal Electoral:</w:t>
            </w:r>
          </w:p>
          <w:p w14:paraId="1CB7DB07" w14:textId="77777777" w:rsidR="002330C0" w:rsidRDefault="002330C0" w:rsidP="003B09D0">
            <w:pPr>
              <w:jc w:val="both"/>
              <w:rPr>
                <w:rFonts w:ascii="Arial" w:eastAsia="Arial" w:hAnsi="Arial" w:cs="Arial"/>
                <w:b/>
                <w:sz w:val="22"/>
                <w:szCs w:val="22"/>
              </w:rPr>
            </w:pPr>
          </w:p>
          <w:p w14:paraId="76403DDE" w14:textId="77777777" w:rsidR="002330C0" w:rsidRDefault="002330C0" w:rsidP="003B09D0">
            <w:pPr>
              <w:jc w:val="both"/>
              <w:rPr>
                <w:rFonts w:ascii="Arial" w:eastAsia="Arial" w:hAnsi="Arial" w:cs="Arial"/>
                <w:b/>
                <w:sz w:val="22"/>
                <w:szCs w:val="22"/>
              </w:rPr>
            </w:pPr>
            <w:r>
              <w:rPr>
                <w:rFonts w:ascii="Arial" w:eastAsia="Arial" w:hAnsi="Arial" w:cs="Arial"/>
                <w:b/>
                <w:sz w:val="22"/>
                <w:szCs w:val="22"/>
              </w:rPr>
              <w:t>LGIPE:</w:t>
            </w:r>
          </w:p>
          <w:p w14:paraId="1FF7C841" w14:textId="77777777" w:rsidR="002330C0" w:rsidRDefault="002330C0" w:rsidP="003B09D0">
            <w:pPr>
              <w:jc w:val="both"/>
              <w:rPr>
                <w:rFonts w:ascii="Arial" w:eastAsia="Arial" w:hAnsi="Arial" w:cs="Arial"/>
                <w:b/>
                <w:sz w:val="22"/>
                <w:szCs w:val="22"/>
              </w:rPr>
            </w:pPr>
          </w:p>
          <w:p w14:paraId="0A0E580E" w14:textId="77777777" w:rsidR="002330C0" w:rsidRDefault="002330C0" w:rsidP="003B09D0">
            <w:pPr>
              <w:jc w:val="both"/>
              <w:rPr>
                <w:rFonts w:ascii="Arial" w:eastAsia="Arial" w:hAnsi="Arial" w:cs="Arial"/>
                <w:b/>
                <w:sz w:val="22"/>
                <w:szCs w:val="22"/>
              </w:rPr>
            </w:pPr>
          </w:p>
          <w:p w14:paraId="43B574A0" w14:textId="77777777" w:rsidR="002330C0" w:rsidRDefault="002330C0" w:rsidP="003B09D0">
            <w:pPr>
              <w:jc w:val="both"/>
              <w:rPr>
                <w:rFonts w:ascii="Arial" w:eastAsia="Arial" w:hAnsi="Arial" w:cs="Arial"/>
                <w:b/>
                <w:sz w:val="22"/>
                <w:szCs w:val="22"/>
              </w:rPr>
            </w:pPr>
          </w:p>
          <w:p w14:paraId="1BAD08A5" w14:textId="77777777" w:rsidR="002330C0" w:rsidRDefault="002330C0" w:rsidP="003B09D0">
            <w:pPr>
              <w:jc w:val="both"/>
              <w:rPr>
                <w:rFonts w:ascii="Arial" w:eastAsia="Arial" w:hAnsi="Arial" w:cs="Arial"/>
                <w:b/>
                <w:sz w:val="22"/>
                <w:szCs w:val="22"/>
              </w:rPr>
            </w:pPr>
          </w:p>
          <w:p w14:paraId="1708B231" w14:textId="2347FC76" w:rsidR="002330C0" w:rsidRPr="005833FF" w:rsidRDefault="002330C0" w:rsidP="003B09D0">
            <w:pPr>
              <w:jc w:val="both"/>
              <w:rPr>
                <w:rFonts w:ascii="Arial" w:eastAsia="Arial" w:hAnsi="Arial" w:cs="Arial"/>
                <w:sz w:val="22"/>
                <w:szCs w:val="22"/>
              </w:rPr>
            </w:pPr>
          </w:p>
        </w:tc>
        <w:tc>
          <w:tcPr>
            <w:tcW w:w="5368" w:type="dxa"/>
          </w:tcPr>
          <w:p w14:paraId="09676A58" w14:textId="77777777"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sz w:val="22"/>
                <w:szCs w:val="22"/>
              </w:rPr>
              <w:t>Instituto Estatal Electoral.</w:t>
            </w:r>
          </w:p>
          <w:p w14:paraId="1E802302" w14:textId="77777777" w:rsidR="003D176B" w:rsidRPr="005833FF" w:rsidRDefault="003D176B" w:rsidP="003B09D0">
            <w:pPr>
              <w:ind w:right="178"/>
              <w:jc w:val="both"/>
              <w:rPr>
                <w:rFonts w:ascii="Arial" w:eastAsia="Arial" w:hAnsi="Arial" w:cs="Arial"/>
                <w:sz w:val="22"/>
                <w:szCs w:val="22"/>
              </w:rPr>
            </w:pPr>
          </w:p>
          <w:p w14:paraId="34CBC990" w14:textId="25783569" w:rsidR="003D176B" w:rsidRPr="005833FF" w:rsidRDefault="003D176B" w:rsidP="003D176B">
            <w:pPr>
              <w:ind w:right="178"/>
              <w:jc w:val="both"/>
              <w:rPr>
                <w:rFonts w:ascii="Arial" w:eastAsia="Arial" w:hAnsi="Arial" w:cs="Arial"/>
                <w:sz w:val="22"/>
                <w:szCs w:val="22"/>
              </w:rPr>
            </w:pPr>
            <w:r w:rsidRPr="005833FF">
              <w:rPr>
                <w:rFonts w:ascii="Arial" w:eastAsia="Arial" w:hAnsi="Arial" w:cs="Arial"/>
                <w:sz w:val="22"/>
                <w:szCs w:val="22"/>
              </w:rPr>
              <w:t xml:space="preserve">Secretario Ejecutivo del Consejo General del Instituto Estatal Electoral. </w:t>
            </w:r>
          </w:p>
          <w:p w14:paraId="0FA5D26B" w14:textId="6785FB1B" w:rsidR="003D176B" w:rsidRPr="005833FF" w:rsidRDefault="003D176B" w:rsidP="003D176B">
            <w:pPr>
              <w:ind w:right="178"/>
              <w:jc w:val="both"/>
              <w:rPr>
                <w:rFonts w:ascii="Arial" w:eastAsia="Arial" w:hAnsi="Arial" w:cs="Arial"/>
                <w:sz w:val="22"/>
                <w:szCs w:val="22"/>
              </w:rPr>
            </w:pPr>
          </w:p>
          <w:p w14:paraId="6CE43227" w14:textId="77777777" w:rsidR="003D176B" w:rsidRPr="005833FF" w:rsidRDefault="003D176B" w:rsidP="003D176B">
            <w:pPr>
              <w:ind w:right="36"/>
              <w:jc w:val="both"/>
              <w:rPr>
                <w:rFonts w:ascii="Arial" w:eastAsia="Arial" w:hAnsi="Arial" w:cs="Arial"/>
                <w:sz w:val="22"/>
                <w:szCs w:val="22"/>
              </w:rPr>
            </w:pPr>
            <w:r w:rsidRPr="005833FF">
              <w:rPr>
                <w:rFonts w:ascii="Arial" w:eastAsia="Arial" w:hAnsi="Arial" w:cs="Arial"/>
                <w:sz w:val="22"/>
                <w:szCs w:val="22"/>
              </w:rPr>
              <w:t>Tribunal Electoral del Estado de Aguascalientes.</w:t>
            </w:r>
          </w:p>
          <w:p w14:paraId="19FF2968" w14:textId="77777777" w:rsidR="003D176B" w:rsidRPr="005833FF" w:rsidRDefault="003D176B" w:rsidP="003D176B">
            <w:pPr>
              <w:ind w:right="178"/>
              <w:jc w:val="both"/>
              <w:rPr>
                <w:rFonts w:ascii="Arial" w:eastAsia="Arial" w:hAnsi="Arial" w:cs="Arial"/>
                <w:sz w:val="22"/>
                <w:szCs w:val="22"/>
              </w:rPr>
            </w:pPr>
          </w:p>
          <w:p w14:paraId="3D9AAFCC" w14:textId="7F3F880E" w:rsidR="003D176B" w:rsidRPr="005833FF" w:rsidRDefault="002330C0" w:rsidP="003B09D0">
            <w:pPr>
              <w:ind w:right="178"/>
              <w:jc w:val="both"/>
              <w:rPr>
                <w:rFonts w:ascii="Arial" w:eastAsia="Arial" w:hAnsi="Arial" w:cs="Arial"/>
                <w:sz w:val="22"/>
                <w:szCs w:val="22"/>
              </w:rPr>
            </w:pPr>
            <w:r>
              <w:rPr>
                <w:rFonts w:ascii="Arial" w:eastAsia="Arial" w:hAnsi="Arial" w:cs="Arial"/>
                <w:sz w:val="22"/>
                <w:szCs w:val="22"/>
              </w:rPr>
              <w:t>Ley General de Instituciones y Procedimientos Electorales.</w:t>
            </w:r>
          </w:p>
        </w:tc>
      </w:tr>
    </w:tbl>
    <w:p w14:paraId="71234784" w14:textId="169BCDA8" w:rsidR="003D56A4" w:rsidRPr="008114D0" w:rsidRDefault="00E306E7" w:rsidP="00361D36">
      <w:pPr>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    </w:t>
      </w:r>
      <w:r w:rsidR="00655FEF" w:rsidRPr="008114D0">
        <w:rPr>
          <w:rFonts w:ascii="Arial" w:eastAsia="Arial Nova" w:hAnsi="Arial" w:cs="Arial"/>
          <w:b/>
          <w:sz w:val="22"/>
          <w:szCs w:val="22"/>
        </w:rPr>
        <w:t xml:space="preserve">1. </w:t>
      </w:r>
      <w:r w:rsidR="003D56A4" w:rsidRPr="008114D0">
        <w:rPr>
          <w:rFonts w:ascii="Arial" w:eastAsia="Arial Nova" w:hAnsi="Arial" w:cs="Arial"/>
          <w:b/>
          <w:sz w:val="22"/>
          <w:szCs w:val="22"/>
        </w:rPr>
        <w:t>ANTECEDENTES</w:t>
      </w:r>
    </w:p>
    <w:p w14:paraId="69A5CC24" w14:textId="189583AE" w:rsidR="00CE340B" w:rsidRPr="008114D0"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92E72E8" w14:textId="77777777" w:rsidR="00CE340B" w:rsidRPr="008114D0" w:rsidRDefault="00CE340B" w:rsidP="00CE340B">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60C07FC2" w14:textId="53F21276" w:rsidR="009B77BD" w:rsidRPr="008114D0"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29F55760"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8114D0">
        <w:rPr>
          <w:rFonts w:ascii="Arial" w:eastAsia="Arial Nova" w:hAnsi="Arial" w:cs="Arial"/>
          <w:b/>
          <w:sz w:val="22"/>
          <w:szCs w:val="22"/>
        </w:rPr>
        <w:lastRenderedPageBreak/>
        <w:t>1.1.</w:t>
      </w:r>
      <w:r w:rsidR="00CF0B42" w:rsidRPr="008114D0">
        <w:rPr>
          <w:rFonts w:ascii="Arial" w:eastAsia="Arial Nova" w:hAnsi="Arial" w:cs="Arial"/>
          <w:b/>
          <w:sz w:val="22"/>
          <w:szCs w:val="22"/>
        </w:rPr>
        <w:t xml:space="preserve"> </w:t>
      </w:r>
      <w:r w:rsidR="002D69C6" w:rsidRPr="008114D0">
        <w:rPr>
          <w:rFonts w:ascii="Arial" w:eastAsia="Arial Nova" w:hAnsi="Arial" w:cs="Arial"/>
          <w:b/>
          <w:sz w:val="22"/>
          <w:szCs w:val="22"/>
        </w:rPr>
        <w:t xml:space="preserve">Proceso Electoral. </w:t>
      </w:r>
      <w:r w:rsidR="002D69C6" w:rsidRPr="008114D0">
        <w:rPr>
          <w:rFonts w:ascii="Arial" w:eastAsia="Arial Nova" w:hAnsi="Arial" w:cs="Arial"/>
          <w:bCs/>
          <w:sz w:val="22"/>
          <w:szCs w:val="22"/>
        </w:rPr>
        <w:t xml:space="preserve">El tres de noviembre de dos mil veinte, dio inicio el proceso electoral concurrente ordinario </w:t>
      </w:r>
      <w:r w:rsidR="00481A2B" w:rsidRPr="008114D0">
        <w:rPr>
          <w:rFonts w:ascii="Arial" w:eastAsia="Arial Nova" w:hAnsi="Arial" w:cs="Arial"/>
          <w:bCs/>
          <w:sz w:val="22"/>
          <w:szCs w:val="22"/>
        </w:rPr>
        <w:t xml:space="preserve">2020-2021 </w:t>
      </w:r>
      <w:r w:rsidR="002D69C6" w:rsidRPr="008114D0">
        <w:rPr>
          <w:rFonts w:ascii="Arial" w:eastAsia="Arial Nova" w:hAnsi="Arial" w:cs="Arial"/>
          <w:bCs/>
          <w:sz w:val="22"/>
          <w:szCs w:val="22"/>
        </w:rPr>
        <w:t>para la renovación de los Ayuntamientos y Diputaciones del Estado de Aguascalientes</w:t>
      </w:r>
      <w:r w:rsidR="003D56A4" w:rsidRPr="008114D0">
        <w:rPr>
          <w:rFonts w:ascii="Arial" w:eastAsia="Arial Nova" w:hAnsi="Arial" w:cs="Arial"/>
          <w:bCs/>
          <w:sz w:val="22"/>
          <w:szCs w:val="22"/>
        </w:rPr>
        <w:t>.</w:t>
      </w:r>
      <w:r w:rsidR="003D56A4" w:rsidRPr="008114D0">
        <w:rPr>
          <w:rFonts w:ascii="Arial" w:eastAsia="Arial Nova" w:hAnsi="Arial" w:cs="Arial"/>
          <w:b/>
          <w:sz w:val="22"/>
          <w:szCs w:val="22"/>
        </w:rPr>
        <w:t xml:space="preserve"> </w:t>
      </w:r>
    </w:p>
    <w:p w14:paraId="4425BFE3" w14:textId="7D82EE80" w:rsidR="00850AB1" w:rsidRDefault="009B7ED1"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 xml:space="preserve"> </w:t>
      </w:r>
    </w:p>
    <w:p w14:paraId="1C3D9E3E" w14:textId="0C3E6F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1.2. Presentación de la denuncia. </w:t>
      </w:r>
      <w:r w:rsidRPr="008114D0">
        <w:rPr>
          <w:rFonts w:ascii="Arial" w:eastAsia="Arial Nova" w:hAnsi="Arial" w:cs="Arial"/>
          <w:sz w:val="22"/>
          <w:szCs w:val="22"/>
        </w:rPr>
        <w:t xml:space="preserve">El </w:t>
      </w:r>
      <w:r>
        <w:rPr>
          <w:rFonts w:ascii="Arial" w:eastAsia="Arial Nova" w:hAnsi="Arial" w:cs="Arial"/>
          <w:sz w:val="22"/>
          <w:szCs w:val="22"/>
        </w:rPr>
        <w:t>veintiuno</w:t>
      </w:r>
      <w:r w:rsidRPr="008114D0">
        <w:rPr>
          <w:rFonts w:ascii="Arial" w:eastAsia="Arial Nova" w:hAnsi="Arial" w:cs="Arial"/>
          <w:sz w:val="22"/>
          <w:szCs w:val="22"/>
        </w:rPr>
        <w:t xml:space="preserve"> de mayo, </w:t>
      </w:r>
      <w:r>
        <w:rPr>
          <w:rFonts w:ascii="Arial" w:eastAsia="Arial Nova" w:hAnsi="Arial" w:cs="Arial"/>
          <w:sz w:val="22"/>
          <w:szCs w:val="22"/>
        </w:rPr>
        <w:t>el</w:t>
      </w:r>
      <w:r w:rsidRPr="008114D0">
        <w:rPr>
          <w:rFonts w:ascii="Arial" w:eastAsia="Arial Nova" w:hAnsi="Arial" w:cs="Arial"/>
          <w:sz w:val="22"/>
          <w:szCs w:val="22"/>
        </w:rPr>
        <w:t xml:space="preserve"> </w:t>
      </w:r>
      <w:r w:rsidRPr="008114D0">
        <w:rPr>
          <w:rFonts w:ascii="Arial" w:eastAsia="Arial Nova" w:hAnsi="Arial" w:cs="Arial"/>
          <w:bCs/>
          <w:sz w:val="22"/>
          <w:szCs w:val="22"/>
        </w:rPr>
        <w:t>denunciante,</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presentó un escrito de queja en contra de los denunciados, por la presunta comisión de conductas que se prohíben </w:t>
      </w:r>
      <w:r>
        <w:rPr>
          <w:rFonts w:ascii="Arial" w:eastAsia="Arial Nova" w:hAnsi="Arial" w:cs="Arial"/>
          <w:sz w:val="22"/>
          <w:szCs w:val="22"/>
        </w:rPr>
        <w:t>por la legislación electoral, tal y como se establece en el artículo 157 fracción II del Código Electoral.</w:t>
      </w:r>
    </w:p>
    <w:p w14:paraId="02EC6C2C"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2FE7793" w14:textId="6562E5CB"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1.3. Radicación y diligencias. </w:t>
      </w:r>
      <w:r w:rsidRPr="008114D0">
        <w:rPr>
          <w:rFonts w:ascii="Arial" w:eastAsia="Arial Nova" w:hAnsi="Arial" w:cs="Arial"/>
          <w:sz w:val="22"/>
          <w:szCs w:val="22"/>
        </w:rPr>
        <w:t xml:space="preserve">El </w:t>
      </w:r>
      <w:r>
        <w:rPr>
          <w:rFonts w:ascii="Arial" w:eastAsia="Arial Nova" w:hAnsi="Arial" w:cs="Arial"/>
          <w:sz w:val="22"/>
          <w:szCs w:val="22"/>
        </w:rPr>
        <w:t>veintitrés</w:t>
      </w:r>
      <w:r w:rsidRPr="008114D0">
        <w:rPr>
          <w:rFonts w:ascii="Arial" w:eastAsia="Arial Nova" w:hAnsi="Arial" w:cs="Arial"/>
          <w:sz w:val="22"/>
          <w:szCs w:val="22"/>
        </w:rPr>
        <w:t xml:space="preserve"> de mayo, el Secretario Ejecutivo radicó la denuncia de mérito bajo la vía del </w:t>
      </w:r>
      <w:r w:rsidR="008155D6">
        <w:rPr>
          <w:rFonts w:ascii="Arial" w:eastAsia="Arial Nova" w:hAnsi="Arial" w:cs="Arial"/>
          <w:sz w:val="22"/>
          <w:szCs w:val="22"/>
        </w:rPr>
        <w:t>P</w:t>
      </w:r>
      <w:r w:rsidRPr="008114D0">
        <w:rPr>
          <w:rFonts w:ascii="Arial" w:eastAsia="Arial Nova" w:hAnsi="Arial" w:cs="Arial"/>
          <w:sz w:val="22"/>
          <w:szCs w:val="22"/>
        </w:rPr>
        <w:t xml:space="preserve">rocedimiento </w:t>
      </w:r>
      <w:r w:rsidR="008155D6">
        <w:rPr>
          <w:rFonts w:ascii="Arial" w:eastAsia="Arial Nova" w:hAnsi="Arial" w:cs="Arial"/>
          <w:sz w:val="22"/>
          <w:szCs w:val="22"/>
        </w:rPr>
        <w:t>E</w:t>
      </w:r>
      <w:r w:rsidRPr="008114D0">
        <w:rPr>
          <w:rFonts w:ascii="Arial" w:eastAsia="Arial Nova" w:hAnsi="Arial" w:cs="Arial"/>
          <w:sz w:val="22"/>
          <w:szCs w:val="22"/>
        </w:rPr>
        <w:t xml:space="preserve">special </w:t>
      </w:r>
      <w:r w:rsidR="008155D6">
        <w:rPr>
          <w:rFonts w:ascii="Arial" w:eastAsia="Arial Nova" w:hAnsi="Arial" w:cs="Arial"/>
          <w:sz w:val="22"/>
          <w:szCs w:val="22"/>
        </w:rPr>
        <w:t>S</w:t>
      </w:r>
      <w:r w:rsidRPr="008114D0">
        <w:rPr>
          <w:rFonts w:ascii="Arial" w:eastAsia="Arial Nova" w:hAnsi="Arial" w:cs="Arial"/>
          <w:sz w:val="22"/>
          <w:szCs w:val="22"/>
        </w:rPr>
        <w:t xml:space="preserve">ancionador </w:t>
      </w:r>
      <w:r w:rsidR="008155D6">
        <w:rPr>
          <w:rFonts w:ascii="Arial" w:eastAsia="Arial Nova" w:hAnsi="Arial" w:cs="Arial"/>
          <w:sz w:val="22"/>
          <w:szCs w:val="22"/>
        </w:rPr>
        <w:t>con la clave</w:t>
      </w:r>
      <w:r w:rsidRPr="008114D0">
        <w:rPr>
          <w:rFonts w:ascii="Arial" w:eastAsia="Arial Nova" w:hAnsi="Arial" w:cs="Arial"/>
          <w:sz w:val="22"/>
          <w:szCs w:val="22"/>
        </w:rPr>
        <w:t xml:space="preserve"> IEE/</w:t>
      </w:r>
      <w:r>
        <w:rPr>
          <w:rFonts w:ascii="Arial" w:eastAsia="Arial Nova" w:hAnsi="Arial" w:cs="Arial"/>
          <w:sz w:val="22"/>
          <w:szCs w:val="22"/>
        </w:rPr>
        <w:t>CD-XI/</w:t>
      </w:r>
      <w:r w:rsidRPr="008114D0">
        <w:rPr>
          <w:rFonts w:ascii="Arial" w:eastAsia="Arial Nova" w:hAnsi="Arial" w:cs="Arial"/>
          <w:sz w:val="22"/>
          <w:szCs w:val="22"/>
        </w:rPr>
        <w:t>PES/0</w:t>
      </w:r>
      <w:r>
        <w:rPr>
          <w:rFonts w:ascii="Arial" w:eastAsia="Arial Nova" w:hAnsi="Arial" w:cs="Arial"/>
          <w:sz w:val="22"/>
          <w:szCs w:val="22"/>
        </w:rPr>
        <w:t>02</w:t>
      </w:r>
      <w:r w:rsidRPr="008114D0">
        <w:rPr>
          <w:rFonts w:ascii="Arial" w:eastAsia="Arial Nova" w:hAnsi="Arial" w:cs="Arial"/>
          <w:sz w:val="22"/>
          <w:szCs w:val="22"/>
        </w:rPr>
        <w:t>/2021; además, ordenó</w:t>
      </w:r>
      <w:r w:rsidR="008155D6">
        <w:rPr>
          <w:rFonts w:ascii="Arial" w:eastAsia="Arial Nova" w:hAnsi="Arial" w:cs="Arial"/>
          <w:sz w:val="22"/>
          <w:szCs w:val="22"/>
        </w:rPr>
        <w:t>:</w:t>
      </w:r>
      <w:r w:rsidRPr="008114D0">
        <w:rPr>
          <w:rFonts w:ascii="Arial" w:eastAsia="Arial Nova" w:hAnsi="Arial" w:cs="Arial"/>
          <w:sz w:val="22"/>
          <w:szCs w:val="22"/>
        </w:rPr>
        <w:t xml:space="preserve"> </w:t>
      </w:r>
      <w:r w:rsidRPr="002011BB">
        <w:rPr>
          <w:rFonts w:ascii="Arial" w:eastAsia="Arial Nova" w:hAnsi="Arial" w:cs="Arial"/>
          <w:b/>
          <w:bCs/>
          <w:sz w:val="22"/>
          <w:szCs w:val="22"/>
        </w:rPr>
        <w:t>a)</w:t>
      </w:r>
      <w:r>
        <w:rPr>
          <w:rFonts w:ascii="Arial" w:eastAsia="Arial Nova" w:hAnsi="Arial" w:cs="Arial"/>
          <w:sz w:val="22"/>
          <w:szCs w:val="22"/>
        </w:rPr>
        <w:t xml:space="preserve"> </w:t>
      </w:r>
      <w:r w:rsidRPr="008114D0">
        <w:rPr>
          <w:rFonts w:ascii="Arial" w:eastAsia="Arial Nova" w:hAnsi="Arial" w:cs="Arial"/>
          <w:sz w:val="22"/>
          <w:szCs w:val="22"/>
        </w:rPr>
        <w:t xml:space="preserve">certificar la existencia y contenido </w:t>
      </w:r>
      <w:r>
        <w:rPr>
          <w:rFonts w:ascii="Arial" w:eastAsia="Arial Nova" w:hAnsi="Arial" w:cs="Arial"/>
          <w:sz w:val="22"/>
          <w:szCs w:val="22"/>
        </w:rPr>
        <w:t>del espectacular denunciado</w:t>
      </w:r>
      <w:r w:rsidR="008155D6">
        <w:rPr>
          <w:rFonts w:ascii="Arial" w:eastAsia="Arial Nova" w:hAnsi="Arial" w:cs="Arial"/>
          <w:sz w:val="22"/>
          <w:szCs w:val="22"/>
        </w:rPr>
        <w:t>;</w:t>
      </w:r>
      <w:r>
        <w:rPr>
          <w:rFonts w:ascii="Arial" w:eastAsia="Arial Nova" w:hAnsi="Arial" w:cs="Arial"/>
          <w:sz w:val="22"/>
          <w:szCs w:val="22"/>
        </w:rPr>
        <w:t xml:space="preserve"> y, </w:t>
      </w:r>
      <w:r w:rsidRPr="008155D6">
        <w:rPr>
          <w:rFonts w:ascii="Arial" w:eastAsia="Arial Nova" w:hAnsi="Arial" w:cs="Arial"/>
          <w:b/>
          <w:bCs/>
          <w:sz w:val="22"/>
          <w:szCs w:val="22"/>
        </w:rPr>
        <w:t>b)</w:t>
      </w:r>
      <w:r>
        <w:rPr>
          <w:rFonts w:ascii="Arial" w:eastAsia="Arial Nova" w:hAnsi="Arial" w:cs="Arial"/>
          <w:sz w:val="22"/>
          <w:szCs w:val="22"/>
        </w:rPr>
        <w:t xml:space="preserve"> requerir a la Unidad </w:t>
      </w:r>
      <w:r w:rsidR="008155D6">
        <w:rPr>
          <w:rFonts w:ascii="Arial" w:eastAsia="Arial Nova" w:hAnsi="Arial" w:cs="Arial"/>
          <w:sz w:val="22"/>
          <w:szCs w:val="22"/>
        </w:rPr>
        <w:t>Técnica</w:t>
      </w:r>
      <w:r>
        <w:rPr>
          <w:rFonts w:ascii="Arial" w:eastAsia="Arial Nova" w:hAnsi="Arial" w:cs="Arial"/>
          <w:sz w:val="22"/>
          <w:szCs w:val="22"/>
        </w:rPr>
        <w:t xml:space="preserve"> de </w:t>
      </w:r>
      <w:r w:rsidR="008155D6">
        <w:rPr>
          <w:rFonts w:ascii="Arial" w:eastAsia="Arial Nova" w:hAnsi="Arial" w:cs="Arial"/>
          <w:sz w:val="22"/>
          <w:szCs w:val="22"/>
        </w:rPr>
        <w:t>Fiscalización</w:t>
      </w:r>
      <w:r>
        <w:rPr>
          <w:rFonts w:ascii="Arial" w:eastAsia="Arial Nova" w:hAnsi="Arial" w:cs="Arial"/>
          <w:sz w:val="22"/>
          <w:szCs w:val="22"/>
        </w:rPr>
        <w:t xml:space="preserve"> del INE</w:t>
      </w:r>
      <w:r w:rsidR="008155D6">
        <w:rPr>
          <w:rFonts w:ascii="Arial" w:eastAsia="Arial Nova" w:hAnsi="Arial" w:cs="Arial"/>
          <w:sz w:val="22"/>
          <w:szCs w:val="22"/>
        </w:rPr>
        <w:t xml:space="preserve"> diversa información.</w:t>
      </w:r>
    </w:p>
    <w:p w14:paraId="373E26F6"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6696CB4" w14:textId="030E089E"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 xml:space="preserve">1.4. Oficialía Electoral. </w:t>
      </w:r>
      <w:r w:rsidRPr="008114D0">
        <w:rPr>
          <w:rFonts w:ascii="Arial" w:eastAsia="Arial Nova" w:hAnsi="Arial" w:cs="Arial"/>
          <w:bCs/>
          <w:sz w:val="22"/>
          <w:szCs w:val="22"/>
        </w:rPr>
        <w:t xml:space="preserve">El </w:t>
      </w:r>
      <w:r w:rsidR="008155D6">
        <w:rPr>
          <w:rFonts w:ascii="Arial" w:eastAsia="Arial Nova" w:hAnsi="Arial" w:cs="Arial"/>
          <w:bCs/>
          <w:sz w:val="22"/>
          <w:szCs w:val="22"/>
        </w:rPr>
        <w:t>veinticinco</w:t>
      </w:r>
      <w:r w:rsidRPr="008114D0">
        <w:rPr>
          <w:rFonts w:ascii="Arial" w:eastAsia="Arial Nova" w:hAnsi="Arial" w:cs="Arial"/>
          <w:bCs/>
          <w:sz w:val="22"/>
          <w:szCs w:val="22"/>
        </w:rPr>
        <w:t xml:space="preserve"> de mayo,</w:t>
      </w:r>
      <w:r w:rsidRPr="008114D0">
        <w:rPr>
          <w:rFonts w:ascii="Arial" w:eastAsia="Arial Nova" w:hAnsi="Arial" w:cs="Arial"/>
          <w:b/>
          <w:sz w:val="22"/>
          <w:szCs w:val="22"/>
        </w:rPr>
        <w:t xml:space="preserve"> </w:t>
      </w:r>
      <w:r w:rsidR="008155D6">
        <w:rPr>
          <w:rFonts w:ascii="Arial" w:eastAsia="Arial Nova" w:hAnsi="Arial" w:cs="Arial"/>
          <w:bCs/>
          <w:sz w:val="22"/>
          <w:szCs w:val="22"/>
        </w:rPr>
        <w:t>el Secretario Técnico del XI Consejo Distrital Electoral del IEE</w:t>
      </w:r>
      <w:r w:rsidRPr="008114D0">
        <w:rPr>
          <w:rFonts w:ascii="Arial" w:eastAsia="Arial Nova" w:hAnsi="Arial" w:cs="Arial"/>
          <w:bCs/>
          <w:sz w:val="22"/>
          <w:szCs w:val="22"/>
        </w:rPr>
        <w:t>, certificó el contenido</w:t>
      </w:r>
      <w:r w:rsidR="008155D6">
        <w:rPr>
          <w:rFonts w:ascii="Arial" w:eastAsia="Arial Nova" w:hAnsi="Arial" w:cs="Arial"/>
          <w:bCs/>
          <w:sz w:val="22"/>
          <w:szCs w:val="22"/>
        </w:rPr>
        <w:t xml:space="preserve"> y existencia</w:t>
      </w:r>
      <w:r w:rsidRPr="008114D0">
        <w:rPr>
          <w:rFonts w:ascii="Arial" w:eastAsia="Arial Nova" w:hAnsi="Arial" w:cs="Arial"/>
          <w:bCs/>
          <w:sz w:val="22"/>
          <w:szCs w:val="22"/>
        </w:rPr>
        <w:t xml:space="preserve"> </w:t>
      </w:r>
      <w:r w:rsidR="008155D6">
        <w:rPr>
          <w:rFonts w:ascii="Arial" w:eastAsia="Arial Nova" w:hAnsi="Arial" w:cs="Arial"/>
          <w:bCs/>
          <w:sz w:val="22"/>
          <w:szCs w:val="22"/>
        </w:rPr>
        <w:t xml:space="preserve">del espectacular </w:t>
      </w:r>
      <w:r w:rsidRPr="008114D0">
        <w:rPr>
          <w:rFonts w:ascii="Arial" w:eastAsia="Arial Nova" w:hAnsi="Arial" w:cs="Arial"/>
          <w:bCs/>
          <w:sz w:val="22"/>
          <w:szCs w:val="22"/>
        </w:rPr>
        <w:t>objeto de la denuncia, mediante el acta de diligencia de clave IEE/OE/1</w:t>
      </w:r>
      <w:r w:rsidR="008155D6">
        <w:rPr>
          <w:rFonts w:ascii="Arial" w:eastAsia="Arial Nova" w:hAnsi="Arial" w:cs="Arial"/>
          <w:bCs/>
          <w:sz w:val="22"/>
          <w:szCs w:val="22"/>
        </w:rPr>
        <w:t>91</w:t>
      </w:r>
      <w:r w:rsidRPr="008114D0">
        <w:rPr>
          <w:rFonts w:ascii="Arial" w:eastAsia="Arial Nova" w:hAnsi="Arial" w:cs="Arial"/>
          <w:bCs/>
          <w:sz w:val="22"/>
          <w:szCs w:val="22"/>
        </w:rPr>
        <w:t>/2021.</w:t>
      </w:r>
    </w:p>
    <w:p w14:paraId="4C6D3AB6" w14:textId="1572437F" w:rsidR="008155D6" w:rsidRDefault="008155D6" w:rsidP="002011BB">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5EA58F35" w14:textId="13A75136" w:rsidR="008155D6" w:rsidRDefault="008155D6" w:rsidP="008155D6">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1.</w:t>
      </w:r>
      <w:r>
        <w:rPr>
          <w:rFonts w:ascii="Arial" w:eastAsia="Arial Nova" w:hAnsi="Arial" w:cs="Arial"/>
          <w:b/>
          <w:sz w:val="22"/>
          <w:szCs w:val="22"/>
        </w:rPr>
        <w:t>5</w:t>
      </w:r>
      <w:r w:rsidRPr="008114D0">
        <w:rPr>
          <w:rFonts w:ascii="Arial" w:eastAsia="Arial Nova" w:hAnsi="Arial" w:cs="Arial"/>
          <w:b/>
          <w:sz w:val="22"/>
          <w:szCs w:val="22"/>
        </w:rPr>
        <w:t xml:space="preserve">. </w:t>
      </w:r>
      <w:r>
        <w:rPr>
          <w:rFonts w:ascii="Arial" w:eastAsia="Arial Nova" w:hAnsi="Arial" w:cs="Arial"/>
          <w:b/>
          <w:sz w:val="22"/>
          <w:szCs w:val="22"/>
        </w:rPr>
        <w:t>Respuesta del INE</w:t>
      </w:r>
      <w:r w:rsidRPr="008114D0">
        <w:rPr>
          <w:rFonts w:ascii="Arial" w:eastAsia="Arial Nova" w:hAnsi="Arial" w:cs="Arial"/>
          <w:b/>
          <w:sz w:val="22"/>
          <w:szCs w:val="22"/>
        </w:rPr>
        <w:t xml:space="preserve">. </w:t>
      </w:r>
      <w:r w:rsidRPr="008114D0">
        <w:rPr>
          <w:rFonts w:ascii="Arial" w:eastAsia="Arial Nova" w:hAnsi="Arial" w:cs="Arial"/>
          <w:bCs/>
          <w:sz w:val="22"/>
          <w:szCs w:val="22"/>
        </w:rPr>
        <w:t xml:space="preserve">El </w:t>
      </w:r>
      <w:r>
        <w:rPr>
          <w:rFonts w:ascii="Arial" w:eastAsia="Arial Nova" w:hAnsi="Arial" w:cs="Arial"/>
          <w:bCs/>
          <w:sz w:val="22"/>
          <w:szCs w:val="22"/>
        </w:rPr>
        <w:t>veintiocho</w:t>
      </w:r>
      <w:r w:rsidRPr="008114D0">
        <w:rPr>
          <w:rFonts w:ascii="Arial" w:eastAsia="Arial Nova" w:hAnsi="Arial" w:cs="Arial"/>
          <w:bCs/>
          <w:sz w:val="22"/>
          <w:szCs w:val="22"/>
        </w:rPr>
        <w:t xml:space="preserve"> de mayo,</w:t>
      </w:r>
      <w:r w:rsidRPr="008114D0">
        <w:rPr>
          <w:rFonts w:ascii="Arial" w:eastAsia="Arial Nova" w:hAnsi="Arial" w:cs="Arial"/>
          <w:b/>
          <w:sz w:val="22"/>
          <w:szCs w:val="22"/>
        </w:rPr>
        <w:t xml:space="preserve"> </w:t>
      </w:r>
      <w:r>
        <w:rPr>
          <w:rFonts w:ascii="Arial" w:eastAsia="Arial Nova" w:hAnsi="Arial" w:cs="Arial"/>
          <w:bCs/>
          <w:sz w:val="22"/>
          <w:szCs w:val="22"/>
        </w:rPr>
        <w:t>la titular de la Unidad Técnica de Fiscalización del INE, atendió el requerimiento del IEE efectuado mediante las diligencias para mejor proveer especificadas en el punto 1.3.</w:t>
      </w:r>
    </w:p>
    <w:p w14:paraId="14E33C84" w14:textId="6C955AC2" w:rsidR="008155D6" w:rsidRDefault="008155D6" w:rsidP="008155D6">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06DF8DF1" w14:textId="5FCBEBC6" w:rsidR="008155D6" w:rsidRPr="008114D0" w:rsidRDefault="008155D6" w:rsidP="008155D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1.6. Medidas cautelares.</w:t>
      </w:r>
      <w:r w:rsidRPr="008114D0">
        <w:rPr>
          <w:rFonts w:ascii="Arial" w:eastAsia="Arial Nova" w:hAnsi="Arial" w:cs="Arial"/>
          <w:sz w:val="22"/>
          <w:szCs w:val="22"/>
        </w:rPr>
        <w:t xml:space="preserve"> El </w:t>
      </w:r>
      <w:r>
        <w:rPr>
          <w:rFonts w:ascii="Arial" w:eastAsia="Arial Nova" w:hAnsi="Arial" w:cs="Arial"/>
          <w:sz w:val="22"/>
          <w:szCs w:val="22"/>
        </w:rPr>
        <w:t>veintinueve</w:t>
      </w:r>
      <w:r w:rsidRPr="008114D0">
        <w:rPr>
          <w:rFonts w:ascii="Arial" w:eastAsia="Arial Nova" w:hAnsi="Arial" w:cs="Arial"/>
          <w:sz w:val="22"/>
          <w:szCs w:val="22"/>
        </w:rPr>
        <w:t xml:space="preserve"> de mayo, el Secretario Ejecutivo </w:t>
      </w:r>
      <w:r w:rsidRPr="008114D0">
        <w:rPr>
          <w:rFonts w:ascii="Arial" w:eastAsia="Arial Nova" w:hAnsi="Arial" w:cs="Arial"/>
          <w:bCs/>
          <w:sz w:val="22"/>
          <w:szCs w:val="22"/>
        </w:rPr>
        <w:t>concluyó no proponer la adopción de medidas cautelares.</w:t>
      </w:r>
      <w:r w:rsidRPr="008114D0">
        <w:rPr>
          <w:rFonts w:ascii="Arial" w:eastAsia="Arial Nova" w:hAnsi="Arial" w:cs="Arial"/>
          <w:sz w:val="22"/>
          <w:szCs w:val="22"/>
        </w:rPr>
        <w:t xml:space="preserve"> Cabe precisar que la determinación tomada en el acuerdo referido, no fue controvertida conforme a lo establecido en el artículo 353,</w:t>
      </w:r>
      <w:r w:rsidRPr="008114D0">
        <w:rPr>
          <w:rFonts w:ascii="Arial" w:eastAsia="Arial Nova" w:hAnsi="Arial" w:cs="Arial"/>
          <w:sz w:val="22"/>
          <w:szCs w:val="22"/>
          <w:vertAlign w:val="superscript"/>
        </w:rPr>
        <w:footnoteReference w:id="1"/>
      </w:r>
      <w:r w:rsidRPr="008114D0">
        <w:rPr>
          <w:rFonts w:ascii="Arial" w:eastAsia="Arial Nova" w:hAnsi="Arial" w:cs="Arial"/>
          <w:sz w:val="22"/>
          <w:szCs w:val="22"/>
        </w:rPr>
        <w:t xml:space="preserve"> párrafo segundo del Código Electoral.</w:t>
      </w:r>
    </w:p>
    <w:p w14:paraId="757C1E36"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5A0023E" w14:textId="0C24AA50"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8155D6">
        <w:rPr>
          <w:rFonts w:ascii="Arial" w:eastAsia="Arial Nova" w:hAnsi="Arial" w:cs="Arial"/>
          <w:b/>
          <w:sz w:val="22"/>
          <w:szCs w:val="22"/>
        </w:rPr>
        <w:t>7</w:t>
      </w:r>
      <w:r w:rsidRPr="008114D0">
        <w:rPr>
          <w:rFonts w:ascii="Arial" w:eastAsia="Arial Nova" w:hAnsi="Arial" w:cs="Arial"/>
          <w:b/>
          <w:sz w:val="22"/>
          <w:szCs w:val="22"/>
        </w:rPr>
        <w:t xml:space="preserve">. Admisión y emplazamiento. </w:t>
      </w:r>
      <w:r w:rsidRPr="008114D0">
        <w:rPr>
          <w:rFonts w:ascii="Arial" w:eastAsia="Arial Nova" w:hAnsi="Arial" w:cs="Arial"/>
          <w:bCs/>
          <w:sz w:val="22"/>
          <w:szCs w:val="22"/>
        </w:rPr>
        <w:t xml:space="preserve">El </w:t>
      </w:r>
      <w:r w:rsidR="008155D6">
        <w:rPr>
          <w:rFonts w:ascii="Arial" w:eastAsia="Arial Nova" w:hAnsi="Arial" w:cs="Arial"/>
          <w:bCs/>
          <w:sz w:val="22"/>
          <w:szCs w:val="22"/>
        </w:rPr>
        <w:t>veintinueve</w:t>
      </w:r>
      <w:r w:rsidRPr="008114D0">
        <w:rPr>
          <w:rFonts w:ascii="Arial" w:eastAsia="Arial Nova" w:hAnsi="Arial" w:cs="Arial"/>
          <w:bCs/>
          <w:sz w:val="22"/>
          <w:szCs w:val="22"/>
        </w:rPr>
        <w:t xml:space="preserve"> de mayo, el</w:t>
      </w:r>
      <w:r w:rsidRPr="008114D0">
        <w:rPr>
          <w:rFonts w:ascii="Arial" w:eastAsia="Arial Nova" w:hAnsi="Arial" w:cs="Arial"/>
          <w:sz w:val="22"/>
          <w:szCs w:val="22"/>
        </w:rPr>
        <w:t xml:space="preserve"> Secretario Ejecutivo procedió a determinar la admisión de la denuncia por </w:t>
      </w:r>
      <w:r w:rsidR="008155D6">
        <w:rPr>
          <w:rFonts w:ascii="Arial" w:eastAsia="Arial Nova" w:hAnsi="Arial" w:cs="Arial"/>
          <w:sz w:val="22"/>
          <w:szCs w:val="22"/>
        </w:rPr>
        <w:t>“</w:t>
      </w:r>
      <w:r w:rsidR="008155D6" w:rsidRPr="008155D6">
        <w:rPr>
          <w:rFonts w:ascii="Arial" w:eastAsia="Arial Nova" w:hAnsi="Arial" w:cs="Arial"/>
          <w:i/>
          <w:iCs/>
          <w:sz w:val="22"/>
          <w:szCs w:val="22"/>
        </w:rPr>
        <w:t>incurrir en las conductas que se prohíben por la Legislación Electoral… ya que un anuncio espectacular, fue colocado fuera del distrito local, es decir fuera del ámbito territorial</w:t>
      </w:r>
      <w:r w:rsidRPr="008114D0">
        <w:rPr>
          <w:rFonts w:ascii="Arial" w:eastAsia="Arial Nova" w:hAnsi="Arial" w:cs="Arial"/>
          <w:sz w:val="22"/>
          <w:szCs w:val="22"/>
        </w:rPr>
        <w:t>”, además se señaló fecha</w:t>
      </w:r>
      <w:r w:rsidRPr="008114D0">
        <w:rPr>
          <w:rStyle w:val="Refdenotaalpie"/>
          <w:rFonts w:ascii="Arial" w:eastAsia="Arial Nova" w:hAnsi="Arial" w:cs="Arial"/>
          <w:sz w:val="22"/>
          <w:szCs w:val="22"/>
        </w:rPr>
        <w:footnoteReference w:id="2"/>
      </w:r>
      <w:r w:rsidRPr="008114D0">
        <w:rPr>
          <w:rFonts w:ascii="Arial" w:eastAsia="Arial Nova" w:hAnsi="Arial" w:cs="Arial"/>
          <w:sz w:val="22"/>
          <w:szCs w:val="22"/>
        </w:rPr>
        <w:t xml:space="preserve"> para la celebración de la Audiencia de Pruebas y Alegatos.</w:t>
      </w:r>
    </w:p>
    <w:p w14:paraId="0BD29073"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7FC4865" w14:textId="09B05D03" w:rsidR="002011BB" w:rsidRDefault="002011BB" w:rsidP="002011BB">
      <w:pPr>
        <w:spacing w:line="360" w:lineRule="auto"/>
        <w:jc w:val="both"/>
        <w:rPr>
          <w:rFonts w:ascii="Arial" w:hAnsi="Arial" w:cs="Arial"/>
          <w:bCs/>
          <w:sz w:val="22"/>
          <w:szCs w:val="22"/>
        </w:rPr>
      </w:pPr>
      <w:r w:rsidRPr="008114D0">
        <w:rPr>
          <w:rFonts w:ascii="Arial" w:eastAsia="Arial Nova" w:hAnsi="Arial" w:cs="Arial"/>
          <w:b/>
          <w:sz w:val="22"/>
          <w:szCs w:val="22"/>
        </w:rPr>
        <w:t>1.</w:t>
      </w:r>
      <w:r w:rsidR="008155D6">
        <w:rPr>
          <w:rFonts w:ascii="Arial" w:eastAsia="Arial Nova" w:hAnsi="Arial" w:cs="Arial"/>
          <w:b/>
          <w:sz w:val="22"/>
          <w:szCs w:val="22"/>
        </w:rPr>
        <w:t>8</w:t>
      </w:r>
      <w:r w:rsidRPr="008114D0">
        <w:rPr>
          <w:rFonts w:ascii="Arial" w:eastAsia="Arial Nova" w:hAnsi="Arial" w:cs="Arial"/>
          <w:b/>
          <w:sz w:val="22"/>
          <w:szCs w:val="22"/>
        </w:rPr>
        <w:t xml:space="preserve">.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sidR="008155D6">
        <w:rPr>
          <w:rFonts w:ascii="Arial" w:hAnsi="Arial" w:cs="Arial"/>
          <w:bCs/>
          <w:sz w:val="22"/>
          <w:szCs w:val="22"/>
        </w:rPr>
        <w:t>cuatro de junio</w:t>
      </w:r>
      <w:r w:rsidRPr="008114D0">
        <w:rPr>
          <w:rFonts w:ascii="Arial" w:hAnsi="Arial" w:cs="Arial"/>
          <w:bCs/>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0BFDBCEF" w14:textId="6C11652A"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lastRenderedPageBreak/>
        <w:t xml:space="preserve">1.9. Turno del expediente. </w:t>
      </w:r>
      <w:r w:rsidRPr="008114D0">
        <w:rPr>
          <w:rFonts w:ascii="Arial" w:eastAsia="Arial Nova" w:hAnsi="Arial" w:cs="Arial"/>
          <w:sz w:val="22"/>
          <w:szCs w:val="22"/>
        </w:rPr>
        <w:t xml:space="preserve">El </w:t>
      </w:r>
      <w:r w:rsidR="00283ADE">
        <w:rPr>
          <w:rFonts w:ascii="Arial" w:eastAsia="Arial Nova" w:hAnsi="Arial" w:cs="Arial"/>
          <w:sz w:val="22"/>
          <w:szCs w:val="22"/>
        </w:rPr>
        <w:t>seis</w:t>
      </w:r>
      <w:r w:rsidRPr="008114D0">
        <w:rPr>
          <w:rFonts w:ascii="Arial" w:eastAsia="Arial Nova" w:hAnsi="Arial" w:cs="Arial"/>
          <w:sz w:val="22"/>
          <w:szCs w:val="22"/>
        </w:rPr>
        <w:t xml:space="preserve"> </w:t>
      </w:r>
      <w:r w:rsidR="00283ADE">
        <w:rPr>
          <w:rFonts w:ascii="Arial" w:eastAsia="Arial Nova" w:hAnsi="Arial" w:cs="Arial"/>
          <w:sz w:val="22"/>
          <w:szCs w:val="22"/>
        </w:rPr>
        <w:t>de junio</w:t>
      </w:r>
      <w:r w:rsidRPr="008114D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283ADE">
        <w:rPr>
          <w:rFonts w:ascii="Arial" w:eastAsia="Arial Nova" w:hAnsi="Arial" w:cs="Arial"/>
          <w:sz w:val="22"/>
          <w:szCs w:val="22"/>
        </w:rPr>
        <w:t>56</w:t>
      </w:r>
      <w:r w:rsidRPr="008114D0">
        <w:rPr>
          <w:rFonts w:ascii="Arial" w:eastAsia="Arial Nova" w:hAnsi="Arial" w:cs="Arial"/>
          <w:sz w:val="22"/>
          <w:szCs w:val="22"/>
        </w:rPr>
        <w:t>/2021 y se turnó a la Ponencia del Magistrado Héctor Salvador Hernández Gallegos.</w:t>
      </w:r>
    </w:p>
    <w:p w14:paraId="2045E296"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124C17" w14:textId="6A379ECC"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Pr>
          <w:rFonts w:ascii="Arial" w:eastAsia="Arial Nova" w:hAnsi="Arial" w:cs="Arial"/>
          <w:b/>
          <w:sz w:val="22"/>
          <w:szCs w:val="22"/>
        </w:rPr>
        <w:t>10</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472F6E">
        <w:rPr>
          <w:rFonts w:ascii="Arial" w:eastAsia="Arial Nova" w:hAnsi="Arial" w:cs="Arial"/>
          <w:bCs/>
          <w:sz w:val="22"/>
          <w:szCs w:val="22"/>
        </w:rPr>
        <w:t xml:space="preserve">.  El </w:t>
      </w:r>
      <w:r w:rsidR="00472F6E">
        <w:rPr>
          <w:rFonts w:ascii="Arial" w:eastAsia="Arial Nova" w:hAnsi="Arial" w:cs="Arial"/>
          <w:bCs/>
          <w:sz w:val="22"/>
          <w:szCs w:val="22"/>
        </w:rPr>
        <w:t>trece de junio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3CFDDFA7" w14:textId="77777777"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29C1B1C" w14:textId="77777777" w:rsidR="00655FEF" w:rsidRPr="005833F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3A1C4D0A" w14:textId="77777777" w:rsidR="00655FEF" w:rsidRPr="005833FF" w:rsidRDefault="00655FE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F0366C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08A148B"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A5FC279" w14:textId="77777777" w:rsidR="006312A8" w:rsidRPr="005833FF" w:rsidRDefault="006312A8" w:rsidP="006312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tiene relación con </w:t>
      </w:r>
      <w:r>
        <w:rPr>
          <w:rFonts w:ascii="Arial" w:eastAsia="Arial Nova" w:hAnsi="Arial" w:cs="Arial"/>
          <w:sz w:val="22"/>
          <w:szCs w:val="22"/>
        </w:rPr>
        <w:t xml:space="preserve">la </w:t>
      </w:r>
      <w:r w:rsidRPr="005833FF">
        <w:rPr>
          <w:rFonts w:ascii="Arial" w:eastAsia="Arial Nova" w:hAnsi="Arial" w:cs="Arial"/>
          <w:sz w:val="22"/>
          <w:szCs w:val="22"/>
        </w:rPr>
        <w:t xml:space="preserve">supuesta comisión de </w:t>
      </w:r>
      <w:r>
        <w:rPr>
          <w:rFonts w:ascii="Arial" w:eastAsia="Arial Nova" w:hAnsi="Arial" w:cs="Arial"/>
          <w:sz w:val="22"/>
          <w:szCs w:val="22"/>
        </w:rPr>
        <w:t>difusión de propaganda política utilizando imágenes de menores de edad, sin el consentimiento de quien ejerza la patria potestad sobre los mismos</w:t>
      </w:r>
    </w:p>
    <w:p w14:paraId="65A9A50E" w14:textId="77777777" w:rsidR="006B7F97" w:rsidRDefault="006B7F97"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87199D" w14:textId="29583AC0" w:rsidR="00097CA8" w:rsidRPr="005833FF"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00097CA8" w:rsidRPr="005833FF">
        <w:rPr>
          <w:rFonts w:ascii="Arial" w:eastAsia="Arial Nova" w:hAnsi="Arial" w:cs="Arial"/>
          <w:sz w:val="22"/>
          <w:szCs w:val="22"/>
        </w:rPr>
        <w:t>demás</w:t>
      </w:r>
      <w:r>
        <w:rPr>
          <w:rFonts w:ascii="Arial" w:eastAsia="Arial Nova" w:hAnsi="Arial" w:cs="Arial"/>
          <w:sz w:val="22"/>
          <w:szCs w:val="22"/>
        </w:rPr>
        <w:t xml:space="preserve">, lo </w:t>
      </w:r>
      <w:r w:rsidR="00126C07">
        <w:rPr>
          <w:rFonts w:ascii="Arial" w:eastAsia="Arial Nova" w:hAnsi="Arial" w:cs="Arial"/>
          <w:sz w:val="22"/>
          <w:szCs w:val="22"/>
        </w:rPr>
        <w:t>precisado</w:t>
      </w:r>
      <w:r w:rsidR="00126C07" w:rsidRPr="005833FF">
        <w:rPr>
          <w:rFonts w:ascii="Arial" w:eastAsia="Arial Nova" w:hAnsi="Arial" w:cs="Arial"/>
          <w:sz w:val="22"/>
          <w:szCs w:val="22"/>
        </w:rPr>
        <w:t xml:space="preserve"> encuentra</w:t>
      </w:r>
      <w:r w:rsidR="00097CA8" w:rsidRPr="005833FF">
        <w:rPr>
          <w:rFonts w:ascii="Arial" w:eastAsia="Arial Nova" w:hAnsi="Arial" w:cs="Arial"/>
          <w:sz w:val="22"/>
          <w:szCs w:val="22"/>
        </w:rPr>
        <w:t xml:space="preserve"> sustento en la Jurisprudencia 25/2015, de rubro: </w:t>
      </w:r>
      <w:r w:rsidR="00097CA8" w:rsidRPr="005833FF">
        <w:rPr>
          <w:rFonts w:ascii="Arial" w:eastAsia="Arial Nova" w:hAnsi="Arial" w:cs="Arial"/>
          <w:b/>
          <w:bCs/>
          <w:sz w:val="22"/>
          <w:szCs w:val="22"/>
        </w:rPr>
        <w:t>COMPETENCIA. SISTEMA DE DISTRIBUCIÓN PARA CONOCER, SUSTANCIAR Y RESOLVER PROCEDIMIENTOS SANCIONADORES.</w:t>
      </w:r>
    </w:p>
    <w:p w14:paraId="30EE8131"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5252BD" w14:textId="0F5B4650"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3"/>
      </w:r>
      <w:r w:rsidRPr="005833FF">
        <w:rPr>
          <w:rFonts w:ascii="Arial" w:eastAsia="Arial Nova" w:hAnsi="Arial" w:cs="Arial"/>
          <w:sz w:val="22"/>
          <w:szCs w:val="22"/>
        </w:rPr>
        <w:t xml:space="preserve">, ha sostenido que es válido concluir que la vía del </w:t>
      </w:r>
      <w:r w:rsidR="00472F6E">
        <w:rPr>
          <w:rFonts w:ascii="Arial" w:eastAsia="Arial Nova" w:hAnsi="Arial" w:cs="Arial"/>
          <w:sz w:val="22"/>
          <w:szCs w:val="22"/>
        </w:rPr>
        <w:t>P</w:t>
      </w:r>
      <w:r w:rsidRPr="005833FF">
        <w:rPr>
          <w:rFonts w:ascii="Arial" w:eastAsia="Arial Nova" w:hAnsi="Arial" w:cs="Arial"/>
          <w:sz w:val="22"/>
          <w:szCs w:val="22"/>
        </w:rPr>
        <w:t xml:space="preserve">rocedimiento </w:t>
      </w:r>
      <w:r w:rsidR="00472F6E">
        <w:rPr>
          <w:rFonts w:ascii="Arial" w:eastAsia="Arial Nova" w:hAnsi="Arial" w:cs="Arial"/>
          <w:sz w:val="22"/>
          <w:szCs w:val="22"/>
        </w:rPr>
        <w:t>E</w:t>
      </w:r>
      <w:r w:rsidRPr="005833FF">
        <w:rPr>
          <w:rFonts w:ascii="Arial" w:eastAsia="Arial Nova" w:hAnsi="Arial" w:cs="Arial"/>
          <w:sz w:val="22"/>
          <w:szCs w:val="22"/>
        </w:rPr>
        <w:t xml:space="preserve">special </w:t>
      </w:r>
      <w:r w:rsidR="00472F6E">
        <w:rPr>
          <w:rFonts w:ascii="Arial" w:eastAsia="Arial Nova" w:hAnsi="Arial" w:cs="Arial"/>
          <w:sz w:val="22"/>
          <w:szCs w:val="22"/>
        </w:rPr>
        <w:t>S</w:t>
      </w:r>
      <w:r w:rsidRPr="005833FF">
        <w:rPr>
          <w:rFonts w:ascii="Arial" w:eastAsia="Arial Nova" w:hAnsi="Arial" w:cs="Arial"/>
          <w:sz w:val="22"/>
          <w:szCs w:val="22"/>
        </w:rPr>
        <w:t>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9F774F" w14:textId="2B750762"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A8FD83" w14:textId="45126C4C"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2D2535"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00F481EC"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EB34B" w14:textId="7DE8457F" w:rsidR="00097CA8"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 xml:space="preserve">CÓMPUTO PARA EL EJERCICIO DE UN DERECHO O LA LIBERACIÓN DE UNA OBLIGACIÓN, </w:t>
      </w:r>
      <w:r w:rsidRPr="005833FF">
        <w:rPr>
          <w:rFonts w:ascii="Arial" w:eastAsia="Arial Nova" w:hAnsi="Arial" w:cs="Arial"/>
          <w:b/>
          <w:bCs/>
          <w:sz w:val="22"/>
          <w:szCs w:val="22"/>
        </w:rPr>
        <w:lastRenderedPageBreak/>
        <w:t>CUANDO SE TRATA DE ACTOS DE TRACTO SUCESIVO</w:t>
      </w:r>
      <w:r w:rsidRPr="005833FF">
        <w:rPr>
          <w:rFonts w:ascii="Arial" w:eastAsia="Arial Nova" w:hAnsi="Arial" w:cs="Arial"/>
          <w:sz w:val="22"/>
          <w:szCs w:val="22"/>
        </w:rPr>
        <w:t>. Por lo tanto, es oportuna la presentación de la denuncia.</w:t>
      </w:r>
    </w:p>
    <w:p w14:paraId="52BF02DC" w14:textId="77777777" w:rsidR="00472F6E" w:rsidRDefault="00472F6E"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6A910C4B" w:rsidR="003D56A4"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599181EB" w14:textId="77777777" w:rsidR="00BB7F8E" w:rsidRPr="005833FF" w:rsidRDefault="00BB7F8E"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EAF307" w14:textId="55273CC2"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53299EB"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8EB8E36" w14:textId="4709AF78" w:rsidR="003D56A4" w:rsidRPr="005833FF"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4FBB6434"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2FFF206" w14:textId="3D0C5273"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856718D" w14:textId="7FAF5667" w:rsidR="003D56A4" w:rsidRPr="005833FF" w:rsidRDefault="00EA481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674EF028"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F645B61" w14:textId="1BC455DB" w:rsidR="009B4CEE" w:rsidRDefault="003D56A4"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sidRPr="005833FF">
        <w:rPr>
          <w:rFonts w:ascii="Arial" w:hAnsi="Arial" w:cs="Arial"/>
          <w:bCs/>
          <w:sz w:val="22"/>
          <w:szCs w:val="22"/>
        </w:rPr>
        <w:t xml:space="preserve">Atendiendo a lo razonado anteriormente, los hechos denunciados en el presente asunto que se </w:t>
      </w:r>
      <w:r w:rsidRPr="006312A8">
        <w:rPr>
          <w:rFonts w:ascii="Arial" w:hAnsi="Arial" w:cs="Arial"/>
          <w:bCs/>
          <w:sz w:val="22"/>
          <w:szCs w:val="22"/>
        </w:rPr>
        <w:t>desprenden del escrito de queja, se hacen consistir sustancialmente en</w:t>
      </w:r>
      <w:r w:rsidR="00844BB8" w:rsidRPr="006312A8">
        <w:rPr>
          <w:rFonts w:ascii="Arial" w:hAnsi="Arial" w:cs="Arial"/>
          <w:bCs/>
          <w:sz w:val="22"/>
          <w:szCs w:val="22"/>
        </w:rPr>
        <w:t xml:space="preserve"> </w:t>
      </w:r>
      <w:r w:rsidR="00494BAF">
        <w:rPr>
          <w:rFonts w:ascii="Arial" w:hAnsi="Arial" w:cs="Arial"/>
          <w:bCs/>
          <w:sz w:val="22"/>
          <w:szCs w:val="22"/>
        </w:rPr>
        <w:t xml:space="preserve">colocación de propaganda electoral de la candidata a diputada del distrito VI, </w:t>
      </w:r>
      <w:r w:rsidR="00D1048B">
        <w:rPr>
          <w:rFonts w:ascii="Arial" w:hAnsi="Arial" w:cs="Arial"/>
          <w:bCs/>
          <w:sz w:val="22"/>
          <w:szCs w:val="22"/>
        </w:rPr>
        <w:t xml:space="preserve">por </w:t>
      </w:r>
      <w:r w:rsidR="00494BAF">
        <w:rPr>
          <w:rFonts w:ascii="Arial" w:hAnsi="Arial" w:cs="Arial"/>
          <w:bCs/>
          <w:sz w:val="22"/>
          <w:szCs w:val="22"/>
        </w:rPr>
        <w:t xml:space="preserve">el PT, fuera del distrito </w:t>
      </w:r>
      <w:r w:rsidR="00D1048B">
        <w:rPr>
          <w:rFonts w:ascii="Arial" w:hAnsi="Arial" w:cs="Arial"/>
          <w:bCs/>
          <w:sz w:val="22"/>
          <w:szCs w:val="22"/>
        </w:rPr>
        <w:t>en</w:t>
      </w:r>
      <w:r w:rsidR="00494BAF">
        <w:rPr>
          <w:rFonts w:ascii="Arial" w:hAnsi="Arial" w:cs="Arial"/>
          <w:bCs/>
          <w:sz w:val="22"/>
          <w:szCs w:val="22"/>
        </w:rPr>
        <w:t xml:space="preserve"> el que compite.</w:t>
      </w:r>
    </w:p>
    <w:p w14:paraId="4F9446BA" w14:textId="066A2F35" w:rsidR="006312A8" w:rsidRDefault="006312A8"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267DDAD5" w14:textId="64805A4C" w:rsidR="006312A8" w:rsidRDefault="006312A8"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En tal sentido, el quejoso apunta que</w:t>
      </w:r>
      <w:r w:rsidR="00927F7B">
        <w:rPr>
          <w:rFonts w:ascii="Arial" w:hAnsi="Arial" w:cs="Arial"/>
          <w:bCs/>
          <w:sz w:val="22"/>
          <w:szCs w:val="22"/>
        </w:rPr>
        <w:t>,</w:t>
      </w:r>
      <w:r>
        <w:rPr>
          <w:rFonts w:ascii="Arial" w:hAnsi="Arial" w:cs="Arial"/>
          <w:bCs/>
          <w:sz w:val="22"/>
          <w:szCs w:val="22"/>
        </w:rPr>
        <w:t xml:space="preserve"> </w:t>
      </w:r>
      <w:r w:rsidR="00494BAF">
        <w:rPr>
          <w:rFonts w:ascii="Arial" w:hAnsi="Arial" w:cs="Arial"/>
          <w:bCs/>
          <w:sz w:val="22"/>
          <w:szCs w:val="22"/>
        </w:rPr>
        <w:t>el diecinueve de mayo, se percató que fue colocado un anuncio espectacular</w:t>
      </w:r>
      <w:r w:rsidR="00927F7B">
        <w:rPr>
          <w:rFonts w:ascii="Arial" w:hAnsi="Arial" w:cs="Arial"/>
          <w:bCs/>
          <w:sz w:val="22"/>
          <w:szCs w:val="22"/>
        </w:rPr>
        <w:t xml:space="preserve"> </w:t>
      </w:r>
      <w:r w:rsidR="00494BAF">
        <w:rPr>
          <w:rFonts w:ascii="Arial" w:hAnsi="Arial" w:cs="Arial"/>
          <w:bCs/>
          <w:sz w:val="22"/>
          <w:szCs w:val="22"/>
        </w:rPr>
        <w:t>-en el edificio del banco BBVA, ubicado en la calle Hernán González esquina Avenida José María Chávez de la colonia Lindavista-, promoviendo la candidatura de la denunciada, el cual violenta el ámbito de territorialidad geográfico que comprende el distrito electoral VI.</w:t>
      </w:r>
    </w:p>
    <w:p w14:paraId="05532F68" w14:textId="634E5C08" w:rsidR="00494BAF" w:rsidRDefault="00494BAF"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502D8209" w14:textId="1CE8E66F" w:rsidR="00494BAF" w:rsidRDefault="00494BAF"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Además, sugiere una confusión en el electorado, ya que la denunciada se presenta ante la ciudadanía fuera del distrito local en el que fue registrada, generando así, una inequidad en la contienda</w:t>
      </w:r>
      <w:r w:rsidR="003A2529">
        <w:rPr>
          <w:rFonts w:ascii="Arial" w:hAnsi="Arial" w:cs="Arial"/>
          <w:bCs/>
          <w:sz w:val="22"/>
          <w:szCs w:val="22"/>
        </w:rPr>
        <w:t>,</w:t>
      </w:r>
      <w:r>
        <w:rPr>
          <w:rFonts w:ascii="Arial" w:hAnsi="Arial" w:cs="Arial"/>
          <w:bCs/>
          <w:sz w:val="22"/>
          <w:szCs w:val="22"/>
        </w:rPr>
        <w:t xml:space="preserve"> con la finalidad de obtener una ventaja para generar empatía de quienes no forman parte del distrito anteriormente precisado.</w:t>
      </w:r>
    </w:p>
    <w:p w14:paraId="1E6AE189" w14:textId="055B08F5" w:rsidR="00494BAF" w:rsidRDefault="00494BAF"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10735DB9" w14:textId="5995C00F" w:rsidR="00494BAF" w:rsidRDefault="00494BAF"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En esta tesitura, quien denuncia afirma que la ubicación en que fue colocado este espectacular, se encuentra dentro del territorio geográfico de la sección 200, la que corresponde al distrito local XI, tal y como se aprecia en las siguientes imágenes:</w:t>
      </w:r>
    </w:p>
    <w:p w14:paraId="75FDD30D" w14:textId="77777777" w:rsidR="00494BAF" w:rsidRDefault="00494BAF"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tblLook w:val="04A0" w:firstRow="1" w:lastRow="0" w:firstColumn="1" w:lastColumn="0" w:noHBand="0" w:noVBand="1"/>
      </w:tblPr>
      <w:tblGrid>
        <w:gridCol w:w="4810"/>
        <w:gridCol w:w="5103"/>
      </w:tblGrid>
      <w:tr w:rsidR="00494BAF" w14:paraId="2A504AA7" w14:textId="77777777" w:rsidTr="00494BAF">
        <w:tc>
          <w:tcPr>
            <w:tcW w:w="4956" w:type="dxa"/>
          </w:tcPr>
          <w:p w14:paraId="21B4FA4D" w14:textId="5897D078" w:rsidR="00494BAF" w:rsidRDefault="00494BAF" w:rsidP="006312A8">
            <w:pPr>
              <w:tabs>
                <w:tab w:val="left" w:pos="567"/>
              </w:tabs>
              <w:spacing w:line="360" w:lineRule="auto"/>
              <w:ind w:right="36"/>
              <w:jc w:val="both"/>
              <w:rPr>
                <w:rFonts w:ascii="Arial" w:hAnsi="Arial" w:cs="Arial"/>
                <w:bCs/>
                <w:sz w:val="22"/>
                <w:szCs w:val="22"/>
              </w:rPr>
            </w:pPr>
            <w:r w:rsidRPr="00494BAF">
              <w:rPr>
                <w:rFonts w:ascii="Arial" w:hAnsi="Arial" w:cs="Arial"/>
                <w:bCs/>
                <w:noProof/>
                <w:sz w:val="22"/>
                <w:szCs w:val="22"/>
              </w:rPr>
              <w:drawing>
                <wp:inline distT="0" distB="0" distL="0" distR="0" wp14:anchorId="7D392A15" wp14:editId="231BD4CD">
                  <wp:extent cx="2965450" cy="2197183"/>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7180" cy="2205874"/>
                          </a:xfrm>
                          <a:prstGeom prst="rect">
                            <a:avLst/>
                          </a:prstGeom>
                          <a:noFill/>
                          <a:ln>
                            <a:noFill/>
                          </a:ln>
                        </pic:spPr>
                      </pic:pic>
                    </a:graphicData>
                  </a:graphic>
                </wp:inline>
              </w:drawing>
            </w:r>
          </w:p>
        </w:tc>
        <w:tc>
          <w:tcPr>
            <w:tcW w:w="4957" w:type="dxa"/>
          </w:tcPr>
          <w:p w14:paraId="36F32E9F" w14:textId="3266CEA2" w:rsidR="00494BAF" w:rsidRDefault="00494BAF" w:rsidP="006312A8">
            <w:pPr>
              <w:tabs>
                <w:tab w:val="left" w:pos="567"/>
              </w:tabs>
              <w:spacing w:line="360" w:lineRule="auto"/>
              <w:ind w:right="36"/>
              <w:jc w:val="both"/>
              <w:rPr>
                <w:rFonts w:ascii="Arial" w:hAnsi="Arial" w:cs="Arial"/>
                <w:bCs/>
                <w:sz w:val="22"/>
                <w:szCs w:val="22"/>
              </w:rPr>
            </w:pPr>
            <w:r w:rsidRPr="00494BAF">
              <w:rPr>
                <w:rFonts w:ascii="Arial" w:hAnsi="Arial" w:cs="Arial"/>
                <w:bCs/>
                <w:noProof/>
                <w:sz w:val="22"/>
                <w:szCs w:val="22"/>
              </w:rPr>
              <w:drawing>
                <wp:inline distT="0" distB="0" distL="0" distR="0" wp14:anchorId="72D820E0" wp14:editId="0D44BF0E">
                  <wp:extent cx="3162300" cy="2165350"/>
                  <wp:effectExtent l="0" t="0" r="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67921" cy="2169199"/>
                          </a:xfrm>
                          <a:prstGeom prst="rect">
                            <a:avLst/>
                          </a:prstGeom>
                          <a:noFill/>
                          <a:ln>
                            <a:noFill/>
                          </a:ln>
                        </pic:spPr>
                      </pic:pic>
                    </a:graphicData>
                  </a:graphic>
                </wp:inline>
              </w:drawing>
            </w:r>
          </w:p>
        </w:tc>
      </w:tr>
    </w:tbl>
    <w:p w14:paraId="7C898DB4" w14:textId="561E826E" w:rsidR="006312A8" w:rsidRDefault="00FC680B"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lastRenderedPageBreak/>
        <w:t>Consecuentemente se acusa de una violación a la normativa electoral por parte del PT, por culpa in vigilando de la conducta desplegada por su candidata al distrito local VI.</w:t>
      </w:r>
    </w:p>
    <w:p w14:paraId="6B7EA7ED" w14:textId="77777777" w:rsidR="00D1048B" w:rsidRDefault="00D1048B"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bookmarkEnd w:id="3"/>
    <w:p w14:paraId="104A73FE" w14:textId="01269C27" w:rsidR="003C245F" w:rsidRPr="006312A8" w:rsidRDefault="00EA481E" w:rsidP="0085138F">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6312A8">
        <w:rPr>
          <w:rFonts w:ascii="Arial" w:eastAsia="Arial Nova" w:hAnsi="Arial" w:cs="Arial"/>
          <w:b/>
          <w:sz w:val="22"/>
          <w:szCs w:val="22"/>
        </w:rPr>
        <w:t>5</w:t>
      </w:r>
      <w:r w:rsidR="00E755EE" w:rsidRPr="006312A8">
        <w:rPr>
          <w:rFonts w:ascii="Arial" w:eastAsia="Arial Nova" w:hAnsi="Arial" w:cs="Arial"/>
          <w:b/>
          <w:sz w:val="22"/>
          <w:szCs w:val="22"/>
        </w:rPr>
        <w:t xml:space="preserve">.2. </w:t>
      </w:r>
      <w:r w:rsidR="003D56A4" w:rsidRPr="006312A8">
        <w:rPr>
          <w:rFonts w:ascii="Arial" w:eastAsia="Arial Nova" w:hAnsi="Arial" w:cs="Arial"/>
          <w:b/>
          <w:sz w:val="22"/>
          <w:szCs w:val="22"/>
        </w:rPr>
        <w:t>Defensa de</w:t>
      </w:r>
      <w:r w:rsidR="006312A8">
        <w:rPr>
          <w:rFonts w:ascii="Arial" w:eastAsia="Arial Nova" w:hAnsi="Arial" w:cs="Arial"/>
          <w:b/>
          <w:sz w:val="22"/>
          <w:szCs w:val="22"/>
        </w:rPr>
        <w:t>l</w:t>
      </w:r>
      <w:r w:rsidR="003D56A4" w:rsidRPr="006312A8">
        <w:rPr>
          <w:rFonts w:ascii="Arial" w:eastAsia="Arial Nova" w:hAnsi="Arial" w:cs="Arial"/>
          <w:b/>
          <w:sz w:val="22"/>
          <w:szCs w:val="22"/>
        </w:rPr>
        <w:t xml:space="preserve"> denunciado</w:t>
      </w:r>
      <w:r w:rsidR="00F1796B" w:rsidRPr="006312A8">
        <w:rPr>
          <w:rFonts w:ascii="Arial" w:eastAsia="Arial Nova" w:hAnsi="Arial" w:cs="Arial"/>
          <w:b/>
          <w:sz w:val="22"/>
          <w:szCs w:val="22"/>
        </w:rPr>
        <w:t>.</w:t>
      </w:r>
    </w:p>
    <w:p w14:paraId="2F310905" w14:textId="68DBE660" w:rsidR="00E14067" w:rsidRPr="006312A8" w:rsidRDefault="00E14067" w:rsidP="005C192D">
      <w:pPr>
        <w:spacing w:line="360" w:lineRule="auto"/>
        <w:jc w:val="both"/>
        <w:rPr>
          <w:rFonts w:ascii="Arial" w:eastAsia="Arial Nova" w:hAnsi="Arial" w:cs="Arial"/>
          <w:b/>
          <w:sz w:val="22"/>
          <w:szCs w:val="22"/>
        </w:rPr>
      </w:pPr>
    </w:p>
    <w:p w14:paraId="421E5A19" w14:textId="64ECA533" w:rsidR="00FC680B" w:rsidRPr="00FC680B" w:rsidRDefault="001D7982" w:rsidP="00FC680B">
      <w:pPr>
        <w:pStyle w:val="Prrafodelista"/>
        <w:numPr>
          <w:ilvl w:val="0"/>
          <w:numId w:val="18"/>
        </w:numPr>
        <w:spacing w:line="360" w:lineRule="auto"/>
        <w:jc w:val="both"/>
        <w:rPr>
          <w:rFonts w:ascii="Arial" w:eastAsia="Arial Nova" w:hAnsi="Arial" w:cs="Arial"/>
          <w:bCs/>
        </w:rPr>
      </w:pPr>
      <w:r>
        <w:rPr>
          <w:rFonts w:ascii="Arial" w:eastAsia="Arial Nova" w:hAnsi="Arial" w:cs="Arial"/>
          <w:bCs/>
          <w:sz w:val="22"/>
          <w:szCs w:val="22"/>
        </w:rPr>
        <w:t xml:space="preserve">Blanca Hilda Contreras González y </w:t>
      </w:r>
      <w:r w:rsidR="00FC680B" w:rsidRPr="00FC680B">
        <w:rPr>
          <w:rFonts w:ascii="Arial" w:eastAsia="Arial Nova" w:hAnsi="Arial" w:cs="Arial"/>
          <w:bCs/>
          <w:sz w:val="22"/>
          <w:szCs w:val="22"/>
        </w:rPr>
        <w:t xml:space="preserve">Ángel Martin Ortega Garibay, en su carácter de </w:t>
      </w:r>
      <w:r>
        <w:rPr>
          <w:rFonts w:ascii="Arial" w:eastAsia="Arial Nova" w:hAnsi="Arial" w:cs="Arial"/>
          <w:bCs/>
          <w:sz w:val="22"/>
          <w:szCs w:val="22"/>
        </w:rPr>
        <w:t xml:space="preserve">candidata a diputada local por el distrito VI postulada por el PT, y el </w:t>
      </w:r>
      <w:r w:rsidR="00FC680B" w:rsidRPr="00FC680B">
        <w:rPr>
          <w:rFonts w:ascii="Arial" w:eastAsia="Arial Nova" w:hAnsi="Arial" w:cs="Arial"/>
          <w:bCs/>
          <w:sz w:val="22"/>
          <w:szCs w:val="22"/>
        </w:rPr>
        <w:t>representante propietario del PT</w:t>
      </w:r>
      <w:r>
        <w:rPr>
          <w:rFonts w:ascii="Arial" w:eastAsia="Arial Nova" w:hAnsi="Arial" w:cs="Arial"/>
          <w:bCs/>
          <w:sz w:val="22"/>
          <w:szCs w:val="22"/>
        </w:rPr>
        <w:t xml:space="preserve"> respectivamente, </w:t>
      </w:r>
      <w:r w:rsidR="00FC680B">
        <w:rPr>
          <w:rFonts w:ascii="Arial" w:eastAsia="Arial Nova" w:hAnsi="Arial" w:cs="Arial"/>
          <w:bCs/>
          <w:sz w:val="22"/>
          <w:szCs w:val="22"/>
        </w:rPr>
        <w:t>aduce</w:t>
      </w:r>
      <w:r>
        <w:rPr>
          <w:rFonts w:ascii="Arial" w:eastAsia="Arial Nova" w:hAnsi="Arial" w:cs="Arial"/>
          <w:bCs/>
          <w:sz w:val="22"/>
          <w:szCs w:val="22"/>
        </w:rPr>
        <w:t>n</w:t>
      </w:r>
      <w:r w:rsidR="00FC680B">
        <w:rPr>
          <w:rFonts w:ascii="Arial" w:eastAsia="Arial Nova" w:hAnsi="Arial" w:cs="Arial"/>
          <w:bCs/>
          <w:sz w:val="22"/>
          <w:szCs w:val="22"/>
        </w:rPr>
        <w:t xml:space="preserve"> que no existe violación tal y como se establece en la queja, pues </w:t>
      </w:r>
      <w:r>
        <w:rPr>
          <w:rFonts w:ascii="Arial" w:eastAsia="Arial Nova" w:hAnsi="Arial" w:cs="Arial"/>
          <w:bCs/>
          <w:sz w:val="22"/>
          <w:szCs w:val="22"/>
        </w:rPr>
        <w:t xml:space="preserve">en la </w:t>
      </w:r>
      <w:r w:rsidR="00FC680B">
        <w:rPr>
          <w:rFonts w:ascii="Arial" w:eastAsia="Arial Nova" w:hAnsi="Arial" w:cs="Arial"/>
          <w:bCs/>
          <w:sz w:val="22"/>
          <w:szCs w:val="22"/>
        </w:rPr>
        <w:t xml:space="preserve">normativa </w:t>
      </w:r>
      <w:r>
        <w:rPr>
          <w:rFonts w:ascii="Arial" w:eastAsia="Arial Nova" w:hAnsi="Arial" w:cs="Arial"/>
          <w:bCs/>
          <w:sz w:val="22"/>
          <w:szCs w:val="22"/>
        </w:rPr>
        <w:t xml:space="preserve">electoral aplicable, </w:t>
      </w:r>
      <w:r w:rsidR="00FC680B">
        <w:rPr>
          <w:rFonts w:ascii="Arial" w:eastAsia="Arial Nova" w:hAnsi="Arial" w:cs="Arial"/>
          <w:bCs/>
          <w:sz w:val="22"/>
          <w:szCs w:val="22"/>
        </w:rPr>
        <w:t xml:space="preserve">no </w:t>
      </w:r>
      <w:r>
        <w:rPr>
          <w:rFonts w:ascii="Arial" w:eastAsia="Arial Nova" w:hAnsi="Arial" w:cs="Arial"/>
          <w:bCs/>
          <w:sz w:val="22"/>
          <w:szCs w:val="22"/>
        </w:rPr>
        <w:t xml:space="preserve">se </w:t>
      </w:r>
      <w:r w:rsidR="00FC680B">
        <w:rPr>
          <w:rFonts w:ascii="Arial" w:eastAsia="Arial Nova" w:hAnsi="Arial" w:cs="Arial"/>
          <w:bCs/>
          <w:sz w:val="22"/>
          <w:szCs w:val="22"/>
        </w:rPr>
        <w:t xml:space="preserve">señala de qué manera se prohíbe la colocación de un espectacular fuera de la demarcación distrital </w:t>
      </w:r>
      <w:r>
        <w:rPr>
          <w:rFonts w:ascii="Arial" w:eastAsia="Arial Nova" w:hAnsi="Arial" w:cs="Arial"/>
          <w:bCs/>
          <w:sz w:val="22"/>
          <w:szCs w:val="22"/>
        </w:rPr>
        <w:t xml:space="preserve">en la </w:t>
      </w:r>
      <w:r w:rsidR="00FC680B">
        <w:rPr>
          <w:rFonts w:ascii="Arial" w:eastAsia="Arial Nova" w:hAnsi="Arial" w:cs="Arial"/>
          <w:bCs/>
          <w:sz w:val="22"/>
          <w:szCs w:val="22"/>
        </w:rPr>
        <w:t>que se compite</w:t>
      </w:r>
      <w:r w:rsidR="00D1048B">
        <w:rPr>
          <w:rFonts w:ascii="Arial" w:eastAsia="Arial Nova" w:hAnsi="Arial" w:cs="Arial"/>
          <w:bCs/>
          <w:sz w:val="22"/>
          <w:szCs w:val="22"/>
        </w:rPr>
        <w:t>.</w:t>
      </w:r>
    </w:p>
    <w:p w14:paraId="5EBAB528" w14:textId="77777777" w:rsidR="00FC680B" w:rsidRPr="00FC680B" w:rsidRDefault="00FC680B" w:rsidP="00FC680B">
      <w:pPr>
        <w:pStyle w:val="Prrafodelista"/>
        <w:spacing w:line="360" w:lineRule="auto"/>
        <w:jc w:val="both"/>
        <w:rPr>
          <w:rFonts w:ascii="Arial" w:eastAsia="Arial Nova" w:hAnsi="Arial" w:cs="Arial"/>
          <w:bCs/>
        </w:rPr>
      </w:pPr>
    </w:p>
    <w:p w14:paraId="2C2C2F74" w14:textId="6D63990A" w:rsidR="003D56A4" w:rsidRDefault="00EA481E"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36254624" w14:textId="77777777" w:rsidR="003D56A4" w:rsidRPr="005833FF" w:rsidRDefault="003D56A4" w:rsidP="005C192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00941E" w14:textId="711692E3" w:rsidR="003D56A4" w:rsidRPr="005833FF" w:rsidRDefault="003D56A4" w:rsidP="005C192D">
      <w:pPr>
        <w:spacing w:line="360" w:lineRule="auto"/>
        <w:jc w:val="both"/>
        <w:rPr>
          <w:rFonts w:ascii="Arial" w:hAnsi="Arial" w:cs="Arial"/>
          <w:b/>
          <w:sz w:val="22"/>
          <w:szCs w:val="22"/>
        </w:rPr>
      </w:pPr>
      <w:r w:rsidRPr="005833FF">
        <w:rPr>
          <w:rFonts w:ascii="Arial" w:hAnsi="Arial" w:cs="Arial"/>
          <w:bCs/>
          <w:sz w:val="22"/>
          <w:szCs w:val="22"/>
        </w:rPr>
        <w:t>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w:t>
      </w:r>
      <w:r w:rsidR="00B63550">
        <w:rPr>
          <w:rFonts w:ascii="Arial" w:hAnsi="Arial" w:cs="Arial"/>
          <w:bCs/>
          <w:sz w:val="22"/>
          <w:szCs w:val="22"/>
        </w:rPr>
        <w:t>s</w:t>
      </w:r>
      <w:r w:rsidRPr="005833FF">
        <w:rPr>
          <w:rFonts w:ascii="Arial" w:hAnsi="Arial" w:cs="Arial"/>
          <w:bCs/>
          <w:sz w:val="22"/>
          <w:szCs w:val="22"/>
        </w:rPr>
        <w:t xml:space="preserve">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4"/>
      </w:r>
    </w:p>
    <w:p w14:paraId="643F0FD9" w14:textId="77777777" w:rsidR="003D56A4" w:rsidRPr="005833FF" w:rsidRDefault="003D56A4" w:rsidP="003D56A4">
      <w:pPr>
        <w:spacing w:line="360" w:lineRule="auto"/>
        <w:jc w:val="both"/>
        <w:rPr>
          <w:rFonts w:ascii="Arial" w:hAnsi="Arial" w:cs="Arial"/>
          <w:b/>
          <w:sz w:val="22"/>
          <w:szCs w:val="22"/>
        </w:rPr>
      </w:pPr>
    </w:p>
    <w:p w14:paraId="5EBC439C" w14:textId="6F555F85" w:rsidR="00890653" w:rsidRPr="001D7982" w:rsidRDefault="009C6BAC" w:rsidP="001D7982">
      <w:pPr>
        <w:pStyle w:val="Prrafodelista"/>
        <w:numPr>
          <w:ilvl w:val="0"/>
          <w:numId w:val="18"/>
        </w:numPr>
        <w:spacing w:line="360" w:lineRule="auto"/>
        <w:jc w:val="both"/>
        <w:rPr>
          <w:rFonts w:ascii="Arial" w:hAnsi="Arial" w:cs="Arial"/>
          <w:bCs/>
          <w:sz w:val="22"/>
          <w:szCs w:val="22"/>
        </w:rPr>
      </w:pPr>
      <w:r w:rsidRPr="001D7982">
        <w:rPr>
          <w:rFonts w:ascii="Arial" w:hAnsi="Arial" w:cs="Arial"/>
          <w:bCs/>
          <w:sz w:val="22"/>
          <w:szCs w:val="22"/>
        </w:rPr>
        <w:t xml:space="preserve">En la audiencia de pruebas y alegatos, </w:t>
      </w:r>
      <w:r w:rsidR="001D7982" w:rsidRPr="001D7982">
        <w:rPr>
          <w:rFonts w:ascii="Arial" w:hAnsi="Arial" w:cs="Arial"/>
          <w:bCs/>
          <w:sz w:val="22"/>
          <w:szCs w:val="22"/>
        </w:rPr>
        <w:t>solamente compareció el C. Oscar Briseño Márquez, quien es el administrador único de la empresa denominada Punto de Vista MKT S.A de C.V. quien manifestó lo siguiente: “Que nosotros como empresa de publicidad, imprimimos el arte o el diseño que el Partido del Trabajo nos solicita y colocamos el espectacular que nos indique”</w:t>
      </w:r>
      <w:r w:rsidR="009B7DB9">
        <w:rPr>
          <w:rFonts w:ascii="Arial" w:hAnsi="Arial" w:cs="Arial"/>
          <w:bCs/>
          <w:sz w:val="22"/>
          <w:szCs w:val="22"/>
        </w:rPr>
        <w:t>.</w:t>
      </w:r>
    </w:p>
    <w:p w14:paraId="6786E370" w14:textId="3CD0279D" w:rsidR="00AE4D00" w:rsidRPr="00AE4D00" w:rsidRDefault="00AE4D00" w:rsidP="00AE4D00">
      <w:pPr>
        <w:spacing w:line="360" w:lineRule="auto"/>
        <w:ind w:left="851" w:right="851"/>
        <w:jc w:val="both"/>
        <w:rPr>
          <w:rFonts w:ascii="Arial" w:hAnsi="Arial" w:cs="Arial"/>
          <w:bCs/>
          <w:i/>
          <w:iCs/>
          <w:sz w:val="22"/>
          <w:szCs w:val="22"/>
        </w:rPr>
      </w:pPr>
    </w:p>
    <w:p w14:paraId="7A531013" w14:textId="3C73301B" w:rsidR="00190AC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2A0948E9" w14:textId="413EE8F6" w:rsidR="00266333" w:rsidRDefault="00266333"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decuadrcula4"/>
        <w:tblW w:w="9498" w:type="dxa"/>
        <w:jc w:val="center"/>
        <w:tblLook w:val="04A0" w:firstRow="1" w:lastRow="0" w:firstColumn="1" w:lastColumn="0" w:noHBand="0" w:noVBand="1"/>
      </w:tblPr>
      <w:tblGrid>
        <w:gridCol w:w="1357"/>
        <w:gridCol w:w="1625"/>
        <w:gridCol w:w="2405"/>
        <w:gridCol w:w="4111"/>
      </w:tblGrid>
      <w:tr w:rsidR="00934394" w:rsidRPr="009E3B15" w14:paraId="776E0541" w14:textId="77777777" w:rsidTr="00892D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7" w:type="dxa"/>
          </w:tcPr>
          <w:p w14:paraId="332AB173" w14:textId="77777777" w:rsidR="00934394" w:rsidRPr="00934394" w:rsidRDefault="00934394" w:rsidP="000D4DA7">
            <w:pPr>
              <w:jc w:val="center"/>
              <w:rPr>
                <w:rFonts w:ascii="Arial" w:hAnsi="Arial" w:cs="Arial"/>
                <w:sz w:val="18"/>
                <w:szCs w:val="18"/>
              </w:rPr>
            </w:pPr>
            <w:r w:rsidRPr="00934394">
              <w:rPr>
                <w:rFonts w:ascii="Arial" w:hAnsi="Arial" w:cs="Arial"/>
                <w:sz w:val="18"/>
                <w:szCs w:val="18"/>
              </w:rPr>
              <w:t>OFERENTE.</w:t>
            </w:r>
          </w:p>
        </w:tc>
        <w:tc>
          <w:tcPr>
            <w:tcW w:w="1625" w:type="dxa"/>
          </w:tcPr>
          <w:p w14:paraId="07E66744" w14:textId="77777777" w:rsidR="00934394" w:rsidRPr="00934394" w:rsidRDefault="00934394" w:rsidP="000D4DA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34394">
              <w:rPr>
                <w:rFonts w:ascii="Arial" w:hAnsi="Arial" w:cs="Arial"/>
                <w:sz w:val="18"/>
                <w:szCs w:val="18"/>
              </w:rPr>
              <w:t>PRUEBA.</w:t>
            </w:r>
          </w:p>
        </w:tc>
        <w:tc>
          <w:tcPr>
            <w:tcW w:w="2405" w:type="dxa"/>
          </w:tcPr>
          <w:p w14:paraId="2D14510E" w14:textId="77777777" w:rsidR="00934394" w:rsidRPr="00934394" w:rsidRDefault="00934394" w:rsidP="000D4DA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34394">
              <w:rPr>
                <w:rFonts w:ascii="Arial" w:hAnsi="Arial" w:cs="Arial"/>
                <w:sz w:val="18"/>
                <w:szCs w:val="18"/>
              </w:rPr>
              <w:t>CONSISTENTE EN:</w:t>
            </w:r>
          </w:p>
        </w:tc>
        <w:tc>
          <w:tcPr>
            <w:tcW w:w="4111" w:type="dxa"/>
          </w:tcPr>
          <w:p w14:paraId="7F764625" w14:textId="77777777" w:rsidR="00934394" w:rsidRPr="00934394" w:rsidRDefault="00934394" w:rsidP="000D4DA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34394">
              <w:rPr>
                <w:rFonts w:ascii="Arial" w:hAnsi="Arial" w:cs="Arial"/>
                <w:sz w:val="18"/>
                <w:szCs w:val="18"/>
              </w:rPr>
              <w:t>VALORACIÓN.</w:t>
            </w:r>
          </w:p>
        </w:tc>
      </w:tr>
      <w:tr w:rsidR="00934394" w:rsidRPr="009E3B15" w14:paraId="2B1FC046" w14:textId="77777777" w:rsidTr="0089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7" w:type="dxa"/>
            <w:shd w:val="clear" w:color="auto" w:fill="F2F2F2" w:themeFill="background1" w:themeFillShade="F2"/>
          </w:tcPr>
          <w:p w14:paraId="52CC8CB7" w14:textId="77777777" w:rsidR="00934394" w:rsidRPr="00934394" w:rsidRDefault="00934394" w:rsidP="000D4DA7">
            <w:pPr>
              <w:jc w:val="both"/>
              <w:rPr>
                <w:rFonts w:ascii="Arial" w:hAnsi="Arial" w:cs="Arial"/>
                <w:sz w:val="18"/>
                <w:szCs w:val="18"/>
              </w:rPr>
            </w:pPr>
            <w:r w:rsidRPr="00934394">
              <w:rPr>
                <w:rFonts w:ascii="Arial" w:hAnsi="Arial" w:cs="Arial"/>
                <w:sz w:val="18"/>
                <w:szCs w:val="18"/>
              </w:rPr>
              <w:t xml:space="preserve">Denunciante: </w:t>
            </w:r>
            <w:r w:rsidRPr="00934394">
              <w:rPr>
                <w:rFonts w:ascii="Arial" w:hAnsi="Arial" w:cs="Arial"/>
                <w:b w:val="0"/>
                <w:bCs w:val="0"/>
                <w:sz w:val="18"/>
                <w:szCs w:val="18"/>
              </w:rPr>
              <w:t>Partido Acción Nacional.</w:t>
            </w:r>
          </w:p>
        </w:tc>
        <w:tc>
          <w:tcPr>
            <w:tcW w:w="1625" w:type="dxa"/>
            <w:shd w:val="clear" w:color="auto" w:fill="F2F2F2" w:themeFill="background1" w:themeFillShade="F2"/>
          </w:tcPr>
          <w:p w14:paraId="0C3F3D4C" w14:textId="77777777" w:rsidR="00934394" w:rsidRPr="00934394" w:rsidRDefault="00934394" w:rsidP="000D4DA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34394">
              <w:rPr>
                <w:rFonts w:ascii="Arial" w:hAnsi="Arial" w:cs="Arial"/>
                <w:b/>
                <w:bCs/>
                <w:sz w:val="18"/>
                <w:szCs w:val="18"/>
              </w:rPr>
              <w:t>Documental privada.</w:t>
            </w:r>
          </w:p>
        </w:tc>
        <w:tc>
          <w:tcPr>
            <w:tcW w:w="2405" w:type="dxa"/>
            <w:shd w:val="clear" w:color="auto" w:fill="F2F2F2" w:themeFill="background1" w:themeFillShade="F2"/>
          </w:tcPr>
          <w:p w14:paraId="711F46E7" w14:textId="77777777" w:rsidR="00934394" w:rsidRPr="00934394" w:rsidRDefault="00934394" w:rsidP="000D4DA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34394">
              <w:rPr>
                <w:rFonts w:ascii="Arial" w:hAnsi="Arial" w:cs="Arial"/>
                <w:sz w:val="18"/>
                <w:szCs w:val="18"/>
              </w:rPr>
              <w:t>“…la fotografía del espectacular de la candidata la Distrito Local VI, Blanca Hilda Contreras González, en el edificio del Banco denominado BBVA Bancomer…”</w:t>
            </w:r>
          </w:p>
        </w:tc>
        <w:tc>
          <w:tcPr>
            <w:tcW w:w="4111" w:type="dxa"/>
            <w:shd w:val="clear" w:color="auto" w:fill="F2F2F2" w:themeFill="background1" w:themeFillShade="F2"/>
          </w:tcPr>
          <w:p w14:paraId="57EFF1E5" w14:textId="77777777" w:rsidR="00934394" w:rsidRPr="00934394" w:rsidRDefault="00934394" w:rsidP="000D4DA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34394">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934394" w:rsidRPr="009E3B15" w14:paraId="3C893DF5" w14:textId="77777777" w:rsidTr="00892D22">
        <w:trPr>
          <w:jc w:val="center"/>
        </w:trPr>
        <w:tc>
          <w:tcPr>
            <w:cnfStyle w:val="001000000000" w:firstRow="0" w:lastRow="0" w:firstColumn="1" w:lastColumn="0" w:oddVBand="0" w:evenVBand="0" w:oddHBand="0" w:evenHBand="0" w:firstRowFirstColumn="0" w:firstRowLastColumn="0" w:lastRowFirstColumn="0" w:lastRowLastColumn="0"/>
            <w:tcW w:w="1357" w:type="dxa"/>
          </w:tcPr>
          <w:p w14:paraId="7C200E59" w14:textId="77777777" w:rsidR="00934394" w:rsidRPr="00934394" w:rsidRDefault="00934394" w:rsidP="000D4DA7">
            <w:pPr>
              <w:jc w:val="both"/>
              <w:rPr>
                <w:rFonts w:ascii="Arial" w:hAnsi="Arial" w:cs="Arial"/>
                <w:sz w:val="18"/>
                <w:szCs w:val="18"/>
              </w:rPr>
            </w:pPr>
            <w:r w:rsidRPr="00934394">
              <w:rPr>
                <w:rFonts w:ascii="Arial" w:hAnsi="Arial" w:cs="Arial"/>
                <w:sz w:val="18"/>
                <w:szCs w:val="18"/>
              </w:rPr>
              <w:t xml:space="preserve">Denunciante: </w:t>
            </w:r>
            <w:r w:rsidRPr="00934394">
              <w:rPr>
                <w:rFonts w:ascii="Arial" w:hAnsi="Arial" w:cs="Arial"/>
                <w:b w:val="0"/>
                <w:bCs w:val="0"/>
                <w:sz w:val="18"/>
                <w:szCs w:val="18"/>
              </w:rPr>
              <w:t>Partido Acción Nacional.</w:t>
            </w:r>
          </w:p>
        </w:tc>
        <w:tc>
          <w:tcPr>
            <w:tcW w:w="1625" w:type="dxa"/>
          </w:tcPr>
          <w:p w14:paraId="74D37320" w14:textId="77777777" w:rsidR="00934394" w:rsidRPr="00934394" w:rsidRDefault="00934394" w:rsidP="000D4DA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34394">
              <w:rPr>
                <w:rFonts w:ascii="Arial" w:hAnsi="Arial" w:cs="Arial"/>
                <w:b/>
                <w:bCs/>
                <w:sz w:val="18"/>
                <w:szCs w:val="18"/>
              </w:rPr>
              <w:t>Documental privada.</w:t>
            </w:r>
          </w:p>
        </w:tc>
        <w:tc>
          <w:tcPr>
            <w:tcW w:w="2405" w:type="dxa"/>
          </w:tcPr>
          <w:p w14:paraId="6EF48A22" w14:textId="77777777" w:rsidR="00934394" w:rsidRPr="00934394" w:rsidRDefault="00934394" w:rsidP="000D4DA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34394">
              <w:rPr>
                <w:rFonts w:ascii="Arial" w:hAnsi="Arial" w:cs="Arial"/>
                <w:sz w:val="18"/>
                <w:szCs w:val="18"/>
              </w:rPr>
              <w:t>“…la cartografía electoral de la sección 200 de Aguascalientes…”</w:t>
            </w:r>
          </w:p>
        </w:tc>
        <w:tc>
          <w:tcPr>
            <w:tcW w:w="4111" w:type="dxa"/>
          </w:tcPr>
          <w:p w14:paraId="36642FC4" w14:textId="77777777" w:rsidR="00934394" w:rsidRPr="00934394" w:rsidRDefault="00934394" w:rsidP="000D4DA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34394">
              <w:rPr>
                <w:rFonts w:ascii="Arial" w:hAnsi="Arial" w:cs="Arial"/>
                <w:sz w:val="18"/>
                <w:szCs w:val="18"/>
              </w:rPr>
              <w:t xml:space="preserve">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w:t>
            </w:r>
            <w:r w:rsidRPr="00934394">
              <w:rPr>
                <w:rFonts w:ascii="Arial" w:hAnsi="Arial" w:cs="Arial"/>
                <w:sz w:val="18"/>
                <w:szCs w:val="18"/>
              </w:rPr>
              <w:lastRenderedPageBreak/>
              <w:t>concatenarse con los demás elementos que obren en el expediente, las afirmaciones de las partes, la verdad conocida y el recto raciocinio de la relación que guardan entre sí.</w:t>
            </w:r>
          </w:p>
        </w:tc>
      </w:tr>
      <w:tr w:rsidR="00934394" w:rsidRPr="009E3B15" w14:paraId="79F6B6AA" w14:textId="77777777" w:rsidTr="0089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7" w:type="dxa"/>
            <w:shd w:val="clear" w:color="auto" w:fill="F2F2F2" w:themeFill="background1" w:themeFillShade="F2"/>
          </w:tcPr>
          <w:p w14:paraId="781AABFA" w14:textId="77777777" w:rsidR="00934394" w:rsidRPr="00934394" w:rsidRDefault="00934394" w:rsidP="000D4DA7">
            <w:pPr>
              <w:jc w:val="both"/>
              <w:rPr>
                <w:rFonts w:ascii="Arial" w:hAnsi="Arial" w:cs="Arial"/>
                <w:sz w:val="18"/>
                <w:szCs w:val="18"/>
              </w:rPr>
            </w:pPr>
            <w:r w:rsidRPr="00934394">
              <w:rPr>
                <w:rFonts w:ascii="Arial" w:hAnsi="Arial" w:cs="Arial"/>
                <w:sz w:val="18"/>
                <w:szCs w:val="18"/>
              </w:rPr>
              <w:lastRenderedPageBreak/>
              <w:t xml:space="preserve">Denunciante: </w:t>
            </w:r>
            <w:r w:rsidRPr="00934394">
              <w:rPr>
                <w:rFonts w:ascii="Arial" w:hAnsi="Arial" w:cs="Arial"/>
                <w:b w:val="0"/>
                <w:bCs w:val="0"/>
                <w:sz w:val="18"/>
                <w:szCs w:val="18"/>
              </w:rPr>
              <w:t>Partido Acción Nacional.</w:t>
            </w:r>
          </w:p>
        </w:tc>
        <w:tc>
          <w:tcPr>
            <w:tcW w:w="1625" w:type="dxa"/>
            <w:shd w:val="clear" w:color="auto" w:fill="F2F2F2" w:themeFill="background1" w:themeFillShade="F2"/>
          </w:tcPr>
          <w:p w14:paraId="32449D11" w14:textId="77777777" w:rsidR="00934394" w:rsidRPr="00934394" w:rsidRDefault="00934394" w:rsidP="000D4DA7">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934394">
              <w:rPr>
                <w:rFonts w:ascii="Arial" w:hAnsi="Arial" w:cs="Arial"/>
                <w:b/>
                <w:bCs/>
                <w:sz w:val="18"/>
                <w:szCs w:val="18"/>
              </w:rPr>
              <w:t>Documental pública.</w:t>
            </w:r>
          </w:p>
        </w:tc>
        <w:tc>
          <w:tcPr>
            <w:tcW w:w="2405" w:type="dxa"/>
            <w:shd w:val="clear" w:color="auto" w:fill="F2F2F2" w:themeFill="background1" w:themeFillShade="F2"/>
          </w:tcPr>
          <w:p w14:paraId="0D4A69C6" w14:textId="77777777" w:rsidR="00934394" w:rsidRPr="00934394" w:rsidRDefault="00934394" w:rsidP="000D4DA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34394">
              <w:rPr>
                <w:rFonts w:ascii="Arial" w:hAnsi="Arial" w:cs="Arial"/>
                <w:sz w:val="18"/>
                <w:szCs w:val="18"/>
              </w:rPr>
              <w:t>“…el informe que deberá rendir la Titular de la Unidad Técnica de Fiscalización del Instituto Nacional Electoral en Aguascalientes…” El oficio número INE/UTF/DA/23845/2021 de asunto: Respuesta a la solicitud de información signado por la Titlar de la Unidad Técnica de Fiscalización Jaqueline Vargas Arellanes.</w:t>
            </w:r>
          </w:p>
        </w:tc>
        <w:tc>
          <w:tcPr>
            <w:tcW w:w="4111" w:type="dxa"/>
            <w:shd w:val="clear" w:color="auto" w:fill="F2F2F2" w:themeFill="background1" w:themeFillShade="F2"/>
          </w:tcPr>
          <w:p w14:paraId="7AC8872D" w14:textId="77777777" w:rsidR="00934394" w:rsidRPr="00934394" w:rsidRDefault="00934394" w:rsidP="000D4DA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34394">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934394" w:rsidRPr="009E3B15" w14:paraId="12F163C4" w14:textId="77777777" w:rsidTr="00892D22">
        <w:trPr>
          <w:jc w:val="center"/>
        </w:trPr>
        <w:tc>
          <w:tcPr>
            <w:cnfStyle w:val="001000000000" w:firstRow="0" w:lastRow="0" w:firstColumn="1" w:lastColumn="0" w:oddVBand="0" w:evenVBand="0" w:oddHBand="0" w:evenHBand="0" w:firstRowFirstColumn="0" w:firstRowLastColumn="0" w:lastRowFirstColumn="0" w:lastRowLastColumn="0"/>
            <w:tcW w:w="1357" w:type="dxa"/>
          </w:tcPr>
          <w:p w14:paraId="08CA9890" w14:textId="77777777" w:rsidR="00934394" w:rsidRPr="00934394" w:rsidRDefault="00934394" w:rsidP="000D4DA7">
            <w:pPr>
              <w:jc w:val="both"/>
              <w:rPr>
                <w:rFonts w:ascii="Arial" w:hAnsi="Arial" w:cs="Arial"/>
                <w:sz w:val="18"/>
                <w:szCs w:val="18"/>
              </w:rPr>
            </w:pPr>
            <w:r w:rsidRPr="00934394">
              <w:rPr>
                <w:rFonts w:ascii="Arial" w:hAnsi="Arial" w:cs="Arial"/>
                <w:sz w:val="18"/>
                <w:szCs w:val="18"/>
              </w:rPr>
              <w:t xml:space="preserve">Denunciante: </w:t>
            </w:r>
            <w:r w:rsidRPr="00934394">
              <w:rPr>
                <w:rFonts w:ascii="Arial" w:hAnsi="Arial" w:cs="Arial"/>
                <w:b w:val="0"/>
                <w:bCs w:val="0"/>
                <w:sz w:val="18"/>
                <w:szCs w:val="18"/>
              </w:rPr>
              <w:t>Partido Acción Nacional.</w:t>
            </w:r>
          </w:p>
        </w:tc>
        <w:tc>
          <w:tcPr>
            <w:tcW w:w="1625" w:type="dxa"/>
          </w:tcPr>
          <w:p w14:paraId="5F4B8914" w14:textId="77777777" w:rsidR="00934394" w:rsidRPr="00934394" w:rsidRDefault="00934394" w:rsidP="000D4DA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34394">
              <w:rPr>
                <w:rFonts w:ascii="Arial" w:hAnsi="Arial" w:cs="Arial"/>
                <w:b/>
                <w:bCs/>
                <w:sz w:val="18"/>
                <w:szCs w:val="18"/>
              </w:rPr>
              <w:t>Presuncional legal y humana.</w:t>
            </w:r>
          </w:p>
        </w:tc>
        <w:tc>
          <w:tcPr>
            <w:tcW w:w="2405" w:type="dxa"/>
          </w:tcPr>
          <w:p w14:paraId="6FD6AA04" w14:textId="77777777" w:rsidR="00934394" w:rsidRPr="00934394" w:rsidRDefault="00934394" w:rsidP="000D4DA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34394">
              <w:rPr>
                <w:rFonts w:ascii="Arial" w:hAnsi="Arial" w:cs="Arial"/>
                <w:sz w:val="18"/>
                <w:szCs w:val="18"/>
              </w:rPr>
              <w:t>“…todo aquello en lo que se beneficie a mi representada.”</w:t>
            </w:r>
          </w:p>
        </w:tc>
        <w:tc>
          <w:tcPr>
            <w:tcW w:w="4111" w:type="dxa"/>
          </w:tcPr>
          <w:p w14:paraId="19454EEC" w14:textId="77777777" w:rsidR="00934394" w:rsidRPr="00934394" w:rsidRDefault="00934394" w:rsidP="000D4DA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34394">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34394" w:rsidRPr="009E3B15" w14:paraId="08F8244E" w14:textId="77777777" w:rsidTr="0089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7" w:type="dxa"/>
            <w:shd w:val="clear" w:color="auto" w:fill="F2F2F2" w:themeFill="background1" w:themeFillShade="F2"/>
          </w:tcPr>
          <w:p w14:paraId="518D1A3D" w14:textId="77777777" w:rsidR="00934394" w:rsidRPr="00934394" w:rsidRDefault="00934394" w:rsidP="000D4DA7">
            <w:pPr>
              <w:jc w:val="both"/>
              <w:rPr>
                <w:rFonts w:ascii="Arial" w:hAnsi="Arial" w:cs="Arial"/>
                <w:sz w:val="18"/>
                <w:szCs w:val="18"/>
              </w:rPr>
            </w:pPr>
            <w:r w:rsidRPr="00934394">
              <w:rPr>
                <w:rFonts w:ascii="Arial" w:hAnsi="Arial" w:cs="Arial"/>
                <w:sz w:val="18"/>
                <w:szCs w:val="18"/>
              </w:rPr>
              <w:t xml:space="preserve">Denunciante: </w:t>
            </w:r>
            <w:r w:rsidRPr="00934394">
              <w:rPr>
                <w:rFonts w:ascii="Arial" w:hAnsi="Arial" w:cs="Arial"/>
                <w:b w:val="0"/>
                <w:bCs w:val="0"/>
                <w:sz w:val="18"/>
                <w:szCs w:val="18"/>
              </w:rPr>
              <w:t>Partido Acción Nacional.</w:t>
            </w:r>
          </w:p>
        </w:tc>
        <w:tc>
          <w:tcPr>
            <w:tcW w:w="1625" w:type="dxa"/>
            <w:shd w:val="clear" w:color="auto" w:fill="F2F2F2" w:themeFill="background1" w:themeFillShade="F2"/>
          </w:tcPr>
          <w:p w14:paraId="2D346D4E" w14:textId="77777777" w:rsidR="00934394" w:rsidRPr="00934394" w:rsidRDefault="00934394" w:rsidP="000D4DA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34394">
              <w:rPr>
                <w:rFonts w:ascii="Arial" w:hAnsi="Arial" w:cs="Arial"/>
                <w:b/>
                <w:bCs/>
                <w:sz w:val="18"/>
                <w:szCs w:val="18"/>
              </w:rPr>
              <w:t>Instrumental de actuaciones.</w:t>
            </w:r>
          </w:p>
        </w:tc>
        <w:tc>
          <w:tcPr>
            <w:tcW w:w="2405" w:type="dxa"/>
            <w:shd w:val="clear" w:color="auto" w:fill="F2F2F2" w:themeFill="background1" w:themeFillShade="F2"/>
          </w:tcPr>
          <w:p w14:paraId="4F520654" w14:textId="77777777" w:rsidR="00934394" w:rsidRPr="00934394" w:rsidRDefault="00934394" w:rsidP="000D4DA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34394">
              <w:rPr>
                <w:rFonts w:ascii="Arial" w:hAnsi="Arial" w:cs="Arial"/>
                <w:sz w:val="18"/>
                <w:szCs w:val="18"/>
              </w:rPr>
              <w:t>“…todo aquellas diligencias que realice esta autoridad con la finalidad de corroborar los hechos que se denuncian y favorezcan a pretensión de este.”</w:t>
            </w:r>
          </w:p>
        </w:tc>
        <w:tc>
          <w:tcPr>
            <w:tcW w:w="4111" w:type="dxa"/>
            <w:shd w:val="clear" w:color="auto" w:fill="F2F2F2" w:themeFill="background1" w:themeFillShade="F2"/>
          </w:tcPr>
          <w:p w14:paraId="18C998D0" w14:textId="77777777" w:rsidR="00934394" w:rsidRPr="00934394" w:rsidRDefault="00934394" w:rsidP="000D4DA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34394">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2F9C5AB4" w14:textId="77777777" w:rsidR="00AF5CE0" w:rsidRPr="008114D0" w:rsidRDefault="00AF5CE0" w:rsidP="008114D0">
      <w:pPr>
        <w:spacing w:line="360" w:lineRule="auto"/>
        <w:jc w:val="right"/>
        <w:rPr>
          <w:rFonts w:ascii="Arial" w:hAnsi="Arial" w:cs="Arial"/>
          <w:sz w:val="22"/>
          <w:szCs w:val="22"/>
        </w:rPr>
      </w:pPr>
    </w:p>
    <w:p w14:paraId="1245968D" w14:textId="45CAB230" w:rsidR="003D56A4" w:rsidRPr="008114D0" w:rsidRDefault="005833F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bCs/>
          <w:sz w:val="22"/>
          <w:szCs w:val="22"/>
        </w:rPr>
        <w:t>8</w:t>
      </w:r>
      <w:r w:rsidR="005555E4" w:rsidRPr="008114D0">
        <w:rPr>
          <w:rFonts w:ascii="Arial" w:eastAsia="Arial Nova" w:hAnsi="Arial" w:cs="Arial"/>
          <w:b/>
          <w:bCs/>
          <w:sz w:val="22"/>
          <w:szCs w:val="22"/>
        </w:rPr>
        <w:t>.</w:t>
      </w:r>
      <w:r w:rsidR="005555E4" w:rsidRPr="008114D0">
        <w:rPr>
          <w:rFonts w:ascii="Arial" w:eastAsia="Arial Nova" w:hAnsi="Arial" w:cs="Arial"/>
          <w:sz w:val="22"/>
          <w:szCs w:val="22"/>
        </w:rPr>
        <w:t xml:space="preserve"> </w:t>
      </w:r>
      <w:r w:rsidR="003D56A4" w:rsidRPr="008114D0">
        <w:rPr>
          <w:rFonts w:ascii="Arial" w:eastAsia="Arial Nova" w:hAnsi="Arial" w:cs="Arial"/>
          <w:b/>
          <w:sz w:val="22"/>
          <w:szCs w:val="22"/>
        </w:rPr>
        <w:t>HECHOS ACREDITADOS</w:t>
      </w:r>
    </w:p>
    <w:p w14:paraId="6254E359" w14:textId="77777777" w:rsidR="00A433BF" w:rsidRPr="008114D0" w:rsidRDefault="00A433BF" w:rsidP="008114D0">
      <w:pPr>
        <w:pStyle w:val="Prrafodelista"/>
        <w:spacing w:line="360" w:lineRule="auto"/>
        <w:rPr>
          <w:rFonts w:ascii="Arial" w:eastAsia="Arial Nova" w:hAnsi="Arial" w:cs="Arial"/>
          <w:sz w:val="22"/>
          <w:szCs w:val="22"/>
        </w:rPr>
      </w:pPr>
    </w:p>
    <w:p w14:paraId="7A96D7FD"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7E8FE86"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296002" w14:textId="107906AA"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8114D0" w:rsidRDefault="003D56A4" w:rsidP="008114D0">
      <w:pPr>
        <w:pStyle w:val="Prrafodelista"/>
        <w:spacing w:line="360" w:lineRule="auto"/>
        <w:rPr>
          <w:rFonts w:ascii="Arial" w:eastAsia="Arial Nova" w:hAnsi="Arial" w:cs="Arial"/>
          <w:sz w:val="22"/>
          <w:szCs w:val="22"/>
        </w:rPr>
      </w:pPr>
    </w:p>
    <w:p w14:paraId="73AF3E09" w14:textId="3C74752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.1. </w:t>
      </w:r>
      <w:r w:rsidR="003D56A4" w:rsidRPr="008114D0">
        <w:rPr>
          <w:rFonts w:ascii="Arial" w:hAnsi="Arial" w:cs="Arial"/>
          <w:b/>
          <w:bCs/>
          <w:sz w:val="22"/>
          <w:szCs w:val="22"/>
        </w:rPr>
        <w:t xml:space="preserve">Calidad </w:t>
      </w:r>
      <w:r w:rsidR="009354E5" w:rsidRPr="008114D0">
        <w:rPr>
          <w:rFonts w:ascii="Arial" w:hAnsi="Arial" w:cs="Arial"/>
          <w:b/>
          <w:bCs/>
          <w:sz w:val="22"/>
          <w:szCs w:val="22"/>
        </w:rPr>
        <w:t>de las partes</w:t>
      </w:r>
      <w:r w:rsidR="003D56A4" w:rsidRPr="008114D0">
        <w:rPr>
          <w:rFonts w:ascii="Arial" w:hAnsi="Arial" w:cs="Arial"/>
          <w:b/>
          <w:bCs/>
          <w:sz w:val="22"/>
          <w:szCs w:val="22"/>
        </w:rPr>
        <w:t>.</w:t>
      </w:r>
    </w:p>
    <w:p w14:paraId="27638C46" w14:textId="31090F01" w:rsidR="00A433BF" w:rsidRPr="008114D0" w:rsidRDefault="00A433BF" w:rsidP="008114D0">
      <w:pPr>
        <w:spacing w:line="360" w:lineRule="auto"/>
        <w:jc w:val="both"/>
        <w:rPr>
          <w:rFonts w:ascii="Arial" w:hAnsi="Arial" w:cs="Arial"/>
          <w:b/>
          <w:bCs/>
          <w:sz w:val="22"/>
          <w:szCs w:val="22"/>
          <w:highlight w:val="yellow"/>
        </w:rPr>
      </w:pPr>
    </w:p>
    <w:p w14:paraId="43916E55" w14:textId="775E5524" w:rsidR="00A433BF" w:rsidRPr="001D7982" w:rsidRDefault="003752F3" w:rsidP="008114D0">
      <w:pPr>
        <w:spacing w:line="360" w:lineRule="auto"/>
        <w:jc w:val="both"/>
        <w:rPr>
          <w:rFonts w:ascii="Arial" w:hAnsi="Arial" w:cs="Arial"/>
          <w:sz w:val="22"/>
          <w:szCs w:val="22"/>
        </w:rPr>
      </w:pPr>
      <w:r w:rsidRPr="008114D0">
        <w:rPr>
          <w:rFonts w:ascii="Arial" w:hAnsi="Arial" w:cs="Arial"/>
          <w:sz w:val="22"/>
          <w:szCs w:val="22"/>
        </w:rPr>
        <w:t>Este Tribunal Electoral advierte</w:t>
      </w:r>
      <w:r w:rsidR="00A433BF" w:rsidRPr="008114D0">
        <w:rPr>
          <w:rFonts w:ascii="Arial" w:hAnsi="Arial" w:cs="Arial"/>
          <w:sz w:val="22"/>
          <w:szCs w:val="22"/>
        </w:rPr>
        <w:t xml:space="preserve"> que</w:t>
      </w:r>
      <w:r w:rsidR="001D7982">
        <w:rPr>
          <w:rFonts w:ascii="Arial" w:hAnsi="Arial" w:cs="Arial"/>
          <w:sz w:val="22"/>
          <w:szCs w:val="22"/>
        </w:rPr>
        <w:t xml:space="preserve">: </w:t>
      </w:r>
      <w:r w:rsidR="001D7982" w:rsidRPr="001D7982">
        <w:rPr>
          <w:rFonts w:ascii="Arial" w:hAnsi="Arial" w:cs="Arial"/>
          <w:b/>
          <w:bCs/>
          <w:sz w:val="22"/>
          <w:szCs w:val="22"/>
        </w:rPr>
        <w:t>a)</w:t>
      </w:r>
      <w:r w:rsidR="001D7982">
        <w:rPr>
          <w:rFonts w:ascii="Arial" w:hAnsi="Arial" w:cs="Arial"/>
          <w:sz w:val="22"/>
          <w:szCs w:val="22"/>
        </w:rPr>
        <w:t xml:space="preserve"> </w:t>
      </w:r>
      <w:r w:rsidR="009354E5" w:rsidRPr="008114D0">
        <w:rPr>
          <w:rFonts w:ascii="Arial" w:hAnsi="Arial" w:cs="Arial"/>
          <w:sz w:val="22"/>
          <w:szCs w:val="22"/>
        </w:rPr>
        <w:t>el denunciante,</w:t>
      </w:r>
      <w:r w:rsidR="00A433BF" w:rsidRPr="008114D0">
        <w:rPr>
          <w:rFonts w:ascii="Arial" w:hAnsi="Arial" w:cs="Arial"/>
          <w:sz w:val="22"/>
          <w:szCs w:val="22"/>
        </w:rPr>
        <w:t xml:space="preserve"> </w:t>
      </w:r>
      <w:r w:rsidR="0037055E" w:rsidRPr="008114D0">
        <w:rPr>
          <w:rFonts w:ascii="Arial" w:hAnsi="Arial" w:cs="Arial"/>
          <w:sz w:val="22"/>
          <w:szCs w:val="22"/>
        </w:rPr>
        <w:t xml:space="preserve">tiene la calidad de </w:t>
      </w:r>
      <w:r w:rsidR="00624EB7" w:rsidRPr="008114D0">
        <w:rPr>
          <w:rFonts w:ascii="Arial" w:hAnsi="Arial" w:cs="Arial"/>
          <w:sz w:val="22"/>
          <w:szCs w:val="22"/>
        </w:rPr>
        <w:t xml:space="preserve">representante </w:t>
      </w:r>
      <w:r w:rsidR="001D7982">
        <w:rPr>
          <w:rFonts w:ascii="Arial" w:hAnsi="Arial" w:cs="Arial"/>
          <w:sz w:val="22"/>
          <w:szCs w:val="22"/>
        </w:rPr>
        <w:t>propietario</w:t>
      </w:r>
      <w:r w:rsidR="00624EB7" w:rsidRPr="008114D0">
        <w:rPr>
          <w:rFonts w:ascii="Arial" w:hAnsi="Arial" w:cs="Arial"/>
          <w:sz w:val="22"/>
          <w:szCs w:val="22"/>
        </w:rPr>
        <w:t xml:space="preserve"> del PAN ante el Consejo </w:t>
      </w:r>
      <w:r w:rsidR="001D7982">
        <w:rPr>
          <w:rFonts w:ascii="Arial" w:hAnsi="Arial" w:cs="Arial"/>
          <w:sz w:val="22"/>
          <w:szCs w:val="22"/>
        </w:rPr>
        <w:t xml:space="preserve">Distrital VI del IEE; y, </w:t>
      </w:r>
      <w:r w:rsidR="001D7982" w:rsidRPr="001D7982">
        <w:rPr>
          <w:rFonts w:ascii="Arial" w:hAnsi="Arial" w:cs="Arial"/>
          <w:b/>
          <w:bCs/>
          <w:sz w:val="22"/>
          <w:szCs w:val="22"/>
        </w:rPr>
        <w:t>b)</w:t>
      </w:r>
      <w:r w:rsidR="001D7982">
        <w:rPr>
          <w:rFonts w:ascii="Arial" w:hAnsi="Arial" w:cs="Arial"/>
          <w:sz w:val="22"/>
          <w:szCs w:val="22"/>
        </w:rPr>
        <w:t xml:space="preserve"> la </w:t>
      </w:r>
      <w:r w:rsidR="00624EB7" w:rsidRPr="008114D0">
        <w:rPr>
          <w:rFonts w:ascii="Arial" w:hAnsi="Arial" w:cs="Arial"/>
          <w:sz w:val="22"/>
          <w:szCs w:val="22"/>
        </w:rPr>
        <w:t>denunciada</w:t>
      </w:r>
      <w:r w:rsidR="001D7982">
        <w:rPr>
          <w:rFonts w:ascii="Arial" w:hAnsi="Arial" w:cs="Arial"/>
          <w:sz w:val="22"/>
          <w:szCs w:val="22"/>
        </w:rPr>
        <w:t xml:space="preserve"> </w:t>
      </w:r>
      <w:r w:rsidR="00AF5CE0">
        <w:rPr>
          <w:rFonts w:ascii="Arial" w:hAnsi="Arial" w:cs="Arial"/>
          <w:sz w:val="22"/>
          <w:szCs w:val="22"/>
        </w:rPr>
        <w:t>cuenta con el</w:t>
      </w:r>
      <w:r w:rsidR="00AF5CE0">
        <w:rPr>
          <w:rFonts w:ascii="Arial" w:eastAsia="Arial" w:hAnsi="Arial" w:cs="Arial"/>
          <w:spacing w:val="1"/>
          <w:sz w:val="22"/>
          <w:szCs w:val="22"/>
        </w:rPr>
        <w:t xml:space="preserve"> carácter de candidat</w:t>
      </w:r>
      <w:r w:rsidR="001D7982">
        <w:rPr>
          <w:rFonts w:ascii="Arial" w:eastAsia="Arial" w:hAnsi="Arial" w:cs="Arial"/>
          <w:spacing w:val="1"/>
          <w:sz w:val="22"/>
          <w:szCs w:val="22"/>
        </w:rPr>
        <w:t>a</w:t>
      </w:r>
      <w:r w:rsidR="00AF5CE0">
        <w:rPr>
          <w:rFonts w:ascii="Arial" w:eastAsia="Arial" w:hAnsi="Arial" w:cs="Arial"/>
          <w:spacing w:val="1"/>
          <w:sz w:val="22"/>
          <w:szCs w:val="22"/>
        </w:rPr>
        <w:t xml:space="preserve"> a </w:t>
      </w:r>
      <w:r w:rsidR="001D7982">
        <w:rPr>
          <w:rFonts w:ascii="Arial" w:eastAsia="Arial" w:hAnsi="Arial" w:cs="Arial"/>
          <w:spacing w:val="1"/>
          <w:sz w:val="22"/>
          <w:szCs w:val="22"/>
        </w:rPr>
        <w:t>diputada local, por el distrito electoral VI, postulada por el PT.</w:t>
      </w:r>
    </w:p>
    <w:p w14:paraId="65CD41FD" w14:textId="77777777" w:rsidR="001D7982" w:rsidRPr="008114D0" w:rsidRDefault="001D7982" w:rsidP="008114D0">
      <w:pPr>
        <w:spacing w:line="360" w:lineRule="auto"/>
        <w:jc w:val="both"/>
        <w:rPr>
          <w:rFonts w:ascii="Arial" w:hAnsi="Arial" w:cs="Arial"/>
          <w:b/>
          <w:bCs/>
          <w:sz w:val="22"/>
          <w:szCs w:val="22"/>
        </w:rPr>
      </w:pPr>
    </w:p>
    <w:p w14:paraId="41B21E35" w14:textId="268590A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.2. </w:t>
      </w:r>
      <w:r w:rsidR="003D56A4" w:rsidRPr="008114D0">
        <w:rPr>
          <w:rFonts w:ascii="Arial" w:hAnsi="Arial" w:cs="Arial"/>
          <w:b/>
          <w:bCs/>
          <w:sz w:val="22"/>
          <w:szCs w:val="22"/>
        </w:rPr>
        <w:t>Existencia del contenido denunciado.</w:t>
      </w:r>
    </w:p>
    <w:p w14:paraId="25491890" w14:textId="77777777" w:rsidR="00130C02" w:rsidRPr="008114D0" w:rsidRDefault="00130C02" w:rsidP="008114D0">
      <w:pPr>
        <w:spacing w:line="360" w:lineRule="auto"/>
        <w:jc w:val="both"/>
        <w:rPr>
          <w:rFonts w:ascii="Arial" w:hAnsi="Arial" w:cs="Arial"/>
          <w:bCs/>
          <w:sz w:val="22"/>
          <w:szCs w:val="22"/>
          <w:lang w:val="es-ES"/>
        </w:rPr>
      </w:pPr>
    </w:p>
    <w:p w14:paraId="0003DD1A" w14:textId="25B13613" w:rsidR="00130C02" w:rsidRPr="008114D0" w:rsidRDefault="00130C02" w:rsidP="008114D0">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6B5E4E2" w14:textId="77777777" w:rsidR="00E755EE" w:rsidRPr="008114D0" w:rsidRDefault="00E755EE" w:rsidP="008114D0">
      <w:pPr>
        <w:spacing w:line="360" w:lineRule="auto"/>
        <w:jc w:val="both"/>
        <w:rPr>
          <w:rFonts w:ascii="Arial" w:hAnsi="Arial" w:cs="Arial"/>
          <w:bCs/>
          <w:sz w:val="22"/>
          <w:szCs w:val="22"/>
          <w:lang w:val="es-ES"/>
        </w:rPr>
      </w:pPr>
    </w:p>
    <w:p w14:paraId="71F46F13" w14:textId="07266715" w:rsidR="00413DA3" w:rsidRDefault="001F6F2C" w:rsidP="008114D0">
      <w:pPr>
        <w:spacing w:line="360" w:lineRule="auto"/>
        <w:jc w:val="both"/>
        <w:rPr>
          <w:rFonts w:ascii="Arial" w:hAnsi="Arial" w:cs="Arial"/>
          <w:bCs/>
          <w:sz w:val="22"/>
          <w:szCs w:val="22"/>
          <w:lang w:val="es-ES"/>
        </w:rPr>
      </w:pPr>
      <w:r>
        <w:rPr>
          <w:rFonts w:ascii="Arial" w:hAnsi="Arial" w:cs="Arial"/>
          <w:bCs/>
          <w:sz w:val="22"/>
          <w:szCs w:val="22"/>
          <w:lang w:val="es-ES"/>
        </w:rPr>
        <w:lastRenderedPageBreak/>
        <w:t>Aunado a lo anterior</w:t>
      </w:r>
      <w:r w:rsidR="00A433BF" w:rsidRPr="008114D0">
        <w:rPr>
          <w:rFonts w:ascii="Arial" w:hAnsi="Arial" w:cs="Arial"/>
          <w:bCs/>
          <w:sz w:val="22"/>
          <w:szCs w:val="22"/>
          <w:lang w:val="es-ES"/>
        </w:rPr>
        <w:t>, esta autoridad jurisdiccional realiza una inspección del contenido</w:t>
      </w:r>
      <w:r w:rsidR="00B917FD" w:rsidRPr="008114D0">
        <w:rPr>
          <w:rFonts w:ascii="Arial" w:hAnsi="Arial" w:cs="Arial"/>
          <w:bCs/>
          <w:sz w:val="22"/>
          <w:szCs w:val="22"/>
          <w:lang w:val="es-ES"/>
        </w:rPr>
        <w:t xml:space="preserve"> certificado en la oficialía electora,</w:t>
      </w:r>
      <w:r w:rsidR="00A433BF" w:rsidRPr="008114D0">
        <w:rPr>
          <w:rFonts w:ascii="Arial" w:hAnsi="Arial" w:cs="Arial"/>
          <w:bCs/>
          <w:sz w:val="22"/>
          <w:szCs w:val="22"/>
          <w:lang w:val="es-ES"/>
        </w:rPr>
        <w:t xml:space="preserve"> con la finalidad de precisarlo, establecer y analizar de manera integral las </w:t>
      </w:r>
      <w:r w:rsidR="00F9123B" w:rsidRPr="008114D0">
        <w:rPr>
          <w:rFonts w:ascii="Arial" w:hAnsi="Arial" w:cs="Arial"/>
          <w:bCs/>
          <w:sz w:val="22"/>
          <w:szCs w:val="22"/>
          <w:lang w:val="es-ES"/>
        </w:rPr>
        <w:t xml:space="preserve">acciones </w:t>
      </w:r>
      <w:r w:rsidR="00A433BF" w:rsidRPr="008114D0">
        <w:rPr>
          <w:rFonts w:ascii="Arial" w:hAnsi="Arial" w:cs="Arial"/>
          <w:bCs/>
          <w:sz w:val="22"/>
          <w:szCs w:val="22"/>
          <w:lang w:val="es-ES"/>
        </w:rPr>
        <w:t>denunciadas.</w:t>
      </w:r>
    </w:p>
    <w:p w14:paraId="20851EE3" w14:textId="1D8FC0C0" w:rsidR="005D4987" w:rsidRDefault="005D4987" w:rsidP="008114D0">
      <w:pPr>
        <w:spacing w:line="360" w:lineRule="auto"/>
        <w:jc w:val="both"/>
        <w:rPr>
          <w:rFonts w:ascii="Arial" w:hAnsi="Arial" w:cs="Arial"/>
          <w:bCs/>
          <w:sz w:val="22"/>
          <w:szCs w:val="22"/>
          <w:lang w:val="es-ES"/>
        </w:rPr>
      </w:pPr>
    </w:p>
    <w:tbl>
      <w:tblPr>
        <w:tblStyle w:val="Tabladecuadrcula4"/>
        <w:tblW w:w="9498" w:type="dxa"/>
        <w:jc w:val="center"/>
        <w:tblLook w:val="04A0" w:firstRow="1" w:lastRow="0" w:firstColumn="1" w:lastColumn="0" w:noHBand="0" w:noVBand="1"/>
      </w:tblPr>
      <w:tblGrid>
        <w:gridCol w:w="2127"/>
        <w:gridCol w:w="2622"/>
        <w:gridCol w:w="4749"/>
      </w:tblGrid>
      <w:tr w:rsidR="00934394" w14:paraId="4425378D" w14:textId="77777777" w:rsidTr="00892D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98" w:type="dxa"/>
            <w:gridSpan w:val="3"/>
          </w:tcPr>
          <w:p w14:paraId="7CB84468" w14:textId="77777777" w:rsidR="00934394" w:rsidRDefault="00934394" w:rsidP="000D4DA7">
            <w:pPr>
              <w:jc w:val="center"/>
              <w:rPr>
                <w:rFonts w:ascii="Arial" w:hAnsi="Arial" w:cs="Arial"/>
                <w:sz w:val="20"/>
                <w:szCs w:val="20"/>
              </w:rPr>
            </w:pPr>
            <w:r>
              <w:rPr>
                <w:rFonts w:ascii="Arial" w:hAnsi="Arial" w:cs="Arial"/>
                <w:sz w:val="20"/>
                <w:szCs w:val="20"/>
              </w:rPr>
              <w:t>Oficialía Electoral IEE/OE/191/2021.</w:t>
            </w:r>
          </w:p>
        </w:tc>
      </w:tr>
      <w:tr w:rsidR="00934394" w14:paraId="5A59E588" w14:textId="77777777" w:rsidTr="0089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shd w:val="clear" w:color="auto" w:fill="F2F2F2" w:themeFill="background1" w:themeFillShade="F2"/>
          </w:tcPr>
          <w:p w14:paraId="62D0FA1B" w14:textId="77777777" w:rsidR="00934394" w:rsidRPr="00934394" w:rsidRDefault="00934394" w:rsidP="000D4DA7">
            <w:pPr>
              <w:jc w:val="both"/>
              <w:rPr>
                <w:rFonts w:ascii="Arial" w:hAnsi="Arial" w:cs="Arial"/>
                <w:sz w:val="18"/>
                <w:szCs w:val="18"/>
              </w:rPr>
            </w:pPr>
            <w:r w:rsidRPr="00934394">
              <w:rPr>
                <w:rFonts w:ascii="Arial" w:hAnsi="Arial" w:cs="Arial"/>
                <w:sz w:val="18"/>
                <w:szCs w:val="18"/>
              </w:rPr>
              <w:t>“…Ubicación del espectacular: En el edificio del Banco denominado BBVA Bancomer, ubicado en la calle Hernán González esquina Avenida José María Chávez, de la Colonia Lindavista.”</w:t>
            </w:r>
          </w:p>
        </w:tc>
        <w:tc>
          <w:tcPr>
            <w:tcW w:w="7371" w:type="dxa"/>
            <w:gridSpan w:val="2"/>
            <w:shd w:val="clear" w:color="auto" w:fill="F2F2F2" w:themeFill="background1" w:themeFillShade="F2"/>
          </w:tcPr>
          <w:p w14:paraId="0617CE81" w14:textId="77777777" w:rsidR="00934394" w:rsidRPr="00934394" w:rsidRDefault="00934394" w:rsidP="000D4DA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34394">
              <w:rPr>
                <w:rFonts w:ascii="Arial" w:hAnsi="Arial" w:cs="Arial"/>
                <w:sz w:val="18"/>
                <w:szCs w:val="18"/>
              </w:rPr>
              <w:t>Siendo las catorce horas con cincuenta y cuatro minutos del día veinticuatro de mayo de dos mil veintiuno, me constituí en el domicilio ubicado en la calle Hernán González esquina con José María Chávez, de esta ciudad de Aguascalientes, haciéndose la aclaración que el nombre del Fraccionamiento es Bulevar y no la Colonia Lindavista como erróneamente se señaló en la denuncia, siendo además que el domicilio donde se encuentra fijado la estructura del espectacular señalado se encuentra en Avenida José María Chávez número mil doce guion a (1012-A), en el Fraccionamiento Bulevar, a un costado del domicilio proporcionado por el denunciante, con base en lo anterior, cerciorado de ser el lugar a certificar por haberlo verificado con la nomenclatura oficial y por coincidir las características del mismo con la de la fotografía inserta en la denuncia de mérito, lugar donde observé lo siguiente: Un espectacular con fondo rojo, el cual en la parte superior izquierda se encuentra un texto en color blanco con la siguiente leyenda “PARTIDO DEL TRABAJO”, debajo se aprecia la imagen de una persona del género femenino, en la parte central se encuentra la siguiente leyenda “BLANQUITA CONTRERAS GONZÁLEZ” en color blanco, seguido se encuentra un recuadro en color amarillo y dentro de dicho recuadro en color rojo se encuentra la siguiente leyenda “DIPUTADA LOCAL DTTP. 06”, debajo un texto en blanco con la siguiente leyenda “CANDIDATA”, en la parte superior derecha se localiza un rectángulo en fondo blanco con el texto INE-RNP-000000321379 en color negro, debajo se encuentra la leyenda “VOTA SÓLO” en blanco seguido del emblema del Partido del Trabajo cruzado con unas líneas en color negro con sombra en  blanco, seguido de la leyenda en texto blanco “6 DE JUNIO”, en la parte inferior izquierda la siguiente leyenda en texto blanco y amarillo “#ElPTEstáDeTuLado” seguido de una imagen con tres flechas gruesas simulando un triángulo en color blanco. Lo anterior tal y como puede visualizarse en las fotografías uno y dos del ANEXO ÚNICO de la presente Acta.</w:t>
            </w:r>
          </w:p>
        </w:tc>
      </w:tr>
      <w:tr w:rsidR="00934394" w14:paraId="61F59EC3" w14:textId="77777777" w:rsidTr="00892D22">
        <w:trPr>
          <w:jc w:val="center"/>
        </w:trPr>
        <w:tc>
          <w:tcPr>
            <w:cnfStyle w:val="001000000000" w:firstRow="0" w:lastRow="0" w:firstColumn="1" w:lastColumn="0" w:oddVBand="0" w:evenVBand="0" w:oddHBand="0" w:evenHBand="0" w:firstRowFirstColumn="0" w:firstRowLastColumn="0" w:lastRowFirstColumn="0" w:lastRowLastColumn="0"/>
            <w:tcW w:w="4749" w:type="dxa"/>
            <w:gridSpan w:val="2"/>
          </w:tcPr>
          <w:p w14:paraId="67B8F7E3" w14:textId="748B0131" w:rsidR="00934394" w:rsidRPr="00897ED2" w:rsidRDefault="00934394" w:rsidP="00934394">
            <w:pPr>
              <w:tabs>
                <w:tab w:val="left" w:pos="1770"/>
              </w:tabs>
              <w:jc w:val="center"/>
              <w:rPr>
                <w:rFonts w:ascii="Arial" w:hAnsi="Arial" w:cs="Arial"/>
              </w:rPr>
            </w:pPr>
            <w:r w:rsidRPr="00934394">
              <w:rPr>
                <w:rFonts w:ascii="Arial" w:hAnsi="Arial" w:cs="Arial"/>
                <w:noProof/>
              </w:rPr>
              <w:drawing>
                <wp:inline distT="0" distB="0" distL="0" distR="0" wp14:anchorId="4AC0CF0A" wp14:editId="7A005CE7">
                  <wp:extent cx="2843793" cy="187960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5863" cy="1900797"/>
                          </a:xfrm>
                          <a:prstGeom prst="rect">
                            <a:avLst/>
                          </a:prstGeom>
                          <a:noFill/>
                          <a:ln>
                            <a:noFill/>
                          </a:ln>
                        </pic:spPr>
                      </pic:pic>
                    </a:graphicData>
                  </a:graphic>
                </wp:inline>
              </w:drawing>
            </w:r>
          </w:p>
        </w:tc>
        <w:tc>
          <w:tcPr>
            <w:tcW w:w="4749" w:type="dxa"/>
          </w:tcPr>
          <w:p w14:paraId="0FDB0FB0" w14:textId="1904FEC2" w:rsidR="00934394" w:rsidRPr="00897ED2" w:rsidRDefault="00934394" w:rsidP="0093439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34394">
              <w:rPr>
                <w:rFonts w:ascii="Arial" w:hAnsi="Arial" w:cs="Arial"/>
                <w:b/>
                <w:bCs/>
                <w:noProof/>
              </w:rPr>
              <w:drawing>
                <wp:inline distT="0" distB="0" distL="0" distR="0" wp14:anchorId="75D65FB5" wp14:editId="503E7906">
                  <wp:extent cx="1268165" cy="1841500"/>
                  <wp:effectExtent l="0" t="0" r="8255"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5002" cy="1865949"/>
                          </a:xfrm>
                          <a:prstGeom prst="rect">
                            <a:avLst/>
                          </a:prstGeom>
                          <a:noFill/>
                          <a:ln>
                            <a:noFill/>
                          </a:ln>
                        </pic:spPr>
                      </pic:pic>
                    </a:graphicData>
                  </a:graphic>
                </wp:inline>
              </w:drawing>
            </w:r>
          </w:p>
        </w:tc>
      </w:tr>
    </w:tbl>
    <w:p w14:paraId="5848DB3F" w14:textId="5063A624" w:rsidR="00E914D1" w:rsidRDefault="00E914D1" w:rsidP="00E914D1">
      <w:pPr>
        <w:tabs>
          <w:tab w:val="left" w:pos="6195"/>
        </w:tabs>
        <w:spacing w:line="360" w:lineRule="auto"/>
        <w:jc w:val="both"/>
        <w:rPr>
          <w:rFonts w:ascii="Arial" w:hAnsi="Arial" w:cs="Arial"/>
          <w:b/>
          <w:sz w:val="22"/>
          <w:szCs w:val="22"/>
          <w:lang w:val="es-ES"/>
        </w:rPr>
      </w:pPr>
    </w:p>
    <w:p w14:paraId="4E5FF8F7" w14:textId="5A285462" w:rsidR="005833FF"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583A166E" w14:textId="77777777" w:rsidR="002B2074" w:rsidRPr="008114D0" w:rsidRDefault="002B2074"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E67846C" w14:textId="7EF644CC" w:rsidR="0078220C" w:rsidRPr="008114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Cs/>
          <w:sz w:val="22"/>
          <w:szCs w:val="22"/>
        </w:rPr>
        <w:t xml:space="preserve">Una vez acreditada la existencia del hecho denunciado, el aspecto a dilucidar en la presente sentencia consiste en determinar si </w:t>
      </w:r>
      <w:r w:rsidR="00FE4D00" w:rsidRPr="008114D0">
        <w:rPr>
          <w:rFonts w:ascii="Arial" w:eastAsia="Arial Nova" w:hAnsi="Arial" w:cs="Arial"/>
          <w:bCs/>
          <w:sz w:val="22"/>
          <w:szCs w:val="22"/>
        </w:rPr>
        <w:t xml:space="preserve">se configura </w:t>
      </w:r>
      <w:r w:rsidR="00B63550">
        <w:rPr>
          <w:rFonts w:ascii="Arial" w:eastAsia="Arial Nova" w:hAnsi="Arial" w:cs="Arial"/>
          <w:bCs/>
          <w:sz w:val="22"/>
          <w:szCs w:val="22"/>
        </w:rPr>
        <w:t xml:space="preserve">una </w:t>
      </w:r>
      <w:r w:rsidR="007B4A9B">
        <w:rPr>
          <w:rFonts w:ascii="Arial" w:eastAsia="Arial Nova" w:hAnsi="Arial" w:cs="Arial"/>
          <w:bCs/>
          <w:sz w:val="22"/>
          <w:szCs w:val="22"/>
        </w:rPr>
        <w:t>infracción</w:t>
      </w:r>
      <w:r w:rsidR="00B63550">
        <w:rPr>
          <w:rFonts w:ascii="Arial" w:eastAsia="Arial Nova" w:hAnsi="Arial" w:cs="Arial"/>
          <w:bCs/>
          <w:sz w:val="22"/>
          <w:szCs w:val="22"/>
        </w:rPr>
        <w:t xml:space="preserve"> a la normativa electoral, por la </w:t>
      </w:r>
      <w:r w:rsidR="007B4A9B">
        <w:rPr>
          <w:rFonts w:ascii="Arial" w:eastAsia="Arial Nova" w:hAnsi="Arial" w:cs="Arial"/>
          <w:bCs/>
          <w:sz w:val="22"/>
          <w:szCs w:val="22"/>
        </w:rPr>
        <w:t>fijación</w:t>
      </w:r>
      <w:r w:rsidR="00B63550">
        <w:rPr>
          <w:rFonts w:ascii="Arial" w:eastAsia="Arial Nova" w:hAnsi="Arial" w:cs="Arial"/>
          <w:bCs/>
          <w:sz w:val="22"/>
          <w:szCs w:val="22"/>
        </w:rPr>
        <w:t xml:space="preserve"> de </w:t>
      </w:r>
      <w:r w:rsidR="007B4A9B">
        <w:rPr>
          <w:rFonts w:ascii="Arial" w:eastAsia="Arial Nova" w:hAnsi="Arial" w:cs="Arial"/>
          <w:bCs/>
          <w:sz w:val="22"/>
          <w:szCs w:val="22"/>
        </w:rPr>
        <w:t>propaganda</w:t>
      </w:r>
      <w:r w:rsidR="00B63550">
        <w:rPr>
          <w:rFonts w:ascii="Arial" w:eastAsia="Arial Nova" w:hAnsi="Arial" w:cs="Arial"/>
          <w:bCs/>
          <w:sz w:val="22"/>
          <w:szCs w:val="22"/>
        </w:rPr>
        <w:t xml:space="preserve"> electoral fuera del distrito por el que se contiende</w:t>
      </w:r>
      <w:r w:rsidR="005A7F34" w:rsidRPr="008114D0">
        <w:rPr>
          <w:rFonts w:ascii="Arial" w:eastAsia="Arial Nova" w:hAnsi="Arial" w:cs="Arial"/>
          <w:bCs/>
          <w:sz w:val="22"/>
          <w:szCs w:val="22"/>
        </w:rPr>
        <w:t>, por</w:t>
      </w:r>
      <w:r w:rsidR="0078220C" w:rsidRPr="008114D0">
        <w:rPr>
          <w:rFonts w:ascii="Arial" w:eastAsia="Arial Nova" w:hAnsi="Arial" w:cs="Arial"/>
          <w:bCs/>
          <w:sz w:val="22"/>
          <w:szCs w:val="22"/>
        </w:rPr>
        <w:t xml:space="preserve"> lo que se deberá analizar lo siguiente:</w:t>
      </w:r>
    </w:p>
    <w:p w14:paraId="544FDC8E" w14:textId="77777777" w:rsidR="0078220C" w:rsidRPr="008114D0" w:rsidRDefault="0078220C"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262F37F9" w14:textId="77777777" w:rsidR="00AF5CE0" w:rsidRDefault="00AF5CE0"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1D7982">
        <w:rPr>
          <w:rFonts w:ascii="Arial" w:eastAsia="Arial Nova" w:hAnsi="Arial" w:cs="Arial"/>
          <w:b/>
          <w:sz w:val="22"/>
          <w:szCs w:val="22"/>
        </w:rPr>
        <w:t>a)</w:t>
      </w:r>
      <w:r w:rsidRPr="0078220C">
        <w:rPr>
          <w:rFonts w:ascii="Arial" w:eastAsia="Arial Nova" w:hAnsi="Arial" w:cs="Arial"/>
          <w:bCs/>
          <w:sz w:val="22"/>
          <w:szCs w:val="22"/>
        </w:rPr>
        <w:t xml:space="preserve"> La existencia o no de los hechos denunciados; </w:t>
      </w:r>
    </w:p>
    <w:p w14:paraId="7C830D51" w14:textId="54219FF3" w:rsidR="00AF5CE0" w:rsidRDefault="00AF5CE0"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1D7982">
        <w:rPr>
          <w:rFonts w:ascii="Arial" w:eastAsia="Arial Nova" w:hAnsi="Arial" w:cs="Arial"/>
          <w:b/>
          <w:sz w:val="22"/>
          <w:szCs w:val="22"/>
        </w:rPr>
        <w:t>b)</w:t>
      </w:r>
      <w:r w:rsidRPr="0078220C">
        <w:rPr>
          <w:rFonts w:ascii="Arial" w:eastAsia="Arial Nova" w:hAnsi="Arial" w:cs="Arial"/>
          <w:bCs/>
          <w:sz w:val="22"/>
          <w:szCs w:val="22"/>
        </w:rPr>
        <w:t xml:space="preserve"> El análisis de si </w:t>
      </w:r>
      <w:r w:rsidR="001D7982">
        <w:rPr>
          <w:rFonts w:ascii="Arial" w:eastAsia="Arial Nova" w:hAnsi="Arial" w:cs="Arial"/>
          <w:bCs/>
          <w:sz w:val="22"/>
          <w:szCs w:val="22"/>
        </w:rPr>
        <w:t>con los</w:t>
      </w:r>
      <w:r w:rsidRPr="0078220C">
        <w:rPr>
          <w:rFonts w:ascii="Arial" w:eastAsia="Arial Nova" w:hAnsi="Arial" w:cs="Arial"/>
          <w:bCs/>
          <w:sz w:val="22"/>
          <w:szCs w:val="22"/>
        </w:rPr>
        <w:t xml:space="preserve"> hechos acreditados</w:t>
      </w:r>
      <w:r w:rsidR="001D7982">
        <w:rPr>
          <w:rFonts w:ascii="Arial" w:eastAsia="Arial Nova" w:hAnsi="Arial" w:cs="Arial"/>
          <w:bCs/>
          <w:sz w:val="22"/>
          <w:szCs w:val="22"/>
        </w:rPr>
        <w:t>,</w:t>
      </w:r>
      <w:r w:rsidRPr="0078220C">
        <w:rPr>
          <w:rFonts w:ascii="Arial" w:eastAsia="Arial Nova" w:hAnsi="Arial" w:cs="Arial"/>
          <w:bCs/>
          <w:sz w:val="22"/>
          <w:szCs w:val="22"/>
        </w:rPr>
        <w:t xml:space="preserve"> </w:t>
      </w:r>
      <w:r w:rsidR="001D7982">
        <w:rPr>
          <w:rFonts w:ascii="Arial" w:eastAsia="Arial Nova" w:hAnsi="Arial" w:cs="Arial"/>
          <w:bCs/>
          <w:sz w:val="22"/>
          <w:szCs w:val="22"/>
        </w:rPr>
        <w:t>se vulnera la normativa electoral, en consideración a la colocación fuera de la demarcación territorial para la cual se compite</w:t>
      </w:r>
      <w:r w:rsidRPr="0078220C">
        <w:rPr>
          <w:rFonts w:ascii="Arial" w:eastAsia="Arial Nova" w:hAnsi="Arial" w:cs="Arial"/>
          <w:bCs/>
          <w:sz w:val="22"/>
          <w:szCs w:val="22"/>
        </w:rPr>
        <w:t xml:space="preserve">. </w:t>
      </w:r>
    </w:p>
    <w:p w14:paraId="4AA2CFAA" w14:textId="77777777" w:rsidR="00AF5CE0" w:rsidRDefault="00AF5CE0"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1D7982">
        <w:rPr>
          <w:rFonts w:ascii="Arial" w:eastAsia="Arial Nova" w:hAnsi="Arial" w:cs="Arial"/>
          <w:b/>
          <w:sz w:val="22"/>
          <w:szCs w:val="22"/>
        </w:rPr>
        <w:t>c)</w:t>
      </w:r>
      <w:r w:rsidRPr="0078220C">
        <w:rPr>
          <w:rFonts w:ascii="Arial" w:eastAsia="Arial Nova" w:hAnsi="Arial" w:cs="Arial"/>
          <w:bCs/>
          <w:sz w:val="22"/>
          <w:szCs w:val="22"/>
        </w:rPr>
        <w:t xml:space="preserve"> En caso de ser procedente, se determinará la responsabilidad del presunto infractor; y </w:t>
      </w:r>
    </w:p>
    <w:p w14:paraId="630594AE" w14:textId="7FF3EEF7" w:rsidR="00AF5CE0" w:rsidRDefault="00AF5CE0"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1D7982">
        <w:rPr>
          <w:rFonts w:ascii="Arial" w:eastAsia="Arial Nova" w:hAnsi="Arial" w:cs="Arial"/>
          <w:b/>
          <w:sz w:val="22"/>
          <w:szCs w:val="22"/>
        </w:rPr>
        <w:t>d)</w:t>
      </w:r>
      <w:r w:rsidRPr="0078220C">
        <w:rPr>
          <w:rFonts w:ascii="Arial" w:eastAsia="Arial Nova" w:hAnsi="Arial" w:cs="Arial"/>
          <w:bCs/>
          <w:sz w:val="22"/>
          <w:szCs w:val="22"/>
        </w:rPr>
        <w:t xml:space="preserve"> En caso de proceder, resolver sobre la calificación de la falta e individualización de la sanción.</w:t>
      </w:r>
    </w:p>
    <w:p w14:paraId="4C2379A2" w14:textId="07FE1818" w:rsidR="00A47944" w:rsidRDefault="00A47944"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39EEF4D6" w14:textId="77777777" w:rsidR="00A47944" w:rsidRDefault="00A47944"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4D989E6A" w14:textId="77777777" w:rsidR="001D7982" w:rsidRPr="00FA75EF" w:rsidRDefault="001D7982"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1B9981E0" w14:textId="28C1463A" w:rsidR="003C57B8" w:rsidRPr="008114D0"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lastRenderedPageBreak/>
        <w:t>10</w:t>
      </w:r>
      <w:r w:rsidR="005555E4" w:rsidRPr="008114D0">
        <w:rPr>
          <w:rFonts w:ascii="Arial" w:eastAsia="Arial Nova" w:hAnsi="Arial" w:cs="Arial"/>
          <w:b/>
          <w:sz w:val="22"/>
          <w:szCs w:val="22"/>
        </w:rPr>
        <w:t xml:space="preserve">. </w:t>
      </w:r>
      <w:r w:rsidR="003C5204" w:rsidRPr="008114D0">
        <w:rPr>
          <w:rFonts w:ascii="Arial" w:eastAsia="Arial Nova" w:hAnsi="Arial" w:cs="Arial"/>
          <w:b/>
          <w:sz w:val="22"/>
          <w:szCs w:val="22"/>
        </w:rPr>
        <w:t xml:space="preserve"> </w:t>
      </w:r>
      <w:r w:rsidR="003C57B8" w:rsidRPr="008114D0">
        <w:rPr>
          <w:rFonts w:ascii="Arial" w:eastAsia="Arial Nova" w:hAnsi="Arial" w:cs="Arial"/>
          <w:b/>
          <w:sz w:val="22"/>
          <w:szCs w:val="22"/>
        </w:rPr>
        <w:t>ESTUDIO DE FONDO.</w:t>
      </w:r>
    </w:p>
    <w:p w14:paraId="796E033D" w14:textId="72F1248F" w:rsidR="006725D0" w:rsidRPr="008114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sidRPr="008114D0">
        <w:rPr>
          <w:rFonts w:ascii="Arial" w:eastAsia="Arial Nova" w:hAnsi="Arial" w:cs="Arial"/>
          <w:b/>
          <w:bCs/>
          <w:sz w:val="22"/>
          <w:szCs w:val="22"/>
        </w:rPr>
        <w:t>10.1</w:t>
      </w:r>
      <w:r w:rsidR="00885D6E" w:rsidRPr="008114D0">
        <w:rPr>
          <w:rFonts w:ascii="Arial" w:eastAsia="Arial Nova" w:hAnsi="Arial" w:cs="Arial"/>
          <w:b/>
          <w:bCs/>
          <w:sz w:val="22"/>
          <w:szCs w:val="22"/>
        </w:rPr>
        <w:t xml:space="preserve">. </w:t>
      </w:r>
      <w:r w:rsidR="00382681" w:rsidRPr="008114D0">
        <w:rPr>
          <w:rFonts w:ascii="Arial" w:eastAsia="Arial Nova" w:hAnsi="Arial" w:cs="Arial"/>
          <w:b/>
          <w:bCs/>
          <w:sz w:val="22"/>
          <w:szCs w:val="22"/>
        </w:rPr>
        <w:t>Planteamiento del caso.</w:t>
      </w:r>
    </w:p>
    <w:p w14:paraId="4014E6D9" w14:textId="77777777" w:rsidR="002E3E1E" w:rsidRPr="008114D0" w:rsidRDefault="002E3E1E" w:rsidP="008114D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59FD6BAB" w14:textId="1F337E5A" w:rsidR="00AA46EC" w:rsidRDefault="0078220C"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 xml:space="preserve">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w:t>
      </w:r>
      <w:r w:rsidR="005A7F34" w:rsidRPr="008114D0">
        <w:rPr>
          <w:rFonts w:ascii="Arial" w:eastAsia="Arial Nova" w:hAnsi="Arial" w:cs="Arial"/>
          <w:sz w:val="22"/>
          <w:szCs w:val="22"/>
        </w:rPr>
        <w:t xml:space="preserve">actos </w:t>
      </w:r>
      <w:r w:rsidR="008A26F0" w:rsidRPr="008114D0">
        <w:rPr>
          <w:rFonts w:ascii="Arial" w:eastAsia="Arial Nova" w:hAnsi="Arial" w:cs="Arial"/>
          <w:sz w:val="22"/>
          <w:szCs w:val="22"/>
        </w:rPr>
        <w:t>que transgreden la normatividad electoral.</w:t>
      </w:r>
    </w:p>
    <w:p w14:paraId="1582F68C" w14:textId="77777777" w:rsidR="00A47944" w:rsidRPr="008114D0" w:rsidRDefault="00A47944"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07F167C" w14:textId="460BB117" w:rsidR="00A05051" w:rsidRDefault="0090308D" w:rsidP="008114D0">
      <w:pPr>
        <w:spacing w:line="360" w:lineRule="auto"/>
        <w:jc w:val="both"/>
        <w:rPr>
          <w:rFonts w:ascii="Arial" w:hAnsi="Arial" w:cs="Arial"/>
          <w:b/>
          <w:bCs/>
          <w:sz w:val="22"/>
          <w:szCs w:val="22"/>
        </w:rPr>
      </w:pPr>
      <w:r w:rsidRPr="008114D0">
        <w:rPr>
          <w:rFonts w:ascii="Arial" w:hAnsi="Arial" w:cs="Arial"/>
          <w:b/>
          <w:bCs/>
          <w:sz w:val="22"/>
          <w:szCs w:val="22"/>
        </w:rPr>
        <w:t>10.2</w:t>
      </w:r>
      <w:r w:rsidR="00885D6E" w:rsidRPr="008114D0">
        <w:rPr>
          <w:rFonts w:ascii="Arial" w:hAnsi="Arial" w:cs="Arial"/>
          <w:b/>
          <w:bCs/>
          <w:sz w:val="22"/>
          <w:szCs w:val="22"/>
        </w:rPr>
        <w:t xml:space="preserve">. </w:t>
      </w:r>
      <w:r w:rsidR="00A05051" w:rsidRPr="008114D0">
        <w:rPr>
          <w:rFonts w:ascii="Arial" w:hAnsi="Arial" w:cs="Arial"/>
          <w:b/>
          <w:bCs/>
          <w:sz w:val="22"/>
          <w:szCs w:val="22"/>
        </w:rPr>
        <w:t>Marco jurídico aplicable.</w:t>
      </w:r>
    </w:p>
    <w:p w14:paraId="49959992" w14:textId="0B314431" w:rsidR="00413DA3" w:rsidRPr="00413DA3" w:rsidRDefault="00413DA3" w:rsidP="008114D0">
      <w:pPr>
        <w:spacing w:line="360" w:lineRule="auto"/>
        <w:jc w:val="both"/>
        <w:rPr>
          <w:rFonts w:ascii="Arial" w:hAnsi="Arial" w:cs="Arial"/>
          <w:sz w:val="22"/>
          <w:szCs w:val="22"/>
        </w:rPr>
      </w:pPr>
    </w:p>
    <w:p w14:paraId="7C11D095" w14:textId="51A06632" w:rsidR="00413DA3" w:rsidRPr="00413DA3" w:rsidRDefault="00413DA3" w:rsidP="008114D0">
      <w:pPr>
        <w:spacing w:line="360" w:lineRule="auto"/>
        <w:jc w:val="both"/>
        <w:rPr>
          <w:rFonts w:ascii="Arial" w:hAnsi="Arial" w:cs="Arial"/>
          <w:sz w:val="22"/>
          <w:szCs w:val="22"/>
        </w:rPr>
      </w:pPr>
      <w:r w:rsidRPr="00413DA3">
        <w:rPr>
          <w:rFonts w:ascii="Arial" w:hAnsi="Arial" w:cs="Arial"/>
          <w:sz w:val="22"/>
          <w:szCs w:val="22"/>
        </w:rPr>
        <w:t xml:space="preserve">La </w:t>
      </w:r>
      <w:r w:rsidR="00A74BFD">
        <w:rPr>
          <w:rFonts w:ascii="Arial" w:hAnsi="Arial" w:cs="Arial"/>
          <w:sz w:val="22"/>
          <w:szCs w:val="22"/>
        </w:rPr>
        <w:t>LGIPE</w:t>
      </w:r>
      <w:r w:rsidRPr="00413DA3">
        <w:rPr>
          <w:rFonts w:ascii="Arial" w:hAnsi="Arial" w:cs="Arial"/>
          <w:sz w:val="22"/>
          <w:szCs w:val="22"/>
        </w:rPr>
        <w:t>, en su artículo 210 señala que la distribución o colocación de la propaganda electoral deberá respetar los tiempos legales que se establezcan para cada caso, su retiro o fin de su distribución deberá efectuarse 3 días antes de la jornada electoral, así mismo, en el caso de propaganda colocada en vía pública, deberá retirarse durante los 7 días posteriores a la conclusión de la jornada electoral.</w:t>
      </w:r>
    </w:p>
    <w:p w14:paraId="3E13C446" w14:textId="175D95C3" w:rsidR="00413DA3" w:rsidRPr="00413DA3" w:rsidRDefault="00413DA3" w:rsidP="008114D0">
      <w:pPr>
        <w:spacing w:line="360" w:lineRule="auto"/>
        <w:jc w:val="both"/>
        <w:rPr>
          <w:rFonts w:ascii="Arial" w:hAnsi="Arial" w:cs="Arial"/>
          <w:sz w:val="22"/>
          <w:szCs w:val="22"/>
        </w:rPr>
      </w:pPr>
    </w:p>
    <w:p w14:paraId="7C4715A1" w14:textId="0020691D" w:rsidR="00413DA3" w:rsidRPr="00413DA3" w:rsidRDefault="00413DA3" w:rsidP="008114D0">
      <w:pPr>
        <w:spacing w:line="360" w:lineRule="auto"/>
        <w:jc w:val="both"/>
        <w:rPr>
          <w:rFonts w:ascii="Arial" w:hAnsi="Arial" w:cs="Arial"/>
          <w:sz w:val="22"/>
          <w:szCs w:val="22"/>
        </w:rPr>
      </w:pPr>
      <w:r w:rsidRPr="00413DA3">
        <w:rPr>
          <w:rFonts w:ascii="Arial" w:hAnsi="Arial" w:cs="Arial"/>
          <w:sz w:val="22"/>
          <w:szCs w:val="22"/>
        </w:rPr>
        <w:t xml:space="preserve">El artículo 242, párrafo 3 de la </w:t>
      </w:r>
      <w:r w:rsidR="005E1919">
        <w:rPr>
          <w:rFonts w:ascii="Arial" w:hAnsi="Arial" w:cs="Arial"/>
          <w:sz w:val="22"/>
          <w:szCs w:val="22"/>
        </w:rPr>
        <w:t>LGIPE</w:t>
      </w:r>
      <w:r w:rsidRPr="00413DA3">
        <w:rPr>
          <w:rFonts w:ascii="Arial" w:hAnsi="Arial" w:cs="Arial"/>
          <w:sz w:val="22"/>
          <w:szCs w:val="22"/>
        </w:rPr>
        <w:t>, establece que la propaganda electoral es el conjunto de escritos, publicaciones, imágenes, grabaciones, proyecciones y expresiones que durante la campaña electoral producen y difunden los partidos políticos, los candidatos registrados y sus simpatizantes, con el objeto de presentar ante la ciudadanía las candidaturas registradas.</w:t>
      </w:r>
    </w:p>
    <w:p w14:paraId="2F4B71A0" w14:textId="7C52C217" w:rsidR="00413DA3" w:rsidRPr="00413DA3" w:rsidRDefault="00413DA3" w:rsidP="008114D0">
      <w:pPr>
        <w:spacing w:line="360" w:lineRule="auto"/>
        <w:jc w:val="both"/>
        <w:rPr>
          <w:rFonts w:ascii="Arial" w:hAnsi="Arial" w:cs="Arial"/>
          <w:sz w:val="22"/>
          <w:szCs w:val="22"/>
        </w:rPr>
      </w:pPr>
    </w:p>
    <w:p w14:paraId="0DECEAB0" w14:textId="57FADADF" w:rsidR="00413DA3" w:rsidRPr="00413DA3" w:rsidRDefault="00413DA3" w:rsidP="008114D0">
      <w:pPr>
        <w:spacing w:line="360" w:lineRule="auto"/>
        <w:jc w:val="both"/>
        <w:rPr>
          <w:rFonts w:ascii="Arial" w:hAnsi="Arial" w:cs="Arial"/>
          <w:sz w:val="22"/>
          <w:szCs w:val="22"/>
        </w:rPr>
      </w:pPr>
      <w:r w:rsidRPr="00413DA3">
        <w:rPr>
          <w:rFonts w:ascii="Arial" w:hAnsi="Arial" w:cs="Arial"/>
          <w:sz w:val="22"/>
          <w:szCs w:val="22"/>
        </w:rPr>
        <w:t xml:space="preserve">El artículo 250 numeral 1 incisos del a) al e) de la </w:t>
      </w:r>
      <w:r w:rsidR="005E1919">
        <w:rPr>
          <w:rFonts w:ascii="Arial" w:hAnsi="Arial" w:cs="Arial"/>
          <w:sz w:val="22"/>
          <w:szCs w:val="22"/>
        </w:rPr>
        <w:t>LGIPE</w:t>
      </w:r>
      <w:r w:rsidRPr="00413DA3">
        <w:rPr>
          <w:rFonts w:ascii="Arial" w:hAnsi="Arial" w:cs="Arial"/>
          <w:sz w:val="22"/>
          <w:szCs w:val="22"/>
        </w:rPr>
        <w:t>, sostiene:</w:t>
      </w:r>
    </w:p>
    <w:p w14:paraId="64A500D8" w14:textId="291E425A" w:rsidR="00413DA3" w:rsidRPr="00413DA3" w:rsidRDefault="00413DA3" w:rsidP="008114D0">
      <w:pPr>
        <w:spacing w:line="360" w:lineRule="auto"/>
        <w:jc w:val="both"/>
        <w:rPr>
          <w:rFonts w:ascii="Arial" w:hAnsi="Arial" w:cs="Arial"/>
          <w:sz w:val="22"/>
          <w:szCs w:val="22"/>
        </w:rPr>
      </w:pPr>
    </w:p>
    <w:p w14:paraId="3CB25BB3" w14:textId="7D2E79EE" w:rsidR="00413DA3" w:rsidRPr="00413DA3" w:rsidRDefault="00413DA3" w:rsidP="008114D0">
      <w:pPr>
        <w:spacing w:line="360" w:lineRule="auto"/>
        <w:jc w:val="both"/>
        <w:rPr>
          <w:rFonts w:ascii="Arial" w:hAnsi="Arial" w:cs="Arial"/>
          <w:sz w:val="22"/>
          <w:szCs w:val="22"/>
        </w:rPr>
      </w:pPr>
      <w:r w:rsidRPr="00413DA3">
        <w:rPr>
          <w:rFonts w:ascii="Arial" w:hAnsi="Arial" w:cs="Arial"/>
          <w:sz w:val="22"/>
          <w:szCs w:val="22"/>
        </w:rPr>
        <w:t xml:space="preserve">1. En la colocación de propaganda electoral los partidos y candidatos observarán las reglas siguientes: </w:t>
      </w:r>
    </w:p>
    <w:p w14:paraId="10F0F6E8" w14:textId="77777777" w:rsidR="00413DA3" w:rsidRPr="001268AF" w:rsidRDefault="00413DA3" w:rsidP="001268AF">
      <w:pPr>
        <w:spacing w:line="276" w:lineRule="auto"/>
        <w:ind w:left="851" w:right="851"/>
        <w:jc w:val="both"/>
        <w:rPr>
          <w:rFonts w:ascii="Arial" w:hAnsi="Arial" w:cs="Arial"/>
          <w:i/>
          <w:iCs/>
        </w:rPr>
      </w:pPr>
      <w:r w:rsidRPr="001268AF">
        <w:rPr>
          <w:rFonts w:ascii="Arial" w:hAnsi="Arial" w:cs="Arial"/>
          <w:i/>
          <w:iCs/>
        </w:rPr>
        <w:t xml:space="preserve">a) No podrá colgarse en elementos del equipamiento urbano, ni obstaculizar en forma alguna la visibilidad de los señalamientos que permiten a las personas transitar y orientarse dentro de los centros de población. Las autoridades electorales competentes ordenarán el retiro de la propaganda electoral contraria a esta norma; </w:t>
      </w:r>
    </w:p>
    <w:p w14:paraId="4431C187" w14:textId="77777777" w:rsidR="00413DA3" w:rsidRPr="001268AF" w:rsidRDefault="00413DA3" w:rsidP="001268AF">
      <w:pPr>
        <w:spacing w:line="276" w:lineRule="auto"/>
        <w:ind w:left="851" w:right="851"/>
        <w:jc w:val="both"/>
        <w:rPr>
          <w:rFonts w:ascii="Arial" w:hAnsi="Arial" w:cs="Arial"/>
          <w:i/>
          <w:iCs/>
        </w:rPr>
      </w:pPr>
      <w:r w:rsidRPr="001268AF">
        <w:rPr>
          <w:rFonts w:ascii="Arial" w:hAnsi="Arial" w:cs="Arial"/>
          <w:i/>
          <w:iCs/>
        </w:rPr>
        <w:t xml:space="preserve">b) Podrá colgarse o fijarse en inmuebles de propiedad privada, siempre que medie permiso escrito del propietario; </w:t>
      </w:r>
    </w:p>
    <w:p w14:paraId="249BBE12" w14:textId="77777777" w:rsidR="00413DA3" w:rsidRPr="001268AF" w:rsidRDefault="00413DA3" w:rsidP="001268AF">
      <w:pPr>
        <w:spacing w:line="276" w:lineRule="auto"/>
        <w:ind w:left="851" w:right="851"/>
        <w:jc w:val="both"/>
        <w:rPr>
          <w:rFonts w:ascii="Arial" w:hAnsi="Arial" w:cs="Arial"/>
          <w:i/>
          <w:iCs/>
        </w:rPr>
      </w:pPr>
      <w:r w:rsidRPr="001268AF">
        <w:rPr>
          <w:rFonts w:ascii="Arial" w:hAnsi="Arial" w:cs="Arial"/>
          <w:i/>
          <w:iCs/>
        </w:rPr>
        <w:t>c) Podrá colgarse o fijarse en los bastidores y mamparas de uso común que determinen las juntas locales y distritales ejecutivas del Instituto, previo acuerdo con las autoridades correspondientes;</w:t>
      </w:r>
    </w:p>
    <w:p w14:paraId="6A808C83" w14:textId="77777777" w:rsidR="00413DA3" w:rsidRPr="001268AF" w:rsidRDefault="00413DA3" w:rsidP="001268AF">
      <w:pPr>
        <w:spacing w:line="276" w:lineRule="auto"/>
        <w:ind w:left="851" w:right="851"/>
        <w:jc w:val="both"/>
        <w:rPr>
          <w:rFonts w:ascii="Arial" w:hAnsi="Arial" w:cs="Arial"/>
          <w:i/>
          <w:iCs/>
        </w:rPr>
      </w:pPr>
      <w:r w:rsidRPr="001268AF">
        <w:rPr>
          <w:rFonts w:ascii="Arial" w:hAnsi="Arial" w:cs="Arial"/>
          <w:i/>
          <w:iCs/>
        </w:rPr>
        <w:t xml:space="preserve">d) No podrá fijarse o pintarse en elementos del equipamiento urbano, carretero o ferroviario, ni en accidentes geográficos cualquiera que sea su régimen jurídico, y </w:t>
      </w:r>
    </w:p>
    <w:p w14:paraId="08E42F0C" w14:textId="609B7E2A" w:rsidR="00413DA3" w:rsidRPr="001268AF" w:rsidRDefault="00413DA3" w:rsidP="001268AF">
      <w:pPr>
        <w:spacing w:line="276" w:lineRule="auto"/>
        <w:ind w:left="851" w:right="851"/>
        <w:jc w:val="both"/>
        <w:rPr>
          <w:rFonts w:ascii="Arial" w:hAnsi="Arial" w:cs="Arial"/>
          <w:i/>
          <w:iCs/>
        </w:rPr>
      </w:pPr>
      <w:r w:rsidRPr="001268AF">
        <w:rPr>
          <w:rFonts w:ascii="Arial" w:hAnsi="Arial" w:cs="Arial"/>
          <w:i/>
          <w:iCs/>
        </w:rPr>
        <w:t>e) No podrá colgarse, fijarse o pintarse en monumentos ni en edificios públicos.</w:t>
      </w:r>
    </w:p>
    <w:p w14:paraId="484405C5" w14:textId="749E41B6" w:rsidR="00413DA3" w:rsidRPr="00413DA3" w:rsidRDefault="00413DA3" w:rsidP="008114D0">
      <w:pPr>
        <w:spacing w:line="360" w:lineRule="auto"/>
        <w:jc w:val="both"/>
        <w:rPr>
          <w:rFonts w:ascii="Arial" w:hAnsi="Arial" w:cs="Arial"/>
          <w:sz w:val="22"/>
          <w:szCs w:val="22"/>
        </w:rPr>
      </w:pPr>
    </w:p>
    <w:p w14:paraId="764BD993" w14:textId="4800C397" w:rsidR="00413DA3" w:rsidRPr="00413DA3" w:rsidRDefault="00413DA3" w:rsidP="008114D0">
      <w:pPr>
        <w:spacing w:line="360" w:lineRule="auto"/>
        <w:jc w:val="both"/>
        <w:rPr>
          <w:rFonts w:ascii="Arial" w:hAnsi="Arial" w:cs="Arial"/>
          <w:sz w:val="22"/>
          <w:szCs w:val="22"/>
        </w:rPr>
      </w:pPr>
      <w:r w:rsidRPr="00413DA3">
        <w:rPr>
          <w:rFonts w:ascii="Arial" w:hAnsi="Arial" w:cs="Arial"/>
          <w:sz w:val="22"/>
          <w:szCs w:val="22"/>
        </w:rPr>
        <w:t xml:space="preserve">De igual manera, el tercer párrafo del artículo 285 de la </w:t>
      </w:r>
      <w:r w:rsidR="005E1919">
        <w:rPr>
          <w:rFonts w:ascii="Arial" w:hAnsi="Arial" w:cs="Arial"/>
          <w:sz w:val="22"/>
          <w:szCs w:val="22"/>
        </w:rPr>
        <w:t>LGIPE</w:t>
      </w:r>
      <w:r w:rsidRPr="00413DA3">
        <w:rPr>
          <w:rFonts w:ascii="Arial" w:hAnsi="Arial" w:cs="Arial"/>
          <w:sz w:val="22"/>
          <w:szCs w:val="22"/>
        </w:rPr>
        <w:t>, señala que la propaganda electoral,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4DDD753D" w14:textId="35C75BFF" w:rsidR="00413DA3" w:rsidRDefault="00413DA3" w:rsidP="008114D0">
      <w:pPr>
        <w:spacing w:line="360" w:lineRule="auto"/>
        <w:jc w:val="both"/>
        <w:rPr>
          <w:rFonts w:ascii="Arial" w:hAnsi="Arial" w:cs="Arial"/>
          <w:sz w:val="22"/>
          <w:szCs w:val="22"/>
        </w:rPr>
      </w:pPr>
      <w:r w:rsidRPr="00413DA3">
        <w:rPr>
          <w:rFonts w:ascii="Arial" w:hAnsi="Arial" w:cs="Arial"/>
          <w:sz w:val="22"/>
          <w:szCs w:val="22"/>
        </w:rPr>
        <w:t xml:space="preserve">El cuarto párrafo del mencionado artículo 285 de la </w:t>
      </w:r>
      <w:r w:rsidR="005E1919">
        <w:rPr>
          <w:rFonts w:ascii="Arial" w:hAnsi="Arial" w:cs="Arial"/>
          <w:sz w:val="22"/>
          <w:szCs w:val="22"/>
        </w:rPr>
        <w:t>LGIPE</w:t>
      </w:r>
      <w:r w:rsidR="005E1919" w:rsidRPr="00413DA3">
        <w:rPr>
          <w:rFonts w:ascii="Arial" w:hAnsi="Arial" w:cs="Arial"/>
          <w:sz w:val="22"/>
          <w:szCs w:val="22"/>
        </w:rPr>
        <w:t xml:space="preserve"> </w:t>
      </w:r>
      <w:r w:rsidRPr="00413DA3">
        <w:rPr>
          <w:rFonts w:ascii="Arial" w:hAnsi="Arial" w:cs="Arial"/>
          <w:sz w:val="22"/>
          <w:szCs w:val="22"/>
        </w:rPr>
        <w:t>estima que, tanto la propaganda electoral como las actividades de campaña, deberán propiciar la exposición, desarrollo y discusión ante el electorado de los programas y acciones propuestos por los partidos políticos en su plataforma electoral, que para la elección en cuestión hubieren registrado</w:t>
      </w:r>
    </w:p>
    <w:p w14:paraId="3C2107F3" w14:textId="77777777" w:rsidR="00054B6C" w:rsidRPr="00413DA3" w:rsidRDefault="00054B6C" w:rsidP="008114D0">
      <w:pPr>
        <w:spacing w:line="360" w:lineRule="auto"/>
        <w:jc w:val="both"/>
        <w:rPr>
          <w:rFonts w:ascii="Arial" w:hAnsi="Arial" w:cs="Arial"/>
          <w:sz w:val="22"/>
          <w:szCs w:val="22"/>
        </w:rPr>
      </w:pPr>
    </w:p>
    <w:p w14:paraId="229AF93D" w14:textId="4C440722" w:rsidR="00413DA3" w:rsidRDefault="00413DA3" w:rsidP="008114D0">
      <w:pPr>
        <w:spacing w:line="360" w:lineRule="auto"/>
        <w:jc w:val="both"/>
        <w:rPr>
          <w:rFonts w:ascii="Arial" w:hAnsi="Arial" w:cs="Arial"/>
          <w:sz w:val="22"/>
          <w:szCs w:val="22"/>
        </w:rPr>
      </w:pPr>
      <w:r w:rsidRPr="00413DA3">
        <w:rPr>
          <w:rFonts w:ascii="Arial" w:hAnsi="Arial" w:cs="Arial"/>
          <w:sz w:val="22"/>
          <w:szCs w:val="22"/>
        </w:rPr>
        <w:t xml:space="preserve">De igual manera, el artículo 292 de la </w:t>
      </w:r>
      <w:r w:rsidR="005E1919">
        <w:rPr>
          <w:rFonts w:ascii="Arial" w:hAnsi="Arial" w:cs="Arial"/>
          <w:sz w:val="22"/>
          <w:szCs w:val="22"/>
        </w:rPr>
        <w:t>LGIPE</w:t>
      </w:r>
      <w:r w:rsidRPr="00413DA3">
        <w:rPr>
          <w:rFonts w:ascii="Arial" w:hAnsi="Arial" w:cs="Arial"/>
          <w:sz w:val="22"/>
          <w:szCs w:val="22"/>
        </w:rPr>
        <w:t>, señala:</w:t>
      </w:r>
    </w:p>
    <w:p w14:paraId="5C39BE4B" w14:textId="77777777" w:rsidR="00413DA3" w:rsidRPr="007C3FA1" w:rsidRDefault="00413DA3" w:rsidP="001268AF">
      <w:pPr>
        <w:spacing w:line="276" w:lineRule="auto"/>
        <w:ind w:left="851" w:right="851"/>
        <w:jc w:val="both"/>
        <w:rPr>
          <w:rFonts w:ascii="Arial" w:hAnsi="Arial" w:cs="Arial"/>
          <w:i/>
          <w:iCs/>
        </w:rPr>
      </w:pPr>
      <w:r w:rsidRPr="007C3FA1">
        <w:rPr>
          <w:rFonts w:ascii="Arial" w:hAnsi="Arial" w:cs="Arial"/>
          <w:i/>
          <w:iCs/>
        </w:rPr>
        <w:lastRenderedPageBreak/>
        <w:t xml:space="preserve">Artículo 292. En la colocación de la propaganda electoral, los partidos políticos, coaliciones y candidatos observarán las siguientes reglas: </w:t>
      </w:r>
    </w:p>
    <w:p w14:paraId="275CE74A" w14:textId="77777777" w:rsidR="00413DA3" w:rsidRPr="007C3FA1" w:rsidRDefault="00413DA3" w:rsidP="001268AF">
      <w:pPr>
        <w:spacing w:line="276" w:lineRule="auto"/>
        <w:ind w:left="851" w:right="851"/>
        <w:jc w:val="both"/>
        <w:rPr>
          <w:rFonts w:ascii="Arial" w:hAnsi="Arial" w:cs="Arial"/>
          <w:i/>
          <w:iCs/>
        </w:rPr>
      </w:pPr>
      <w:r w:rsidRPr="007C3FA1">
        <w:rPr>
          <w:rFonts w:ascii="Arial" w:hAnsi="Arial" w:cs="Arial"/>
          <w:i/>
          <w:iCs/>
        </w:rPr>
        <w:t xml:space="preserve">I. No podrá colgarse en elementos del equipamiento urbano, ni obstaculizar en forma alguna la visibilidad de los señalamientos que permiten a las personas transitar y orientarse dentro de los centros de población. Las autoridades electorales competentes ordenarán el retiro de la propaganda electoral contraria a esta norma; </w:t>
      </w:r>
    </w:p>
    <w:p w14:paraId="3F689B39" w14:textId="77777777" w:rsidR="00413DA3" w:rsidRPr="007C3FA1" w:rsidRDefault="00413DA3" w:rsidP="001268AF">
      <w:pPr>
        <w:spacing w:line="276" w:lineRule="auto"/>
        <w:ind w:left="851" w:right="851"/>
        <w:jc w:val="both"/>
        <w:rPr>
          <w:rFonts w:ascii="Arial" w:hAnsi="Arial" w:cs="Arial"/>
          <w:i/>
          <w:iCs/>
        </w:rPr>
      </w:pPr>
      <w:r w:rsidRPr="007C3FA1">
        <w:rPr>
          <w:rFonts w:ascii="Arial" w:hAnsi="Arial" w:cs="Arial"/>
          <w:i/>
          <w:iCs/>
        </w:rPr>
        <w:t>II. Podrá colgarse o fijarse en muebles e inmuebles de propiedad privada, siempre que medie permiso escrito del propietario, en el que se especifiquen tanto las condiciones de instalación como los términos del retiro;</w:t>
      </w:r>
    </w:p>
    <w:p w14:paraId="1B6052A9" w14:textId="77777777" w:rsidR="00413DA3" w:rsidRPr="007C3FA1" w:rsidRDefault="00413DA3" w:rsidP="001268AF">
      <w:pPr>
        <w:spacing w:line="276" w:lineRule="auto"/>
        <w:ind w:left="851" w:right="851"/>
        <w:jc w:val="both"/>
        <w:rPr>
          <w:rFonts w:ascii="Arial" w:hAnsi="Arial" w:cs="Arial"/>
          <w:i/>
          <w:iCs/>
        </w:rPr>
      </w:pPr>
      <w:r w:rsidRPr="007C3FA1">
        <w:rPr>
          <w:rFonts w:ascii="Arial" w:hAnsi="Arial" w:cs="Arial"/>
          <w:i/>
          <w:iCs/>
        </w:rPr>
        <w:t xml:space="preserve">III. Podrá colgarse o fijarse en los bastidores y mamparas de uso común que determinen los consejos electorales distritales y municipales, previo acuerdo con las autoridades correspondientes; </w:t>
      </w:r>
    </w:p>
    <w:p w14:paraId="66F2C256" w14:textId="77777777" w:rsidR="00413DA3" w:rsidRPr="007C3FA1" w:rsidRDefault="00413DA3" w:rsidP="001268AF">
      <w:pPr>
        <w:spacing w:line="276" w:lineRule="auto"/>
        <w:ind w:left="851" w:right="851"/>
        <w:jc w:val="both"/>
        <w:rPr>
          <w:rFonts w:ascii="Arial" w:hAnsi="Arial" w:cs="Arial"/>
          <w:i/>
          <w:iCs/>
        </w:rPr>
      </w:pPr>
      <w:r w:rsidRPr="007C3FA1">
        <w:rPr>
          <w:rFonts w:ascii="Arial" w:hAnsi="Arial" w:cs="Arial"/>
          <w:i/>
          <w:iCs/>
        </w:rPr>
        <w:t xml:space="preserve">IV. No podrá fijarse o pintarse en elementos del equipamiento urbano, carretero o ferroviario, ni en accidentes geográficos cualquiera que sea su régimen jurídico, y </w:t>
      </w:r>
    </w:p>
    <w:p w14:paraId="1390982E" w14:textId="77777777" w:rsidR="00413DA3" w:rsidRPr="007C3FA1" w:rsidRDefault="00413DA3" w:rsidP="001268AF">
      <w:pPr>
        <w:spacing w:line="276" w:lineRule="auto"/>
        <w:ind w:left="851" w:right="851"/>
        <w:jc w:val="both"/>
        <w:rPr>
          <w:rFonts w:ascii="Arial" w:hAnsi="Arial" w:cs="Arial"/>
          <w:i/>
          <w:iCs/>
        </w:rPr>
      </w:pPr>
      <w:r w:rsidRPr="007C3FA1">
        <w:rPr>
          <w:rFonts w:ascii="Arial" w:hAnsi="Arial" w:cs="Arial"/>
          <w:i/>
          <w:iCs/>
        </w:rPr>
        <w:t xml:space="preserve">V. Podrá colocarse en inmuebles de propiedad privada, siempre que medie permiso escrito del propietario, en el que se especifiquen tanto las condiciones de instalación como los términos del retiro, y </w:t>
      </w:r>
    </w:p>
    <w:p w14:paraId="602AFFF8" w14:textId="77777777" w:rsidR="00413DA3" w:rsidRPr="007C3FA1" w:rsidRDefault="00413DA3" w:rsidP="00FD070B">
      <w:pPr>
        <w:spacing w:before="240" w:line="276" w:lineRule="auto"/>
        <w:ind w:left="851" w:right="851"/>
        <w:jc w:val="both"/>
        <w:rPr>
          <w:rFonts w:ascii="Arial" w:hAnsi="Arial" w:cs="Arial"/>
          <w:i/>
          <w:iCs/>
        </w:rPr>
      </w:pPr>
      <w:r w:rsidRPr="007C3FA1">
        <w:rPr>
          <w:rFonts w:ascii="Arial" w:hAnsi="Arial" w:cs="Arial"/>
          <w:i/>
          <w:iCs/>
        </w:rPr>
        <w:t xml:space="preserve">VI. No podrá colgarse, fijarse o pintarse en monumentos, construcciones de valor histórico o cultural. La distribución o colocación de la propaganda electoral deberá respetar los tiempos legales que se establezcan para cada caso, su retiro o fin de su distribución deberá efectuarse tres días antes de la jornada electoral. </w:t>
      </w:r>
    </w:p>
    <w:p w14:paraId="2AA09F99" w14:textId="77777777" w:rsidR="00413DA3" w:rsidRPr="007C3FA1" w:rsidRDefault="00413DA3" w:rsidP="00FD070B">
      <w:pPr>
        <w:spacing w:before="240" w:line="276" w:lineRule="auto"/>
        <w:ind w:left="851" w:right="851"/>
        <w:jc w:val="both"/>
        <w:rPr>
          <w:rFonts w:ascii="Arial" w:hAnsi="Arial" w:cs="Arial"/>
          <w:i/>
          <w:iCs/>
        </w:rPr>
      </w:pPr>
      <w:r w:rsidRPr="007C3FA1">
        <w:rPr>
          <w:rFonts w:ascii="Arial" w:hAnsi="Arial" w:cs="Arial"/>
          <w:i/>
          <w:iCs/>
        </w:rPr>
        <w:t xml:space="preserve">En los actos de campaña, los partidos políticos, coaliciones, así como los candidatos independientes podrán colgar o fijar propaganda en las plazas públicas principales, la cual será retirada una vez que concluya el evento. </w:t>
      </w:r>
    </w:p>
    <w:p w14:paraId="28C4B28D" w14:textId="77777777" w:rsidR="00413DA3" w:rsidRPr="007C3FA1" w:rsidRDefault="00413DA3" w:rsidP="00FD070B">
      <w:pPr>
        <w:spacing w:before="240" w:line="276" w:lineRule="auto"/>
        <w:ind w:left="851" w:right="851"/>
        <w:jc w:val="both"/>
        <w:rPr>
          <w:rFonts w:ascii="Arial" w:hAnsi="Arial" w:cs="Arial"/>
          <w:i/>
          <w:iCs/>
        </w:rPr>
      </w:pPr>
      <w:r w:rsidRPr="007C3FA1">
        <w:rPr>
          <w:rFonts w:ascii="Arial" w:hAnsi="Arial" w:cs="Arial"/>
          <w:i/>
          <w:iCs/>
        </w:rPr>
        <w:t xml:space="preserve">La propaganda colocada en vía pública, deberá retirarse durante los siete días posteriores a la conclusión de la jornada electoral. </w:t>
      </w:r>
    </w:p>
    <w:p w14:paraId="36B8B4DC" w14:textId="77777777" w:rsidR="00413DA3" w:rsidRPr="007C3FA1" w:rsidRDefault="00413DA3" w:rsidP="00FD070B">
      <w:pPr>
        <w:spacing w:before="240" w:line="276" w:lineRule="auto"/>
        <w:ind w:left="851" w:right="851"/>
        <w:jc w:val="both"/>
        <w:rPr>
          <w:rFonts w:ascii="Arial" w:hAnsi="Arial" w:cs="Arial"/>
          <w:i/>
          <w:iCs/>
        </w:rPr>
      </w:pPr>
      <w:r w:rsidRPr="007C3FA1">
        <w:rPr>
          <w:rFonts w:ascii="Arial" w:hAnsi="Arial" w:cs="Arial"/>
          <w:i/>
          <w:iCs/>
        </w:rPr>
        <w:t xml:space="preserve">Toda la propaganda impresa deberá ser reciclable y elaborarse con materiales biodegradable. </w:t>
      </w:r>
    </w:p>
    <w:p w14:paraId="7311CB7F" w14:textId="2492AC18" w:rsidR="00413DA3" w:rsidRPr="007C3FA1" w:rsidRDefault="00413DA3" w:rsidP="00FD070B">
      <w:pPr>
        <w:spacing w:before="240" w:line="276" w:lineRule="auto"/>
        <w:ind w:left="851" w:right="851"/>
        <w:jc w:val="both"/>
        <w:rPr>
          <w:rFonts w:ascii="Arial" w:hAnsi="Arial" w:cs="Arial"/>
          <w:i/>
          <w:iCs/>
        </w:rPr>
      </w:pPr>
      <w:r w:rsidRPr="007C3FA1">
        <w:rPr>
          <w:rFonts w:ascii="Arial" w:hAnsi="Arial" w:cs="Arial"/>
          <w:i/>
          <w:iCs/>
        </w:rPr>
        <w:t>Dentro de los treinta días siguientes a la jornada electoral, los partidos políticos, coaliciones y candidatos independientes estarán obligados a retirar su propaganda y llevarla a un centro de reciclaje.</w:t>
      </w:r>
    </w:p>
    <w:p w14:paraId="3771CFD1" w14:textId="77777777" w:rsidR="00413DA3" w:rsidRPr="007C3FA1" w:rsidRDefault="00413DA3" w:rsidP="00FD070B">
      <w:pPr>
        <w:spacing w:before="240" w:line="276" w:lineRule="auto"/>
        <w:ind w:left="851" w:right="851"/>
        <w:jc w:val="both"/>
        <w:rPr>
          <w:rFonts w:ascii="Arial" w:hAnsi="Arial" w:cs="Arial"/>
          <w:i/>
          <w:iCs/>
        </w:rPr>
      </w:pPr>
      <w:r w:rsidRPr="007C3FA1">
        <w:rPr>
          <w:rFonts w:ascii="Arial" w:hAnsi="Arial" w:cs="Arial"/>
          <w:i/>
          <w:iCs/>
        </w:rPr>
        <w:t xml:space="preserve">Del mismo modo, los partidos políticos, coaliciones y los candidatos independientes, cinco días antes de la jornada electoral quedan obligados a retirar su propaganda electoral que se encuentren en un radio de cincuenta metros a la redonda de donde se vaya a instalar una casilla. </w:t>
      </w:r>
    </w:p>
    <w:p w14:paraId="7E9BFCB0" w14:textId="77777777" w:rsidR="00413DA3" w:rsidRPr="007C3FA1" w:rsidRDefault="00413DA3" w:rsidP="00FD070B">
      <w:pPr>
        <w:spacing w:before="240" w:line="276" w:lineRule="auto"/>
        <w:ind w:left="851" w:right="851"/>
        <w:jc w:val="both"/>
        <w:rPr>
          <w:rFonts w:ascii="Arial" w:hAnsi="Arial" w:cs="Arial"/>
          <w:i/>
          <w:iCs/>
        </w:rPr>
      </w:pPr>
      <w:r w:rsidRPr="007C3FA1">
        <w:rPr>
          <w:rFonts w:ascii="Arial" w:hAnsi="Arial" w:cs="Arial"/>
          <w:i/>
          <w:iCs/>
        </w:rPr>
        <w:t xml:space="preserve">La omisión en el retiro o fin de distribución de la propaganda, serán sancionados conforme a esta Ley. </w:t>
      </w:r>
    </w:p>
    <w:p w14:paraId="011A70C3" w14:textId="77777777" w:rsidR="00413DA3" w:rsidRPr="007C3FA1" w:rsidRDefault="00413DA3" w:rsidP="00FD070B">
      <w:pPr>
        <w:spacing w:before="240" w:line="276" w:lineRule="auto"/>
        <w:ind w:left="851" w:right="851"/>
        <w:jc w:val="both"/>
        <w:rPr>
          <w:rFonts w:ascii="Arial" w:hAnsi="Arial" w:cs="Arial"/>
          <w:i/>
          <w:iCs/>
        </w:rPr>
      </w:pPr>
      <w:r w:rsidRPr="007C3FA1">
        <w:rPr>
          <w:rFonts w:ascii="Arial" w:hAnsi="Arial" w:cs="Arial"/>
          <w:i/>
          <w:iCs/>
        </w:rPr>
        <w:t xml:space="preserve">Los órganos electorales, dentro del ámbito de su competencia, velarán por la observancia de estas disposiciones y adoptarán las medidas a que hubiere lugar, con el fin de asegurar a partidos políticos y candidatos el pleno ejercicio de sus derechos y el cumplimiento de sus obligaciones en la materia. </w:t>
      </w:r>
    </w:p>
    <w:p w14:paraId="740463B8" w14:textId="4C9B9A09" w:rsidR="00413DA3" w:rsidRPr="007C3FA1" w:rsidRDefault="00413DA3" w:rsidP="00FD070B">
      <w:pPr>
        <w:spacing w:before="240" w:line="276" w:lineRule="auto"/>
        <w:ind w:left="851" w:right="851"/>
        <w:jc w:val="both"/>
        <w:rPr>
          <w:rFonts w:ascii="Arial" w:hAnsi="Arial" w:cs="Arial"/>
          <w:i/>
          <w:iCs/>
        </w:rPr>
      </w:pPr>
      <w:r w:rsidRPr="007C3FA1">
        <w:rPr>
          <w:rFonts w:ascii="Arial" w:hAnsi="Arial" w:cs="Arial"/>
          <w:i/>
          <w:iCs/>
        </w:rPr>
        <w:t>Las quejas motivadas por la propaganda político electoral de los partidos políticos y candidatos serán presentadas al vocal secretario de la junta distrital o municipal que corresponda al ámbito territorial en que se presente el hecho que motiva la queja, debiendo remitirse a la brevedad a la Dirección Jurídica del Instituto.</w:t>
      </w:r>
    </w:p>
    <w:p w14:paraId="3358CB9B" w14:textId="7087B805" w:rsidR="00413DA3" w:rsidRDefault="00413DA3" w:rsidP="00A54C45">
      <w:pPr>
        <w:spacing w:line="360" w:lineRule="auto"/>
        <w:jc w:val="both"/>
        <w:rPr>
          <w:rFonts w:ascii="Arial" w:hAnsi="Arial" w:cs="Arial"/>
          <w:i/>
          <w:iCs/>
          <w:sz w:val="22"/>
          <w:szCs w:val="22"/>
        </w:rPr>
      </w:pPr>
    </w:p>
    <w:p w14:paraId="21AB994B" w14:textId="569D2C5A" w:rsidR="00413DA3" w:rsidRDefault="00413DA3" w:rsidP="00A54C45">
      <w:pPr>
        <w:spacing w:line="360" w:lineRule="auto"/>
        <w:jc w:val="both"/>
        <w:rPr>
          <w:rFonts w:ascii="Arial" w:hAnsi="Arial" w:cs="Arial"/>
          <w:sz w:val="22"/>
          <w:szCs w:val="22"/>
        </w:rPr>
      </w:pPr>
      <w:r w:rsidRPr="00413DA3">
        <w:rPr>
          <w:rFonts w:ascii="Arial" w:hAnsi="Arial" w:cs="Arial"/>
          <w:sz w:val="22"/>
          <w:szCs w:val="22"/>
        </w:rPr>
        <w:t>Por su parte, el Código Electoral del Estado de Aguascalientes, señala en su artículo 163 lo siguiente:</w:t>
      </w:r>
    </w:p>
    <w:p w14:paraId="6D3CFB69" w14:textId="66BB5B4D" w:rsidR="00413DA3" w:rsidRPr="00413DA3" w:rsidRDefault="00413DA3" w:rsidP="00413DA3">
      <w:pPr>
        <w:spacing w:line="360" w:lineRule="auto"/>
        <w:ind w:left="851" w:right="1701"/>
        <w:jc w:val="both"/>
        <w:rPr>
          <w:rFonts w:ascii="Arial" w:hAnsi="Arial" w:cs="Arial"/>
          <w:sz w:val="24"/>
          <w:szCs w:val="24"/>
        </w:rPr>
      </w:pPr>
    </w:p>
    <w:p w14:paraId="44A461D7" w14:textId="77777777" w:rsidR="00413DA3" w:rsidRPr="00A54C45" w:rsidRDefault="00413DA3" w:rsidP="001268AF">
      <w:pPr>
        <w:spacing w:line="276" w:lineRule="auto"/>
        <w:ind w:left="851" w:right="851"/>
        <w:jc w:val="both"/>
        <w:rPr>
          <w:rFonts w:ascii="Arial" w:hAnsi="Arial" w:cs="Arial"/>
          <w:i/>
          <w:iCs/>
        </w:rPr>
      </w:pPr>
      <w:r w:rsidRPr="00A54C45">
        <w:rPr>
          <w:rFonts w:ascii="Arial" w:hAnsi="Arial" w:cs="Arial"/>
          <w:i/>
          <w:iCs/>
        </w:rPr>
        <w:t xml:space="preserve">ARTÍCULO 163.- En la colocación o fijación de propaganda electoral, los partidos y candidatos actuarán conforme a las reglas siguientes: </w:t>
      </w:r>
    </w:p>
    <w:p w14:paraId="481D0A1B" w14:textId="77777777" w:rsidR="00413DA3" w:rsidRPr="00A54C45" w:rsidRDefault="00413DA3" w:rsidP="001268AF">
      <w:pPr>
        <w:spacing w:line="276" w:lineRule="auto"/>
        <w:ind w:left="851" w:right="851"/>
        <w:jc w:val="both"/>
        <w:rPr>
          <w:rFonts w:ascii="Arial" w:hAnsi="Arial" w:cs="Arial"/>
          <w:i/>
          <w:iCs/>
        </w:rPr>
      </w:pPr>
      <w:r w:rsidRPr="00A54C45">
        <w:rPr>
          <w:rFonts w:ascii="Arial" w:hAnsi="Arial" w:cs="Arial"/>
          <w:i/>
          <w:iCs/>
        </w:rPr>
        <w:t xml:space="preserve">I. No podrá colgarse en elementos del equipamiento urbano, ni obstaculizar en forma alguna la visibilidad de los señalamientos que permiten a las personas transitar y orientarse dentro </w:t>
      </w:r>
      <w:r w:rsidRPr="00A54C45">
        <w:rPr>
          <w:rFonts w:ascii="Arial" w:hAnsi="Arial" w:cs="Arial"/>
          <w:i/>
          <w:iCs/>
        </w:rPr>
        <w:lastRenderedPageBreak/>
        <w:t xml:space="preserve">de los centros de población. Las autoridades electorales competentes ordenarán el retiro de la propaganda electoral contraria a esta norma; </w:t>
      </w:r>
    </w:p>
    <w:p w14:paraId="5649A106" w14:textId="77777777" w:rsidR="00413DA3" w:rsidRPr="00A54C45" w:rsidRDefault="00413DA3" w:rsidP="001268AF">
      <w:pPr>
        <w:spacing w:line="276" w:lineRule="auto"/>
        <w:ind w:left="851" w:right="851"/>
        <w:jc w:val="both"/>
        <w:rPr>
          <w:rFonts w:ascii="Arial" w:hAnsi="Arial" w:cs="Arial"/>
          <w:i/>
          <w:iCs/>
        </w:rPr>
      </w:pPr>
      <w:r w:rsidRPr="00A54C45">
        <w:rPr>
          <w:rFonts w:ascii="Arial" w:hAnsi="Arial" w:cs="Arial"/>
          <w:i/>
          <w:iCs/>
        </w:rPr>
        <w:t xml:space="preserve">II. En inmuebles de propiedad privada, siempre que medie permiso escrito del propietario; </w:t>
      </w:r>
    </w:p>
    <w:p w14:paraId="36F61AEF" w14:textId="77777777" w:rsidR="00413DA3" w:rsidRPr="00A54C45" w:rsidRDefault="00413DA3" w:rsidP="001268AF">
      <w:pPr>
        <w:spacing w:line="276" w:lineRule="auto"/>
        <w:ind w:left="851" w:right="851"/>
        <w:jc w:val="both"/>
        <w:rPr>
          <w:rFonts w:ascii="Arial" w:hAnsi="Arial" w:cs="Arial"/>
          <w:i/>
          <w:iCs/>
        </w:rPr>
      </w:pPr>
      <w:r w:rsidRPr="00A54C45">
        <w:rPr>
          <w:rFonts w:ascii="Arial" w:hAnsi="Arial" w:cs="Arial"/>
          <w:i/>
          <w:iCs/>
        </w:rPr>
        <w:t xml:space="preserve">III. En lugares de uso común que determine el Consejo, previo acuerdo con las autoridades correspondientes. Los bastidores y mamparas de uso común serán repartidos por sorteo en forma equitativa de conformidad a lo que corresponda a los partidos políticos registrados, conforme al procedimiento acordado en la sesión del Consejo que celebre en enero del año de la elección; </w:t>
      </w:r>
    </w:p>
    <w:p w14:paraId="7234C62C" w14:textId="77777777" w:rsidR="00413DA3" w:rsidRPr="00A54C45" w:rsidRDefault="00413DA3" w:rsidP="001268AF">
      <w:pPr>
        <w:spacing w:line="276" w:lineRule="auto"/>
        <w:ind w:left="851" w:right="851"/>
        <w:jc w:val="both"/>
        <w:rPr>
          <w:rFonts w:ascii="Arial" w:hAnsi="Arial" w:cs="Arial"/>
          <w:i/>
          <w:iCs/>
        </w:rPr>
      </w:pPr>
      <w:r w:rsidRPr="00A54C45">
        <w:rPr>
          <w:rFonts w:ascii="Arial" w:hAnsi="Arial" w:cs="Arial"/>
          <w:i/>
          <w:iCs/>
        </w:rPr>
        <w:t xml:space="preserve">IV. No podrá fijarse o pintarse en elementos del equipamiento urbano, carretero o ferroviario, ni en accidentes geográficos cualquiera que sea su régimen jurídico; </w:t>
      </w:r>
    </w:p>
    <w:p w14:paraId="30F8E3E2" w14:textId="77777777" w:rsidR="00413DA3" w:rsidRPr="00A54C45" w:rsidRDefault="00413DA3" w:rsidP="001268AF">
      <w:pPr>
        <w:spacing w:line="276" w:lineRule="auto"/>
        <w:ind w:left="851" w:right="851"/>
        <w:jc w:val="both"/>
        <w:rPr>
          <w:rFonts w:ascii="Arial" w:hAnsi="Arial" w:cs="Arial"/>
          <w:i/>
          <w:iCs/>
        </w:rPr>
      </w:pPr>
      <w:r w:rsidRPr="00A54C45">
        <w:rPr>
          <w:rFonts w:ascii="Arial" w:hAnsi="Arial" w:cs="Arial"/>
          <w:i/>
          <w:iCs/>
        </w:rPr>
        <w:t xml:space="preserve">V. No podrá colgarse, fijarse o pintarse en monumentos ni en edificios públicos; </w:t>
      </w:r>
    </w:p>
    <w:p w14:paraId="7632D4D0" w14:textId="77777777" w:rsidR="00413DA3" w:rsidRPr="00A54C45" w:rsidRDefault="00413DA3" w:rsidP="001268AF">
      <w:pPr>
        <w:spacing w:line="276" w:lineRule="auto"/>
        <w:ind w:left="851" w:right="851"/>
        <w:jc w:val="both"/>
        <w:rPr>
          <w:rFonts w:ascii="Arial" w:hAnsi="Arial" w:cs="Arial"/>
          <w:i/>
          <w:iCs/>
        </w:rPr>
      </w:pPr>
      <w:r w:rsidRPr="00A54C45">
        <w:rPr>
          <w:rFonts w:ascii="Arial" w:hAnsi="Arial" w:cs="Arial"/>
          <w:i/>
          <w:iCs/>
        </w:rPr>
        <w:t xml:space="preserve">VI. No podrán emplearse expresiones verbales o escritas contrarias a la moral, que inciten al desorden o que calumnien a las personas; </w:t>
      </w:r>
    </w:p>
    <w:p w14:paraId="064123C5" w14:textId="77777777" w:rsidR="00413DA3" w:rsidRPr="00A54C45" w:rsidRDefault="00413DA3" w:rsidP="001268AF">
      <w:pPr>
        <w:spacing w:line="276" w:lineRule="auto"/>
        <w:ind w:left="851" w:right="851"/>
        <w:jc w:val="both"/>
        <w:rPr>
          <w:rFonts w:ascii="Arial" w:hAnsi="Arial" w:cs="Arial"/>
          <w:i/>
          <w:iCs/>
        </w:rPr>
      </w:pPr>
      <w:r w:rsidRPr="00A54C45">
        <w:rPr>
          <w:rFonts w:ascii="Arial" w:hAnsi="Arial" w:cs="Arial"/>
          <w:i/>
          <w:iCs/>
        </w:rPr>
        <w:t xml:space="preserve">VII. Cada partido político, coaliciones y candidatos deberán cuidar que su propaganda no modifique el paisaje ni perjudique a los elementos que forman el entorno natural. En consecuencia, se abstendrán de utilizar con estos fines, árboles y accidentes orográficos tales como: Cerros, colinas, barrancas y montañas para promocionarse, y </w:t>
      </w:r>
    </w:p>
    <w:p w14:paraId="5883A270" w14:textId="77777777" w:rsidR="00413DA3" w:rsidRPr="00A54C45" w:rsidRDefault="00413DA3" w:rsidP="00FD070B">
      <w:pPr>
        <w:spacing w:after="240" w:line="276" w:lineRule="auto"/>
        <w:ind w:left="851" w:right="851"/>
        <w:jc w:val="both"/>
        <w:rPr>
          <w:rFonts w:ascii="Arial" w:hAnsi="Arial" w:cs="Arial"/>
          <w:i/>
          <w:iCs/>
        </w:rPr>
      </w:pPr>
      <w:r w:rsidRPr="00A54C45">
        <w:rPr>
          <w:rFonts w:ascii="Arial" w:hAnsi="Arial" w:cs="Arial"/>
          <w:i/>
          <w:iCs/>
        </w:rPr>
        <w:t xml:space="preserve">VIII. El Consejo Distrital hará una revisión en las secciones electorales y ordenará al personal del Instituto quitar o eliminar dentro de los tres días anteriores a la elección, la propaganda electoral de los candidatos, partidos políticos que se encuentren a una distancia menor de cincuenta metros del lugar donde se instalará la casilla electoral. </w:t>
      </w:r>
    </w:p>
    <w:p w14:paraId="3CAA7450" w14:textId="4CFB8525" w:rsidR="00413DA3" w:rsidRPr="00A54C45" w:rsidRDefault="00413DA3" w:rsidP="00FD070B">
      <w:pPr>
        <w:spacing w:after="240" w:line="276" w:lineRule="auto"/>
        <w:ind w:left="851" w:right="851"/>
        <w:jc w:val="both"/>
        <w:rPr>
          <w:rFonts w:ascii="Arial" w:hAnsi="Arial" w:cs="Arial"/>
          <w:i/>
          <w:iCs/>
          <w:sz w:val="22"/>
          <w:szCs w:val="22"/>
        </w:rPr>
      </w:pPr>
      <w:r w:rsidRPr="00A54C45">
        <w:rPr>
          <w:rFonts w:ascii="Arial" w:hAnsi="Arial" w:cs="Arial"/>
          <w:i/>
          <w:iCs/>
        </w:rPr>
        <w:t>Toda la propaganda electoral impresa deberá ser reciclable, fabricada con materiales biodegradables que no contengan sustancias tóxicas o nocivas para la salud o el medio ambiente. Los partidos políticos y candidatos independientes deberán presentar un plan de reciclaje de la propaganda que utilizarán durante su campaña.</w:t>
      </w:r>
    </w:p>
    <w:p w14:paraId="46AB5233" w14:textId="1EF03814" w:rsidR="00413DA3" w:rsidRPr="00A54C45" w:rsidRDefault="00413DA3" w:rsidP="00FD070B">
      <w:pPr>
        <w:spacing w:after="240" w:line="276" w:lineRule="auto"/>
        <w:ind w:left="851" w:right="851"/>
        <w:jc w:val="both"/>
        <w:rPr>
          <w:rFonts w:ascii="Arial" w:hAnsi="Arial" w:cs="Arial"/>
          <w:i/>
          <w:iCs/>
          <w:sz w:val="22"/>
          <w:szCs w:val="22"/>
        </w:rPr>
      </w:pPr>
      <w:r w:rsidRPr="00A54C45">
        <w:rPr>
          <w:rFonts w:ascii="Arial" w:hAnsi="Arial" w:cs="Arial"/>
          <w:i/>
          <w:iCs/>
        </w:rPr>
        <w:t>La propaganda que contravenga las disposiciones de este Código, será retirada de inmediato y el costo generado será cargado a las prerrogativas del partido político o del candidato independiente en su caso.</w:t>
      </w:r>
    </w:p>
    <w:p w14:paraId="4B303917" w14:textId="6EB918F5" w:rsidR="00413DA3" w:rsidRPr="00A54C45" w:rsidRDefault="00413DA3" w:rsidP="00FD070B">
      <w:pPr>
        <w:spacing w:after="240" w:line="276" w:lineRule="auto"/>
        <w:ind w:left="851" w:right="851"/>
        <w:jc w:val="both"/>
        <w:rPr>
          <w:rFonts w:ascii="Arial" w:hAnsi="Arial" w:cs="Arial"/>
          <w:i/>
          <w:iCs/>
        </w:rPr>
      </w:pPr>
      <w:r w:rsidRPr="00A54C45">
        <w:rPr>
          <w:rFonts w:ascii="Arial" w:hAnsi="Arial" w:cs="Arial"/>
          <w:i/>
          <w:iCs/>
        </w:rPr>
        <w:t>Los partidos políticos, coaliciones, candidaturas comunes y candidatos independientes deberán retirar, para su reciclaje, su propaganda electoral dentro de los treinta días siguientes al de la jornada electoral de no retirarla, el Consejo con el auxilio de las autoridades competentes tomará las medidas necesarias para su retiro, con cargo a las ministraciones de financiamiento público que correspondan al partido político.</w:t>
      </w:r>
    </w:p>
    <w:p w14:paraId="7CB287C9" w14:textId="77777777" w:rsidR="00413DA3" w:rsidRPr="00A54C45" w:rsidRDefault="00413DA3" w:rsidP="00FD070B">
      <w:pPr>
        <w:spacing w:after="240" w:line="276" w:lineRule="auto"/>
        <w:ind w:left="851" w:right="851"/>
        <w:jc w:val="both"/>
        <w:rPr>
          <w:rFonts w:ascii="Arial" w:hAnsi="Arial" w:cs="Arial"/>
          <w:i/>
          <w:iCs/>
        </w:rPr>
      </w:pPr>
      <w:r w:rsidRPr="00A54C45">
        <w:rPr>
          <w:rFonts w:ascii="Arial" w:hAnsi="Arial" w:cs="Arial"/>
          <w:i/>
          <w:iCs/>
        </w:rPr>
        <w:t xml:space="preserve">Los candidatos independientes que incurran en la falta señalada en el párrafo anterior se harán acreedores de una multa en los términos previstos en el presente Código. </w:t>
      </w:r>
    </w:p>
    <w:p w14:paraId="63DF348F" w14:textId="70546386" w:rsidR="00413DA3" w:rsidRPr="00A54C45" w:rsidRDefault="00413DA3" w:rsidP="00FD070B">
      <w:pPr>
        <w:spacing w:after="240" w:line="276" w:lineRule="auto"/>
        <w:ind w:left="851" w:right="851"/>
        <w:jc w:val="both"/>
        <w:rPr>
          <w:rFonts w:ascii="Arial" w:hAnsi="Arial" w:cs="Arial"/>
          <w:i/>
          <w:iCs/>
        </w:rPr>
      </w:pPr>
      <w:r w:rsidRPr="00A54C45">
        <w:rPr>
          <w:rFonts w:ascii="Arial" w:hAnsi="Arial" w:cs="Arial"/>
          <w:i/>
          <w:iCs/>
        </w:rPr>
        <w:t>Las quejas motivadas por la propaganda impresa de los partidos políticos y candidatos serán presentadas al Secretario Ejecutivo o al Secretario Técnico respectivo, a fin de que se verifiquen los hechos, se integre el expediente y se remita al Tribunal para su resolución</w:t>
      </w:r>
      <w:r w:rsidR="00913BDA" w:rsidRPr="00A54C45">
        <w:rPr>
          <w:rFonts w:ascii="Arial" w:hAnsi="Arial" w:cs="Arial"/>
          <w:i/>
          <w:iCs/>
        </w:rPr>
        <w:t>.</w:t>
      </w:r>
    </w:p>
    <w:p w14:paraId="707B104D" w14:textId="3C2D474B" w:rsidR="00913BDA" w:rsidRPr="00A54C45" w:rsidRDefault="00913BDA" w:rsidP="00A54C45">
      <w:pPr>
        <w:spacing w:line="360" w:lineRule="auto"/>
        <w:ind w:left="851" w:right="851"/>
        <w:jc w:val="both"/>
        <w:rPr>
          <w:rFonts w:ascii="Arial" w:hAnsi="Arial" w:cs="Arial"/>
          <w:i/>
          <w:iCs/>
        </w:rPr>
      </w:pPr>
    </w:p>
    <w:p w14:paraId="27C446B3" w14:textId="4029B9F4" w:rsidR="007774D3" w:rsidRDefault="007774D3" w:rsidP="007774D3">
      <w:pPr>
        <w:spacing w:line="360" w:lineRule="auto"/>
        <w:jc w:val="both"/>
        <w:rPr>
          <w:rFonts w:ascii="Arial" w:hAnsi="Arial" w:cs="Arial"/>
          <w:b/>
          <w:bCs/>
          <w:sz w:val="22"/>
          <w:szCs w:val="22"/>
        </w:rPr>
      </w:pPr>
      <w:r w:rsidRPr="008114D0">
        <w:rPr>
          <w:rFonts w:ascii="Arial" w:hAnsi="Arial" w:cs="Arial"/>
          <w:b/>
          <w:bCs/>
          <w:sz w:val="22"/>
          <w:szCs w:val="22"/>
        </w:rPr>
        <w:t>10.</w:t>
      </w:r>
      <w:r>
        <w:rPr>
          <w:rFonts w:ascii="Arial" w:hAnsi="Arial" w:cs="Arial"/>
          <w:b/>
          <w:bCs/>
          <w:sz w:val="22"/>
          <w:szCs w:val="22"/>
        </w:rPr>
        <w:t>3</w:t>
      </w:r>
      <w:r w:rsidRPr="008114D0">
        <w:rPr>
          <w:rFonts w:ascii="Arial" w:hAnsi="Arial" w:cs="Arial"/>
          <w:b/>
          <w:bCs/>
          <w:sz w:val="22"/>
          <w:szCs w:val="22"/>
        </w:rPr>
        <w:t xml:space="preserve">. </w:t>
      </w:r>
      <w:r>
        <w:rPr>
          <w:rFonts w:ascii="Arial" w:hAnsi="Arial" w:cs="Arial"/>
          <w:b/>
          <w:bCs/>
          <w:sz w:val="22"/>
          <w:szCs w:val="22"/>
        </w:rPr>
        <w:t>Caso concreto</w:t>
      </w:r>
      <w:r w:rsidRPr="008114D0">
        <w:rPr>
          <w:rFonts w:ascii="Arial" w:hAnsi="Arial" w:cs="Arial"/>
          <w:b/>
          <w:bCs/>
          <w:sz w:val="22"/>
          <w:szCs w:val="22"/>
        </w:rPr>
        <w:t>.</w:t>
      </w:r>
    </w:p>
    <w:p w14:paraId="1BCFAB3F" w14:textId="08E94F0E" w:rsidR="007774D3" w:rsidRPr="007774D3" w:rsidRDefault="007774D3" w:rsidP="007774D3">
      <w:pPr>
        <w:spacing w:line="360" w:lineRule="auto"/>
        <w:jc w:val="both"/>
        <w:rPr>
          <w:rFonts w:ascii="Arial" w:hAnsi="Arial" w:cs="Arial"/>
          <w:sz w:val="22"/>
          <w:szCs w:val="22"/>
        </w:rPr>
      </w:pPr>
    </w:p>
    <w:p w14:paraId="798A8447" w14:textId="13543AE8" w:rsidR="007774D3" w:rsidRDefault="00B76BF3" w:rsidP="007774D3">
      <w:pPr>
        <w:spacing w:line="360" w:lineRule="auto"/>
        <w:jc w:val="both"/>
        <w:rPr>
          <w:rFonts w:ascii="Arial" w:hAnsi="Arial" w:cs="Arial"/>
          <w:sz w:val="22"/>
          <w:szCs w:val="22"/>
        </w:rPr>
      </w:pPr>
      <w:r>
        <w:rPr>
          <w:rFonts w:ascii="Arial" w:hAnsi="Arial" w:cs="Arial"/>
          <w:sz w:val="22"/>
          <w:szCs w:val="22"/>
        </w:rPr>
        <w:t>Si bien, para ese órgano jurisdiccional se encuentra plenamente acreditado el espectacular objeto de la queja, se</w:t>
      </w:r>
      <w:r w:rsidR="007774D3" w:rsidRPr="007774D3">
        <w:rPr>
          <w:rFonts w:ascii="Arial" w:hAnsi="Arial" w:cs="Arial"/>
          <w:sz w:val="22"/>
          <w:szCs w:val="22"/>
        </w:rPr>
        <w:t xml:space="preserve"> advierte que ninguna </w:t>
      </w:r>
      <w:r w:rsidR="007774D3">
        <w:rPr>
          <w:rFonts w:ascii="Arial" w:hAnsi="Arial" w:cs="Arial"/>
          <w:sz w:val="22"/>
          <w:szCs w:val="22"/>
        </w:rPr>
        <w:t>de las disposiciones normativas en la materia electoral,</w:t>
      </w:r>
      <w:r w:rsidR="007774D3" w:rsidRPr="007774D3">
        <w:rPr>
          <w:rFonts w:ascii="Arial" w:hAnsi="Arial" w:cs="Arial"/>
          <w:sz w:val="22"/>
          <w:szCs w:val="22"/>
        </w:rPr>
        <w:t xml:space="preserve"> </w:t>
      </w:r>
      <w:r w:rsidR="00913BDA" w:rsidRPr="007774D3">
        <w:rPr>
          <w:rFonts w:ascii="Arial" w:hAnsi="Arial" w:cs="Arial"/>
          <w:sz w:val="22"/>
          <w:szCs w:val="22"/>
        </w:rPr>
        <w:t>prev</w:t>
      </w:r>
      <w:r w:rsidR="00913BDA">
        <w:rPr>
          <w:rFonts w:ascii="Arial" w:hAnsi="Arial" w:cs="Arial"/>
          <w:sz w:val="22"/>
          <w:szCs w:val="22"/>
        </w:rPr>
        <w:t>én</w:t>
      </w:r>
      <w:r w:rsidR="007774D3" w:rsidRPr="007774D3">
        <w:rPr>
          <w:rFonts w:ascii="Arial" w:hAnsi="Arial" w:cs="Arial"/>
          <w:sz w:val="22"/>
          <w:szCs w:val="22"/>
        </w:rPr>
        <w:t xml:space="preserve"> la hipótesis de fa</w:t>
      </w:r>
      <w:r w:rsidR="007774D3">
        <w:rPr>
          <w:rFonts w:ascii="Arial" w:hAnsi="Arial" w:cs="Arial"/>
          <w:sz w:val="22"/>
          <w:szCs w:val="22"/>
        </w:rPr>
        <w:t>ct</w:t>
      </w:r>
      <w:r w:rsidR="007774D3" w:rsidRPr="007774D3">
        <w:rPr>
          <w:rFonts w:ascii="Arial" w:hAnsi="Arial" w:cs="Arial"/>
          <w:sz w:val="22"/>
          <w:szCs w:val="22"/>
        </w:rPr>
        <w:t>o denunciada por el quejoso</w:t>
      </w:r>
      <w:r w:rsidR="007774D3">
        <w:rPr>
          <w:rFonts w:ascii="Arial" w:hAnsi="Arial" w:cs="Arial"/>
          <w:sz w:val="22"/>
          <w:szCs w:val="22"/>
        </w:rPr>
        <w:t xml:space="preserve">; </w:t>
      </w:r>
      <w:r w:rsidR="007774D3" w:rsidRPr="007774D3">
        <w:rPr>
          <w:rFonts w:ascii="Arial" w:hAnsi="Arial" w:cs="Arial"/>
          <w:sz w:val="22"/>
          <w:szCs w:val="22"/>
        </w:rPr>
        <w:t>por lo que se establece que los hechos denunciados no actualizan violación alguna a la normativa jurídica invocada por el demandante, relativos a colocar propaganda electoral en territorio distinto a aquél en que se postula un candidato de elección popular, por lo que</w:t>
      </w:r>
      <w:r w:rsidR="007774D3">
        <w:rPr>
          <w:rFonts w:ascii="Arial" w:hAnsi="Arial" w:cs="Arial"/>
          <w:sz w:val="22"/>
          <w:szCs w:val="22"/>
        </w:rPr>
        <w:t xml:space="preserve"> s</w:t>
      </w:r>
      <w:r w:rsidR="007774D3" w:rsidRPr="007774D3">
        <w:rPr>
          <w:rFonts w:ascii="Arial" w:hAnsi="Arial" w:cs="Arial"/>
          <w:sz w:val="22"/>
          <w:szCs w:val="22"/>
        </w:rPr>
        <w:t>e</w:t>
      </w:r>
      <w:r w:rsidR="007774D3">
        <w:rPr>
          <w:rFonts w:ascii="Arial" w:hAnsi="Arial" w:cs="Arial"/>
          <w:sz w:val="22"/>
          <w:szCs w:val="22"/>
        </w:rPr>
        <w:t xml:space="preserve"> estima</w:t>
      </w:r>
      <w:r w:rsidR="007774D3" w:rsidRPr="007774D3">
        <w:rPr>
          <w:rFonts w:ascii="Arial" w:hAnsi="Arial" w:cs="Arial"/>
          <w:sz w:val="22"/>
          <w:szCs w:val="22"/>
        </w:rPr>
        <w:t xml:space="preserve"> </w:t>
      </w:r>
      <w:r w:rsidR="007774D3">
        <w:rPr>
          <w:rFonts w:ascii="Arial" w:hAnsi="Arial" w:cs="Arial"/>
          <w:sz w:val="22"/>
          <w:szCs w:val="22"/>
        </w:rPr>
        <w:t>que la normatividad</w:t>
      </w:r>
      <w:r w:rsidR="007774D3" w:rsidRPr="007774D3">
        <w:rPr>
          <w:rFonts w:ascii="Arial" w:hAnsi="Arial" w:cs="Arial"/>
          <w:sz w:val="22"/>
          <w:szCs w:val="22"/>
        </w:rPr>
        <w:t xml:space="preserve"> no se observa restricción o limitante alguna para establecer que la conducta </w:t>
      </w:r>
      <w:r w:rsidR="007774D3">
        <w:rPr>
          <w:rFonts w:ascii="Arial" w:hAnsi="Arial" w:cs="Arial"/>
          <w:sz w:val="22"/>
          <w:szCs w:val="22"/>
        </w:rPr>
        <w:t>acusada</w:t>
      </w:r>
      <w:r w:rsidR="007774D3" w:rsidRPr="007774D3">
        <w:rPr>
          <w:rFonts w:ascii="Arial" w:hAnsi="Arial" w:cs="Arial"/>
          <w:sz w:val="22"/>
          <w:szCs w:val="22"/>
        </w:rPr>
        <w:t xml:space="preserve"> actualice violaciones en materia electoral.</w:t>
      </w:r>
    </w:p>
    <w:p w14:paraId="66B42271" w14:textId="279A2CB5" w:rsidR="007774D3" w:rsidRDefault="007774D3" w:rsidP="007774D3">
      <w:pPr>
        <w:spacing w:line="360" w:lineRule="auto"/>
        <w:jc w:val="both"/>
        <w:rPr>
          <w:rFonts w:ascii="Arial" w:hAnsi="Arial" w:cs="Arial"/>
          <w:sz w:val="22"/>
          <w:szCs w:val="22"/>
        </w:rPr>
      </w:pPr>
    </w:p>
    <w:p w14:paraId="60B1E58E" w14:textId="24DB2A7D" w:rsidR="007774D3" w:rsidRDefault="007774D3" w:rsidP="007774D3">
      <w:pPr>
        <w:spacing w:line="360" w:lineRule="auto"/>
        <w:jc w:val="both"/>
        <w:rPr>
          <w:rFonts w:ascii="Arial" w:hAnsi="Arial" w:cs="Arial"/>
          <w:sz w:val="22"/>
          <w:szCs w:val="22"/>
        </w:rPr>
      </w:pPr>
      <w:r w:rsidRPr="007774D3">
        <w:rPr>
          <w:rFonts w:ascii="Arial" w:hAnsi="Arial" w:cs="Arial"/>
          <w:sz w:val="22"/>
          <w:szCs w:val="22"/>
        </w:rPr>
        <w:lastRenderedPageBreak/>
        <w:t xml:space="preserve">Incluso, de un análisis integral a los </w:t>
      </w:r>
      <w:r>
        <w:rPr>
          <w:rFonts w:ascii="Arial" w:hAnsi="Arial" w:cs="Arial"/>
          <w:sz w:val="22"/>
          <w:szCs w:val="22"/>
        </w:rPr>
        <w:t>o</w:t>
      </w:r>
      <w:r w:rsidRPr="007774D3">
        <w:rPr>
          <w:rFonts w:ascii="Arial" w:hAnsi="Arial" w:cs="Arial"/>
          <w:sz w:val="22"/>
          <w:szCs w:val="22"/>
        </w:rPr>
        <w:t xml:space="preserve">rdenamientos de la materia aplicables en el Estado, tampoco se advierte una prohibición expresa a los hechos denunciados: esto es, no existe en nuestro sistema normativo electoral de la </w:t>
      </w:r>
      <w:r w:rsidR="00044780">
        <w:rPr>
          <w:rFonts w:ascii="Arial" w:hAnsi="Arial" w:cs="Arial"/>
          <w:sz w:val="22"/>
          <w:szCs w:val="22"/>
        </w:rPr>
        <w:t>e</w:t>
      </w:r>
      <w:r w:rsidRPr="007774D3">
        <w:rPr>
          <w:rFonts w:ascii="Arial" w:hAnsi="Arial" w:cs="Arial"/>
          <w:sz w:val="22"/>
          <w:szCs w:val="22"/>
        </w:rPr>
        <w:t xml:space="preserve">ntidad, ni tampoco en otras legislaciones en materia electoral que tengan efectos generales para el </w:t>
      </w:r>
      <w:r w:rsidR="00044780">
        <w:rPr>
          <w:rFonts w:ascii="Arial" w:hAnsi="Arial" w:cs="Arial"/>
          <w:sz w:val="22"/>
          <w:szCs w:val="22"/>
        </w:rPr>
        <w:t>e</w:t>
      </w:r>
      <w:r w:rsidRPr="007774D3">
        <w:rPr>
          <w:rFonts w:ascii="Arial" w:hAnsi="Arial" w:cs="Arial"/>
          <w:sz w:val="22"/>
          <w:szCs w:val="22"/>
        </w:rPr>
        <w:t xml:space="preserve">stado de </w:t>
      </w:r>
      <w:r>
        <w:rPr>
          <w:rFonts w:ascii="Arial" w:hAnsi="Arial" w:cs="Arial"/>
          <w:sz w:val="22"/>
          <w:szCs w:val="22"/>
        </w:rPr>
        <w:t>Aguascalientes</w:t>
      </w:r>
      <w:r w:rsidRPr="007774D3">
        <w:rPr>
          <w:rFonts w:ascii="Arial" w:hAnsi="Arial" w:cs="Arial"/>
          <w:sz w:val="22"/>
          <w:szCs w:val="22"/>
        </w:rPr>
        <w:t>, la prohibición o restricción alguna para llevar a cabo las conductas denunciadas, materia de la presente sentencia.</w:t>
      </w:r>
    </w:p>
    <w:p w14:paraId="15D1B7C0" w14:textId="2982F43A" w:rsidR="007774D3" w:rsidRDefault="007774D3" w:rsidP="007774D3">
      <w:pPr>
        <w:spacing w:line="360" w:lineRule="auto"/>
        <w:jc w:val="both"/>
        <w:rPr>
          <w:rFonts w:ascii="Arial" w:hAnsi="Arial" w:cs="Arial"/>
          <w:sz w:val="22"/>
          <w:szCs w:val="22"/>
        </w:rPr>
      </w:pPr>
    </w:p>
    <w:p w14:paraId="4ED64CA1" w14:textId="36738A13" w:rsidR="007774D3" w:rsidRDefault="007774D3" w:rsidP="008114D0">
      <w:pPr>
        <w:spacing w:line="360" w:lineRule="auto"/>
        <w:jc w:val="both"/>
        <w:rPr>
          <w:rFonts w:ascii="Arial" w:hAnsi="Arial" w:cs="Arial"/>
          <w:sz w:val="22"/>
          <w:szCs w:val="22"/>
        </w:rPr>
      </w:pPr>
      <w:r w:rsidRPr="007774D3">
        <w:rPr>
          <w:rFonts w:ascii="Arial" w:hAnsi="Arial" w:cs="Arial"/>
          <w:sz w:val="22"/>
          <w:szCs w:val="22"/>
        </w:rPr>
        <w:t>Esto es, en el caso concreto</w:t>
      </w:r>
      <w:r>
        <w:rPr>
          <w:rFonts w:ascii="Arial" w:hAnsi="Arial" w:cs="Arial"/>
          <w:sz w:val="22"/>
          <w:szCs w:val="22"/>
        </w:rPr>
        <w:t>,</w:t>
      </w:r>
      <w:r w:rsidRPr="007774D3">
        <w:rPr>
          <w:rFonts w:ascii="Arial" w:hAnsi="Arial" w:cs="Arial"/>
          <w:sz w:val="22"/>
          <w:szCs w:val="22"/>
        </w:rPr>
        <w:t xml:space="preserve"> existe ausencia del tipo normativo de una infracción, por lo que cabe traer a estudio la figura jurídica denominado "principio de tipicidad"</w:t>
      </w:r>
      <w:r w:rsidR="00044780">
        <w:rPr>
          <w:rFonts w:ascii="Arial" w:hAnsi="Arial" w:cs="Arial"/>
          <w:sz w:val="22"/>
          <w:szCs w:val="22"/>
        </w:rPr>
        <w:t>,</w:t>
      </w:r>
      <w:r w:rsidRPr="007774D3">
        <w:rPr>
          <w:rFonts w:ascii="Arial" w:hAnsi="Arial" w:cs="Arial"/>
          <w:sz w:val="22"/>
          <w:szCs w:val="22"/>
        </w:rPr>
        <w:t xml:space="preserve"> que es aplicable al Derecho Administrativo Sancionador Electoral, con sus adecuaciones y características propias, así como los principios reconocidos del </w:t>
      </w:r>
      <w:r w:rsidRPr="007774D3">
        <w:rPr>
          <w:rFonts w:ascii="Arial" w:hAnsi="Arial" w:cs="Arial"/>
          <w:i/>
          <w:iCs/>
          <w:sz w:val="22"/>
          <w:szCs w:val="22"/>
        </w:rPr>
        <w:t>Ius Puniendi</w:t>
      </w:r>
      <w:r>
        <w:rPr>
          <w:rFonts w:ascii="Arial" w:hAnsi="Arial" w:cs="Arial"/>
          <w:sz w:val="22"/>
          <w:szCs w:val="22"/>
        </w:rPr>
        <w:t>,</w:t>
      </w:r>
      <w:r w:rsidRPr="007774D3">
        <w:rPr>
          <w:rFonts w:ascii="Arial" w:hAnsi="Arial" w:cs="Arial"/>
          <w:sz w:val="22"/>
          <w:szCs w:val="22"/>
        </w:rPr>
        <w:t xml:space="preserve"> desarrollados en la teoría y en la normativa del Derecho Penal y, en época reciente, en el Derecho Administrativo Sancionador en general</w:t>
      </w:r>
      <w:r>
        <w:rPr>
          <w:rFonts w:ascii="Arial" w:hAnsi="Arial" w:cs="Arial"/>
          <w:sz w:val="22"/>
          <w:szCs w:val="22"/>
        </w:rPr>
        <w:t>;</w:t>
      </w:r>
      <w:r w:rsidRPr="007774D3">
        <w:rPr>
          <w:rFonts w:ascii="Arial" w:hAnsi="Arial" w:cs="Arial"/>
          <w:sz w:val="22"/>
          <w:szCs w:val="22"/>
        </w:rPr>
        <w:t xml:space="preserve"> lo anterior por ser un criterio sostenido por la Sala Superior del Tribunal Electoral del Poder Judicial de la Federación en la tesis relevante con la clave XLV/2002 identificada con el rubro</w:t>
      </w:r>
      <w:r w:rsidR="00913BDA">
        <w:rPr>
          <w:rFonts w:ascii="Arial" w:hAnsi="Arial" w:cs="Arial"/>
          <w:sz w:val="22"/>
          <w:szCs w:val="22"/>
        </w:rPr>
        <w:t>:</w:t>
      </w:r>
      <w:r w:rsidRPr="007774D3">
        <w:rPr>
          <w:rFonts w:ascii="Arial" w:hAnsi="Arial" w:cs="Arial"/>
          <w:sz w:val="22"/>
          <w:szCs w:val="22"/>
        </w:rPr>
        <w:t xml:space="preserve"> DERECHO ADMINISTRATIVO SANCIONADOR</w:t>
      </w:r>
      <w:r>
        <w:rPr>
          <w:rFonts w:ascii="Arial" w:hAnsi="Arial" w:cs="Arial"/>
          <w:sz w:val="22"/>
          <w:szCs w:val="22"/>
        </w:rPr>
        <w:t xml:space="preserve"> </w:t>
      </w:r>
      <w:r w:rsidRPr="007774D3">
        <w:rPr>
          <w:rFonts w:ascii="Arial" w:hAnsi="Arial" w:cs="Arial"/>
          <w:sz w:val="22"/>
          <w:szCs w:val="22"/>
        </w:rPr>
        <w:t>ELECTORAL. LE SON APLICABLES LOS PRINCIPIOS DEL IUS PUNIENDI DESARROLLADOS POR EL DERECHO PENAL</w:t>
      </w:r>
      <w:r>
        <w:rPr>
          <w:rFonts w:ascii="Arial" w:hAnsi="Arial" w:cs="Arial"/>
          <w:sz w:val="22"/>
          <w:szCs w:val="22"/>
        </w:rPr>
        <w:t>.</w:t>
      </w:r>
    </w:p>
    <w:p w14:paraId="4C836154" w14:textId="6739AD94" w:rsidR="007774D3" w:rsidRDefault="007774D3" w:rsidP="008114D0">
      <w:pPr>
        <w:spacing w:line="360" w:lineRule="auto"/>
        <w:jc w:val="both"/>
        <w:rPr>
          <w:rFonts w:ascii="Arial" w:hAnsi="Arial" w:cs="Arial"/>
          <w:sz w:val="22"/>
          <w:szCs w:val="22"/>
        </w:rPr>
      </w:pPr>
    </w:p>
    <w:p w14:paraId="2AC4ED58" w14:textId="6FA83CF9" w:rsidR="007774D3" w:rsidRDefault="007774D3" w:rsidP="008114D0">
      <w:pPr>
        <w:spacing w:line="360" w:lineRule="auto"/>
        <w:jc w:val="both"/>
        <w:rPr>
          <w:rFonts w:ascii="Arial" w:hAnsi="Arial" w:cs="Arial"/>
          <w:sz w:val="22"/>
          <w:szCs w:val="22"/>
        </w:rPr>
      </w:pPr>
      <w:r w:rsidRPr="007774D3">
        <w:rPr>
          <w:rFonts w:ascii="Arial" w:hAnsi="Arial" w:cs="Arial"/>
          <w:sz w:val="22"/>
          <w:szCs w:val="22"/>
        </w:rPr>
        <w:t>Lo anterior</w:t>
      </w:r>
      <w:r>
        <w:rPr>
          <w:rFonts w:ascii="Arial" w:hAnsi="Arial" w:cs="Arial"/>
          <w:sz w:val="22"/>
          <w:szCs w:val="22"/>
        </w:rPr>
        <w:t xml:space="preserve"> </w:t>
      </w:r>
      <w:r w:rsidRPr="007774D3">
        <w:rPr>
          <w:rFonts w:ascii="Arial" w:hAnsi="Arial" w:cs="Arial"/>
          <w:sz w:val="22"/>
          <w:szCs w:val="22"/>
        </w:rPr>
        <w:t xml:space="preserve">cobra relevancia para decir que, en el ámbito del Derecho Administrativo Sancionador, el ilícito, falta, infracción o contravención normativa, en sentido </w:t>
      </w:r>
      <w:r w:rsidRPr="007774D3">
        <w:rPr>
          <w:rFonts w:ascii="Arial" w:hAnsi="Arial" w:cs="Arial"/>
          <w:i/>
          <w:iCs/>
          <w:sz w:val="22"/>
          <w:szCs w:val="22"/>
        </w:rPr>
        <w:t>lato</w:t>
      </w:r>
      <w:r w:rsidRPr="007774D3">
        <w:rPr>
          <w:rFonts w:ascii="Arial" w:hAnsi="Arial" w:cs="Arial"/>
          <w:sz w:val="22"/>
          <w:szCs w:val="22"/>
        </w:rPr>
        <w:t xml:space="preserve">, se identifica como la conducta antijurídica, típica y culpable, que un sujeto de </w:t>
      </w:r>
      <w:r w:rsidR="00602F6D">
        <w:rPr>
          <w:rFonts w:ascii="Arial" w:hAnsi="Arial" w:cs="Arial"/>
          <w:sz w:val="22"/>
          <w:szCs w:val="22"/>
        </w:rPr>
        <w:t>d</w:t>
      </w:r>
      <w:r w:rsidRPr="007774D3">
        <w:rPr>
          <w:rFonts w:ascii="Arial" w:hAnsi="Arial" w:cs="Arial"/>
          <w:sz w:val="22"/>
          <w:szCs w:val="22"/>
        </w:rPr>
        <w:t>erecho lleva a cabo</w:t>
      </w:r>
      <w:r>
        <w:rPr>
          <w:rFonts w:ascii="Arial" w:hAnsi="Arial" w:cs="Arial"/>
          <w:sz w:val="22"/>
          <w:szCs w:val="22"/>
        </w:rPr>
        <w:t>;</w:t>
      </w:r>
      <w:r w:rsidRPr="007774D3">
        <w:rPr>
          <w:rFonts w:ascii="Arial" w:hAnsi="Arial" w:cs="Arial"/>
          <w:sz w:val="22"/>
          <w:szCs w:val="22"/>
        </w:rPr>
        <w:t xml:space="preserve"> con la cual, conculca el vigente sistema normativo, por tanto, ante la comisión de esa conducta antijurídica, típica y culpable, el legislador prevé como consecuencia por regla, la imposición de una sanción para el sujeto activo o responsable de dicha conducta.</w:t>
      </w:r>
    </w:p>
    <w:p w14:paraId="0DB98E0F" w14:textId="228B81F5" w:rsidR="007774D3" w:rsidRDefault="007774D3" w:rsidP="008114D0">
      <w:pPr>
        <w:spacing w:line="360" w:lineRule="auto"/>
        <w:jc w:val="both"/>
        <w:rPr>
          <w:rFonts w:ascii="Arial" w:hAnsi="Arial" w:cs="Arial"/>
          <w:sz w:val="22"/>
          <w:szCs w:val="22"/>
        </w:rPr>
      </w:pPr>
    </w:p>
    <w:p w14:paraId="5D0569CC" w14:textId="40545119" w:rsidR="007774D3" w:rsidRDefault="007774D3" w:rsidP="008114D0">
      <w:pPr>
        <w:spacing w:line="360" w:lineRule="auto"/>
        <w:jc w:val="both"/>
        <w:rPr>
          <w:rFonts w:ascii="Arial" w:hAnsi="Arial" w:cs="Arial"/>
          <w:sz w:val="22"/>
          <w:szCs w:val="22"/>
        </w:rPr>
      </w:pPr>
      <w:r w:rsidRPr="007774D3">
        <w:rPr>
          <w:rFonts w:ascii="Arial" w:hAnsi="Arial" w:cs="Arial"/>
          <w:sz w:val="22"/>
          <w:szCs w:val="22"/>
        </w:rPr>
        <w:t>En efecto, para que la conducta (ya sea de acción u omisión) se considere constitutiva de una falta o infracción administrativa debe estar previa y expresamente prevista o tipificada en la vigente normativa electoral aplicable. Por ello tanto en Derecho Penal como en el Derecho Administrativo Sancionador, rige el principio de estricta aplicación de la ley, en cuanto que no se puede imponer una sanción por simple analogía y tampoco por mayoría de razón; sólo se puede imponer sanción en los supuestos previstos en la ley, por la comisión de una conducta expresamente descrita como antijuridica. Tal razonamiento encuentra su fundamento en el tercer párrafo del artículo 14 de la Constitución Política de los Estados Unidos Mexicanos</w:t>
      </w:r>
      <w:r>
        <w:rPr>
          <w:rFonts w:ascii="Arial" w:hAnsi="Arial" w:cs="Arial"/>
          <w:sz w:val="22"/>
          <w:szCs w:val="22"/>
        </w:rPr>
        <w:t>; además s</w:t>
      </w:r>
      <w:r w:rsidRPr="007774D3">
        <w:rPr>
          <w:rFonts w:ascii="Arial" w:hAnsi="Arial" w:cs="Arial"/>
          <w:sz w:val="22"/>
          <w:szCs w:val="22"/>
        </w:rPr>
        <w:t>ustenta lo anterior, el criterio de la señalada Sala Superior en la tesis XLV/20015: "</w:t>
      </w:r>
      <w:r w:rsidRPr="007774D3">
        <w:rPr>
          <w:rFonts w:ascii="Arial" w:hAnsi="Arial" w:cs="Arial"/>
          <w:b/>
          <w:bCs/>
          <w:sz w:val="22"/>
          <w:szCs w:val="22"/>
        </w:rPr>
        <w:t>ANALOGÍA Y MAYORÍA DE RAZÓN. ALCANCES EN EL PROCEDIMIENTO ADMINISTRATIVO SANCIONADOR ELECTORAL</w:t>
      </w:r>
      <w:r w:rsidRPr="007774D3">
        <w:rPr>
          <w:rFonts w:ascii="Arial" w:hAnsi="Arial" w:cs="Arial"/>
          <w:sz w:val="22"/>
          <w:szCs w:val="22"/>
        </w:rPr>
        <w:t>".</w:t>
      </w:r>
    </w:p>
    <w:p w14:paraId="7DB81115" w14:textId="19744D24" w:rsidR="007774D3" w:rsidRDefault="007774D3" w:rsidP="008114D0">
      <w:pPr>
        <w:spacing w:line="360" w:lineRule="auto"/>
        <w:jc w:val="both"/>
        <w:rPr>
          <w:rFonts w:ascii="Arial" w:hAnsi="Arial" w:cs="Arial"/>
          <w:sz w:val="22"/>
          <w:szCs w:val="22"/>
        </w:rPr>
      </w:pPr>
    </w:p>
    <w:p w14:paraId="006B9A1F" w14:textId="6CA1A054" w:rsidR="007774D3" w:rsidRDefault="007774D3" w:rsidP="00054B6C">
      <w:pPr>
        <w:spacing w:line="360" w:lineRule="auto"/>
        <w:jc w:val="both"/>
        <w:rPr>
          <w:rFonts w:ascii="Arial" w:hAnsi="Arial" w:cs="Arial"/>
          <w:bCs/>
          <w:sz w:val="22"/>
          <w:szCs w:val="22"/>
        </w:rPr>
      </w:pPr>
      <w:r w:rsidRPr="007774D3">
        <w:rPr>
          <w:rFonts w:ascii="Arial" w:hAnsi="Arial" w:cs="Arial"/>
          <w:sz w:val="22"/>
          <w:szCs w:val="22"/>
        </w:rPr>
        <w:t>Por otro lado, es pertinente advertir la diferencia entre ausencia de "tipo" y ausencia de tipicidad</w:t>
      </w:r>
      <w:r>
        <w:rPr>
          <w:rFonts w:ascii="Arial" w:hAnsi="Arial" w:cs="Arial"/>
          <w:sz w:val="22"/>
          <w:szCs w:val="22"/>
        </w:rPr>
        <w:t>;</w:t>
      </w:r>
      <w:r w:rsidRPr="007774D3">
        <w:rPr>
          <w:rFonts w:ascii="Arial" w:hAnsi="Arial" w:cs="Arial"/>
          <w:sz w:val="22"/>
          <w:szCs w:val="22"/>
        </w:rPr>
        <w:t xml:space="preserve"> la primera se presenta cuando el legislador, deliberada o inadvertidamente, omite describir una conducta como delito, falta o infracción administrativa; en tanto que la ausencia de tipicidad</w:t>
      </w:r>
      <w:r>
        <w:rPr>
          <w:rFonts w:ascii="Arial" w:hAnsi="Arial" w:cs="Arial"/>
          <w:sz w:val="22"/>
          <w:szCs w:val="22"/>
        </w:rPr>
        <w:t xml:space="preserve"> </w:t>
      </w:r>
      <w:r w:rsidRPr="007774D3">
        <w:rPr>
          <w:rFonts w:ascii="Arial" w:hAnsi="Arial" w:cs="Arial"/>
          <w:sz w:val="22"/>
          <w:szCs w:val="22"/>
        </w:rPr>
        <w:t>surge cuando existe el tipo, pero la conducta cometida no encuadra, no se ajusta, no se adecua o no se amolda al tipo legalmente establecido.</w:t>
      </w:r>
      <w:r w:rsidR="00054B6C">
        <w:rPr>
          <w:rFonts w:ascii="Arial" w:hAnsi="Arial" w:cs="Arial"/>
          <w:sz w:val="22"/>
          <w:szCs w:val="22"/>
        </w:rPr>
        <w:t xml:space="preserve"> </w:t>
      </w:r>
      <w:r w:rsidRPr="007774D3">
        <w:rPr>
          <w:rFonts w:ascii="Arial" w:hAnsi="Arial" w:cs="Arial"/>
          <w:bCs/>
          <w:sz w:val="22"/>
          <w:szCs w:val="22"/>
        </w:rPr>
        <w:t>Por ello, en el caso concreto, la conducta que se atribuyó al denunciado no está prevista legalmente como una falta administrativa o infracción, esto es, existe ausencia del "tipo" normativo, en consecuencia, tampoco sería fundado aplicar una sanción</w:t>
      </w:r>
      <w:r w:rsidR="00B053F0">
        <w:rPr>
          <w:rFonts w:ascii="Arial" w:hAnsi="Arial" w:cs="Arial"/>
          <w:bCs/>
          <w:sz w:val="22"/>
          <w:szCs w:val="22"/>
        </w:rPr>
        <w:t>.</w:t>
      </w:r>
    </w:p>
    <w:p w14:paraId="687A7B56" w14:textId="3DDA8196" w:rsidR="003A5620" w:rsidRPr="003A5620" w:rsidRDefault="003A5620" w:rsidP="007774D3">
      <w:pPr>
        <w:pStyle w:val="NormalWeb"/>
        <w:tabs>
          <w:tab w:val="left" w:pos="0"/>
          <w:tab w:val="left" w:pos="426"/>
        </w:tabs>
        <w:spacing w:before="0" w:beforeAutospacing="0" w:after="0" w:afterAutospacing="0" w:line="360" w:lineRule="auto"/>
        <w:contextualSpacing/>
        <w:mirrorIndents/>
        <w:jc w:val="both"/>
        <w:rPr>
          <w:rFonts w:ascii="Arial" w:hAnsi="Arial" w:cs="Arial"/>
          <w:bCs/>
          <w:sz w:val="20"/>
          <w:szCs w:val="20"/>
        </w:rPr>
      </w:pPr>
    </w:p>
    <w:p w14:paraId="02AA2E30" w14:textId="043A33AC" w:rsidR="003A5620" w:rsidRDefault="003A5620" w:rsidP="007774D3">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3A5620">
        <w:rPr>
          <w:rFonts w:ascii="Arial" w:hAnsi="Arial" w:cs="Arial"/>
          <w:sz w:val="22"/>
          <w:szCs w:val="22"/>
        </w:rPr>
        <w:lastRenderedPageBreak/>
        <w:t>La anterior conclusión se ve robustecida, si se toma en cuenta la movilidad urbana</w:t>
      </w:r>
      <w:r>
        <w:rPr>
          <w:rFonts w:ascii="Arial" w:hAnsi="Arial" w:cs="Arial"/>
          <w:sz w:val="22"/>
          <w:szCs w:val="22"/>
        </w:rPr>
        <w:t xml:space="preserve">, </w:t>
      </w:r>
      <w:r w:rsidRPr="003A5620">
        <w:rPr>
          <w:rFonts w:ascii="Arial" w:hAnsi="Arial" w:cs="Arial"/>
          <w:sz w:val="22"/>
          <w:szCs w:val="22"/>
        </w:rPr>
        <w:t xml:space="preserve">esto es, </w:t>
      </w:r>
      <w:r>
        <w:rPr>
          <w:rFonts w:ascii="Arial" w:hAnsi="Arial" w:cs="Arial"/>
          <w:sz w:val="22"/>
          <w:szCs w:val="22"/>
        </w:rPr>
        <w:t xml:space="preserve">en </w:t>
      </w:r>
      <w:r w:rsidRPr="003A5620">
        <w:rPr>
          <w:rFonts w:ascii="Arial" w:hAnsi="Arial" w:cs="Arial"/>
          <w:sz w:val="22"/>
          <w:szCs w:val="22"/>
        </w:rPr>
        <w:t xml:space="preserve">una demarcación geográfica en la que diariamente las personas deben realizar importantes trayectos para su traslado de los lugares donde se ubica su vivienda, </w:t>
      </w:r>
      <w:r w:rsidR="00EA481F" w:rsidRPr="003A5620">
        <w:rPr>
          <w:rFonts w:ascii="Arial" w:hAnsi="Arial" w:cs="Arial"/>
          <w:sz w:val="22"/>
          <w:szCs w:val="22"/>
        </w:rPr>
        <w:t>al centro</w:t>
      </w:r>
      <w:r w:rsidRPr="003A5620">
        <w:rPr>
          <w:rFonts w:ascii="Arial" w:hAnsi="Arial" w:cs="Arial"/>
          <w:sz w:val="22"/>
          <w:szCs w:val="22"/>
        </w:rPr>
        <w:t xml:space="preserve"> de trabajo o donde llevan a cabo la mayor parte de su actividad económica.</w:t>
      </w:r>
    </w:p>
    <w:p w14:paraId="1AE26BAA" w14:textId="7B49124D" w:rsidR="00EA481F" w:rsidRDefault="00EA481F" w:rsidP="007774D3">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3D5000FE" w14:textId="30BFE3B4" w:rsidR="00EA481F" w:rsidRDefault="00EA481F" w:rsidP="007774D3">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EA481F">
        <w:rPr>
          <w:rFonts w:ascii="Arial" w:hAnsi="Arial" w:cs="Arial"/>
          <w:bCs/>
          <w:sz w:val="22"/>
          <w:szCs w:val="22"/>
        </w:rPr>
        <w:t xml:space="preserve">En este sentido, la posibilidad de que los partidos políticos y precandidatos, difundan propaganda electoral en las diversas demarcaciones político-administrativas que conforman la zona metropolitana permite igualmente, hacer posible que la </w:t>
      </w:r>
      <w:r w:rsidRPr="00EA481F">
        <w:rPr>
          <w:rFonts w:ascii="Arial" w:hAnsi="Arial" w:cs="Arial"/>
          <w:sz w:val="22"/>
          <w:szCs w:val="22"/>
        </w:rPr>
        <w:t>ciudadanía tenga acceso a mayor y mejor información, no solo en su lugar de residencia, sino también en aquellos lugares en los que desarrolla su actividad económica.</w:t>
      </w:r>
    </w:p>
    <w:p w14:paraId="4C8F2F54" w14:textId="2C179989" w:rsidR="007A4F23" w:rsidRDefault="007A4F23" w:rsidP="007774D3">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2069E574" w14:textId="583A0776" w:rsidR="007A4F23" w:rsidRPr="00EA481F" w:rsidRDefault="007A4F23" w:rsidP="007774D3">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7774D3">
        <w:rPr>
          <w:rFonts w:ascii="Arial" w:hAnsi="Arial" w:cs="Arial"/>
          <w:bCs/>
          <w:sz w:val="22"/>
          <w:szCs w:val="22"/>
        </w:rPr>
        <w:t xml:space="preserve">Por lo anterior, este Órgano Jurisdiccional </w:t>
      </w:r>
      <w:r w:rsidRPr="007A4F23">
        <w:rPr>
          <w:rFonts w:ascii="Arial" w:hAnsi="Arial" w:cs="Arial"/>
          <w:bCs/>
          <w:sz w:val="22"/>
          <w:szCs w:val="22"/>
        </w:rPr>
        <w:t xml:space="preserve">estima que no se afecta el principio de equidad en la contienda, ni se propicia una sobre exposición de los partidos políticos, pues en principio debe privilegiarse el derecho de los ciudadanos a contar con información suficiente y oportuna, sobre los precandidatos y sus propuestas, </w:t>
      </w:r>
      <w:r w:rsidR="00750DB4">
        <w:rPr>
          <w:rFonts w:ascii="Arial" w:hAnsi="Arial" w:cs="Arial"/>
          <w:bCs/>
          <w:sz w:val="22"/>
          <w:szCs w:val="22"/>
        </w:rPr>
        <w:t xml:space="preserve">por lo que se determina la </w:t>
      </w:r>
      <w:r w:rsidR="00750DB4" w:rsidRPr="00C75FC5">
        <w:rPr>
          <w:rFonts w:ascii="Arial" w:hAnsi="Arial" w:cs="Arial"/>
          <w:b/>
          <w:sz w:val="22"/>
          <w:szCs w:val="22"/>
        </w:rPr>
        <w:t>inexistencia</w:t>
      </w:r>
      <w:r w:rsidR="00750DB4">
        <w:rPr>
          <w:rFonts w:ascii="Arial" w:hAnsi="Arial" w:cs="Arial"/>
          <w:bCs/>
          <w:sz w:val="22"/>
          <w:szCs w:val="22"/>
        </w:rPr>
        <w:t xml:space="preserve"> de la infracción denunciada. </w:t>
      </w:r>
    </w:p>
    <w:p w14:paraId="63CB3E35" w14:textId="071E718A" w:rsidR="007774D3" w:rsidRDefault="007774D3" w:rsidP="007774D3">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268128FA" w14:textId="14680A77" w:rsidR="007774D3" w:rsidRDefault="00750DB4" w:rsidP="007774D3">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 xml:space="preserve">A similares criterios arribó la </w:t>
      </w:r>
      <w:r w:rsidR="006652A7" w:rsidRPr="006652A7">
        <w:rPr>
          <w:rFonts w:ascii="Arial" w:hAnsi="Arial" w:cs="Arial"/>
          <w:bCs/>
          <w:sz w:val="22"/>
          <w:szCs w:val="22"/>
        </w:rPr>
        <w:t>Sala Superior al resolver los Recursos de Reconsideración identificados como SUP-REC-26/2015 y S</w:t>
      </w:r>
      <w:r w:rsidR="0072375A">
        <w:rPr>
          <w:rFonts w:ascii="Arial" w:hAnsi="Arial" w:cs="Arial"/>
          <w:bCs/>
          <w:sz w:val="22"/>
          <w:szCs w:val="22"/>
        </w:rPr>
        <w:t>U</w:t>
      </w:r>
      <w:r w:rsidR="006652A7" w:rsidRPr="006652A7">
        <w:rPr>
          <w:rFonts w:ascii="Arial" w:hAnsi="Arial" w:cs="Arial"/>
          <w:bCs/>
          <w:sz w:val="22"/>
          <w:szCs w:val="22"/>
        </w:rPr>
        <w:t>P-REC</w:t>
      </w:r>
      <w:r w:rsidR="006652A7">
        <w:rPr>
          <w:rFonts w:ascii="Arial" w:hAnsi="Arial" w:cs="Arial"/>
          <w:bCs/>
          <w:sz w:val="22"/>
          <w:szCs w:val="22"/>
        </w:rPr>
        <w:t>-</w:t>
      </w:r>
      <w:r w:rsidR="006652A7" w:rsidRPr="006652A7">
        <w:rPr>
          <w:rFonts w:ascii="Arial" w:hAnsi="Arial" w:cs="Arial"/>
          <w:bCs/>
          <w:sz w:val="22"/>
          <w:szCs w:val="22"/>
        </w:rPr>
        <w:t>27</w:t>
      </w:r>
      <w:r w:rsidR="006652A7">
        <w:rPr>
          <w:rFonts w:ascii="Arial" w:hAnsi="Arial" w:cs="Arial"/>
          <w:bCs/>
          <w:sz w:val="22"/>
          <w:szCs w:val="22"/>
        </w:rPr>
        <w:t>/</w:t>
      </w:r>
      <w:r w:rsidR="006652A7" w:rsidRPr="006652A7">
        <w:rPr>
          <w:rFonts w:ascii="Arial" w:hAnsi="Arial" w:cs="Arial"/>
          <w:bCs/>
          <w:sz w:val="22"/>
          <w:szCs w:val="22"/>
        </w:rPr>
        <w:t xml:space="preserve">2015 </w:t>
      </w:r>
      <w:r w:rsidR="006652A7">
        <w:rPr>
          <w:rFonts w:ascii="Arial" w:hAnsi="Arial" w:cs="Arial"/>
          <w:bCs/>
          <w:sz w:val="22"/>
          <w:szCs w:val="22"/>
        </w:rPr>
        <w:t>acumulados</w:t>
      </w:r>
      <w:r>
        <w:rPr>
          <w:rFonts w:ascii="Arial" w:hAnsi="Arial" w:cs="Arial"/>
          <w:bCs/>
          <w:sz w:val="22"/>
          <w:szCs w:val="22"/>
        </w:rPr>
        <w:t>.</w:t>
      </w:r>
    </w:p>
    <w:p w14:paraId="2A968B8C" w14:textId="77777777" w:rsidR="00750DB4" w:rsidRPr="007774D3" w:rsidRDefault="00750DB4" w:rsidP="007774D3">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3368BEC1" w14:textId="471F8694" w:rsidR="00352669" w:rsidRPr="005833FF" w:rsidRDefault="00352669" w:rsidP="00352669">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sidR="001D7982">
        <w:rPr>
          <w:rFonts w:ascii="Arial" w:hAnsi="Arial" w:cs="Arial"/>
          <w:b/>
          <w:sz w:val="22"/>
          <w:szCs w:val="22"/>
        </w:rPr>
        <w:t>1</w:t>
      </w:r>
      <w:r w:rsidRPr="005833FF">
        <w:rPr>
          <w:rFonts w:ascii="Arial" w:hAnsi="Arial" w:cs="Arial"/>
          <w:b/>
          <w:sz w:val="22"/>
          <w:szCs w:val="22"/>
        </w:rPr>
        <w:t>. RESOLUTIVOS.</w:t>
      </w:r>
    </w:p>
    <w:p w14:paraId="546AC50F" w14:textId="77777777" w:rsidR="00352669" w:rsidRPr="005833FF" w:rsidRDefault="00352669" w:rsidP="00352669">
      <w:pPr>
        <w:spacing w:line="360" w:lineRule="auto"/>
        <w:jc w:val="both"/>
        <w:rPr>
          <w:rFonts w:ascii="Arial" w:hAnsi="Arial" w:cs="Arial"/>
          <w:sz w:val="22"/>
          <w:szCs w:val="22"/>
        </w:rPr>
      </w:pPr>
    </w:p>
    <w:p w14:paraId="1F16AD36" w14:textId="433DA869" w:rsidR="00352669" w:rsidRPr="002E7A1B" w:rsidRDefault="00750DB4" w:rsidP="00352669">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r>
        <w:rPr>
          <w:rFonts w:ascii="Arial" w:hAnsi="Arial" w:cs="Arial"/>
          <w:b/>
          <w:bCs/>
          <w:sz w:val="22"/>
          <w:szCs w:val="22"/>
        </w:rPr>
        <w:t>Ú</w:t>
      </w:r>
      <w:r w:rsidR="00352669">
        <w:rPr>
          <w:rFonts w:ascii="Arial" w:hAnsi="Arial" w:cs="Arial"/>
          <w:b/>
          <w:bCs/>
          <w:sz w:val="22"/>
          <w:szCs w:val="22"/>
        </w:rPr>
        <w:t>NICO</w:t>
      </w:r>
      <w:r w:rsidR="00352669" w:rsidRPr="002E7A1B">
        <w:rPr>
          <w:rFonts w:ascii="Arial" w:hAnsi="Arial" w:cs="Arial"/>
          <w:sz w:val="22"/>
          <w:szCs w:val="22"/>
        </w:rPr>
        <w:t xml:space="preserve">. </w:t>
      </w:r>
      <w:r w:rsidR="00352669">
        <w:rPr>
          <w:rFonts w:ascii="Arial" w:hAnsi="Arial" w:cs="Arial"/>
          <w:sz w:val="22"/>
          <w:szCs w:val="22"/>
        </w:rPr>
        <w:t>Se declara la inexistencia de la infracción denunciada.</w:t>
      </w:r>
    </w:p>
    <w:p w14:paraId="72F710D4" w14:textId="0B23DDB4" w:rsidR="002E7A1B" w:rsidRPr="002E7A1B" w:rsidRDefault="002E7A1B" w:rsidP="000A2E34">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7EF3B511" w14:textId="77777777" w:rsidR="0092552B" w:rsidRPr="002E7A1B" w:rsidRDefault="0092552B" w:rsidP="0092552B">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Así lo resolvió el Tribunal Electoral del Estado de Aguascalientes, por unanimidad de votos de las Magistradas y Magistrado que lo integran, ante el Secretario General de Acuerdos, quien autoriza y da fe.</w:t>
      </w:r>
    </w:p>
    <w:tbl>
      <w:tblPr>
        <w:tblW w:w="8646" w:type="dxa"/>
        <w:jc w:val="center"/>
        <w:tblBorders>
          <w:top w:val="nil"/>
          <w:left w:val="nil"/>
          <w:bottom w:val="nil"/>
          <w:right w:val="nil"/>
          <w:insideH w:val="nil"/>
          <w:insideV w:val="nil"/>
        </w:tblBorders>
        <w:tblLayout w:type="fixed"/>
        <w:tblLook w:val="0400" w:firstRow="0" w:lastRow="0" w:firstColumn="0" w:lastColumn="0" w:noHBand="0" w:noVBand="1"/>
      </w:tblPr>
      <w:tblGrid>
        <w:gridCol w:w="4321"/>
        <w:gridCol w:w="4325"/>
      </w:tblGrid>
      <w:tr w:rsidR="0092552B" w:rsidRPr="005833FF" w14:paraId="7972EAF4" w14:textId="77777777" w:rsidTr="00750DB4">
        <w:trPr>
          <w:trHeight w:val="2074"/>
          <w:jc w:val="center"/>
        </w:trPr>
        <w:tc>
          <w:tcPr>
            <w:tcW w:w="8646" w:type="dxa"/>
            <w:gridSpan w:val="2"/>
          </w:tcPr>
          <w:p w14:paraId="637AB44C" w14:textId="5497C5F9"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73B1340F" w14:textId="77777777" w:rsidR="00C75FC5" w:rsidRPr="005833FF" w:rsidRDefault="00C75FC5" w:rsidP="004527D4">
            <w:pPr>
              <w:pBdr>
                <w:top w:val="nil"/>
                <w:left w:val="nil"/>
                <w:bottom w:val="nil"/>
                <w:right w:val="nil"/>
                <w:between w:val="nil"/>
              </w:pBdr>
              <w:jc w:val="center"/>
              <w:rPr>
                <w:rFonts w:ascii="Arial" w:eastAsia="Arial Nova" w:hAnsi="Arial" w:cs="Arial"/>
                <w:b/>
                <w:color w:val="000000"/>
                <w:sz w:val="22"/>
                <w:szCs w:val="22"/>
              </w:rPr>
            </w:pPr>
          </w:p>
          <w:p w14:paraId="7563AD5C" w14:textId="4496C7E3"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677F1E10" w14:textId="77777777" w:rsidR="004527D4" w:rsidRPr="005833FF"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0BFE95E4"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0C8FBDC" w14:textId="3DD93FBA" w:rsidR="004527D4" w:rsidRPr="005833FF" w:rsidRDefault="0092552B" w:rsidP="004527D4">
            <w:pPr>
              <w:pBdr>
                <w:top w:val="nil"/>
                <w:left w:val="nil"/>
                <w:bottom w:val="nil"/>
                <w:right w:val="nil"/>
                <w:between w:val="nil"/>
              </w:pBdr>
              <w:jc w:val="center"/>
              <w:rPr>
                <w:rFonts w:ascii="Arial" w:eastAsia="Arial Nova" w:hAnsi="Arial" w:cs="Arial"/>
                <w:sz w:val="22"/>
                <w:szCs w:val="22"/>
              </w:rPr>
            </w:pPr>
            <w:r w:rsidRPr="005833FF">
              <w:rPr>
                <w:rFonts w:ascii="Arial" w:eastAsia="Arial Nova" w:hAnsi="Arial" w:cs="Arial"/>
                <w:b/>
                <w:color w:val="000000"/>
                <w:sz w:val="22"/>
                <w:szCs w:val="22"/>
              </w:rPr>
              <w:t>CLAUDIA ELOISA DÍAZ DE LEÓN GONZÁLEZ</w:t>
            </w:r>
          </w:p>
        </w:tc>
      </w:tr>
      <w:tr w:rsidR="0092552B" w:rsidRPr="005833FF" w14:paraId="3A52C40F" w14:textId="77777777" w:rsidTr="00750DB4">
        <w:trPr>
          <w:trHeight w:val="1919"/>
          <w:jc w:val="center"/>
        </w:trPr>
        <w:tc>
          <w:tcPr>
            <w:tcW w:w="4321" w:type="dxa"/>
          </w:tcPr>
          <w:p w14:paraId="48AC902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1F22BEE0"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13014C47"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3D7FC6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7FFB1FF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325" w:type="dxa"/>
          </w:tcPr>
          <w:p w14:paraId="6005F5B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5FB01CC2"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024C2FE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FD7245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3B9ABD0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92552B" w:rsidRPr="005833FF" w14:paraId="516516D2" w14:textId="77777777" w:rsidTr="00750DB4">
        <w:trPr>
          <w:trHeight w:val="1543"/>
          <w:jc w:val="center"/>
        </w:trPr>
        <w:tc>
          <w:tcPr>
            <w:tcW w:w="8646" w:type="dxa"/>
            <w:gridSpan w:val="2"/>
          </w:tcPr>
          <w:p w14:paraId="1438395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BFD43F4" w14:textId="12B13A69"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341A8585" w14:textId="77777777" w:rsidR="004527D4" w:rsidRPr="005833FF"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4E24D70F"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2003EB42" w14:textId="2F651F38"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5A8B0E92" w14:textId="77777777" w:rsidR="0092552B" w:rsidRPr="005833FF" w:rsidRDefault="0092552B" w:rsidP="004527D4">
      <w:pPr>
        <w:pStyle w:val="Prrafodelista"/>
        <w:ind w:left="0"/>
        <w:jc w:val="both"/>
        <w:rPr>
          <w:rFonts w:ascii="Arial" w:hAnsi="Arial" w:cs="Arial"/>
          <w:sz w:val="22"/>
          <w:szCs w:val="22"/>
        </w:rPr>
      </w:pPr>
    </w:p>
    <w:p w14:paraId="1ED2D542" w14:textId="77777777" w:rsidR="001C3B12" w:rsidRPr="005833FF" w:rsidRDefault="001C3B12" w:rsidP="004527D4">
      <w:pPr>
        <w:jc w:val="both"/>
        <w:rPr>
          <w:rFonts w:ascii="Arial" w:hAnsi="Arial" w:cs="Arial"/>
          <w:b/>
          <w:bCs/>
          <w:sz w:val="22"/>
          <w:szCs w:val="22"/>
        </w:rPr>
      </w:pPr>
    </w:p>
    <w:sectPr w:rsidR="001C3B12" w:rsidRPr="005833FF" w:rsidSect="00C27EBE">
      <w:headerReference w:type="even" r:id="rId12"/>
      <w:headerReference w:type="default" r:id="rId13"/>
      <w:footerReference w:type="even" r:id="rId14"/>
      <w:footerReference w:type="default" r:id="rId15"/>
      <w:headerReference w:type="first" r:id="rId16"/>
      <w:footerReference w:type="first" r:id="rId17"/>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8D87E" w14:textId="77777777" w:rsidR="00007E76" w:rsidRDefault="00007E76">
      <w:r>
        <w:separator/>
      </w:r>
    </w:p>
  </w:endnote>
  <w:endnote w:type="continuationSeparator" w:id="0">
    <w:p w14:paraId="4491878A" w14:textId="77777777" w:rsidR="00007E76" w:rsidRDefault="00007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A4ED9" w14:textId="77777777" w:rsidR="00007E76" w:rsidRDefault="00007E76">
      <w:r>
        <w:separator/>
      </w:r>
    </w:p>
  </w:footnote>
  <w:footnote w:type="continuationSeparator" w:id="0">
    <w:p w14:paraId="5429DA03" w14:textId="77777777" w:rsidR="00007E76" w:rsidRDefault="00007E76">
      <w:r>
        <w:continuationSeparator/>
      </w:r>
    </w:p>
  </w:footnote>
  <w:footnote w:id="1">
    <w:p w14:paraId="495517D0" w14:textId="77777777" w:rsidR="008155D6" w:rsidRPr="00834A84" w:rsidRDefault="008155D6" w:rsidP="008155D6">
      <w:pPr>
        <w:pBdr>
          <w:top w:val="nil"/>
          <w:left w:val="nil"/>
          <w:bottom w:val="nil"/>
          <w:right w:val="nil"/>
          <w:between w:val="nil"/>
        </w:pBdr>
        <w:jc w:val="both"/>
        <w:rPr>
          <w:rFonts w:ascii="Arial" w:eastAsia="Arial Nova" w:hAnsi="Arial" w:cs="Arial"/>
          <w:color w:val="000000"/>
          <w:sz w:val="18"/>
          <w:szCs w:val="18"/>
        </w:rPr>
      </w:pPr>
      <w:r w:rsidRPr="00834A84">
        <w:rPr>
          <w:rFonts w:ascii="Arial" w:hAnsi="Arial" w:cs="Arial"/>
          <w:sz w:val="18"/>
          <w:szCs w:val="18"/>
          <w:vertAlign w:val="superscript"/>
        </w:rPr>
        <w:footnoteRef/>
      </w:r>
      <w:r w:rsidRPr="00834A84">
        <w:rPr>
          <w:rFonts w:ascii="Arial" w:eastAsia="Arial Nova" w:hAnsi="Arial" w:cs="Arial"/>
          <w:color w:val="000000"/>
          <w:sz w:val="18"/>
          <w:szCs w:val="18"/>
        </w:rPr>
        <w:t xml:space="preserve"> Artículo 353. Procede el recurso de revisión respecto del procedimiento especial sancionador previsto en este Código, en contra: </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 De las medidas cautelares que ordene el Instituto, y</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II. Del acuerdo de desechamiento que emita el Instituto sobre una denuncia.</w:t>
      </w:r>
    </w:p>
    <w:p w14:paraId="607F686B" w14:textId="77777777" w:rsidR="008155D6" w:rsidRPr="00834A84" w:rsidRDefault="008155D6" w:rsidP="008155D6">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El Tribunal será competente para conocer de este recurso.</w:t>
      </w:r>
    </w:p>
    <w:p w14:paraId="12D5B341" w14:textId="77777777" w:rsidR="008155D6" w:rsidRPr="00834A84" w:rsidRDefault="008155D6" w:rsidP="008155D6">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 xml:space="preserve">El plazo para impugnar las resoluciones del Instituto referidas en el presente artículo será de cuatro días contados a partir del día siguiente del que se haya notificado la resolución correspondiente, </w:t>
      </w:r>
      <w:r w:rsidRPr="00834A84">
        <w:rPr>
          <w:rFonts w:ascii="Arial" w:eastAsia="Arial Nova" w:hAnsi="Arial" w:cs="Arial"/>
          <w:b/>
          <w:color w:val="000000"/>
          <w:sz w:val="18"/>
          <w:szCs w:val="18"/>
        </w:rPr>
        <w:t xml:space="preserve">con excepción del recurso que se interponga en contra de las medidas cautelares emitidas por el Instituto, en cuyo caso el plazo será de cuarenta y ocho horas, </w:t>
      </w:r>
      <w:r w:rsidRPr="00834A84">
        <w:rPr>
          <w:rFonts w:ascii="Arial" w:eastAsia="Arial Nova" w:hAnsi="Arial" w:cs="Arial"/>
          <w:color w:val="000000"/>
          <w:sz w:val="18"/>
          <w:szCs w:val="18"/>
        </w:rPr>
        <w:t>contadas a partir de la imposición de dichas medidas.</w:t>
      </w:r>
    </w:p>
    <w:p w14:paraId="2B4A8B0C" w14:textId="77777777" w:rsidR="008155D6" w:rsidRPr="00834A84" w:rsidRDefault="008155D6" w:rsidP="008155D6">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2">
    <w:p w14:paraId="6FADF552" w14:textId="10CBFDF3" w:rsidR="002011BB" w:rsidRPr="00834A84" w:rsidRDefault="002011BB" w:rsidP="002011BB">
      <w:pPr>
        <w:pStyle w:val="Textonotapie"/>
        <w:jc w:val="both"/>
        <w:rPr>
          <w:rFonts w:ascii="Arial" w:hAnsi="Arial" w:cs="Arial"/>
          <w:sz w:val="18"/>
          <w:szCs w:val="18"/>
        </w:rPr>
      </w:pPr>
      <w:r w:rsidRPr="00316B96">
        <w:rPr>
          <w:rStyle w:val="Refdenotaalpie"/>
          <w:rFonts w:ascii="Arial" w:hAnsi="Arial" w:cs="Arial"/>
          <w:sz w:val="18"/>
          <w:szCs w:val="18"/>
        </w:rPr>
        <w:footnoteRef/>
      </w:r>
      <w:r w:rsidRPr="00316B96">
        <w:rPr>
          <w:rFonts w:ascii="Arial" w:hAnsi="Arial" w:cs="Arial"/>
          <w:sz w:val="18"/>
          <w:szCs w:val="18"/>
        </w:rPr>
        <w:t xml:space="preserve"> Con verificativo el día </w:t>
      </w:r>
      <w:r w:rsidR="008155D6">
        <w:rPr>
          <w:rFonts w:ascii="Arial" w:hAnsi="Arial" w:cs="Arial"/>
          <w:sz w:val="18"/>
          <w:szCs w:val="18"/>
        </w:rPr>
        <w:t>viernes cuatro de junio a las veinte horas.</w:t>
      </w:r>
    </w:p>
  </w:footnote>
  <w:footnote w:id="3">
    <w:p w14:paraId="0BB57C12" w14:textId="126297A9" w:rsidR="002F5D1B" w:rsidRDefault="002F5D1B">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w:t>
      </w:r>
      <w:r w:rsidR="00624EB7">
        <w:rPr>
          <w:rFonts w:ascii="Arial" w:eastAsia="Arial Nova" w:hAnsi="Arial" w:cs="Arial"/>
          <w:sz w:val="18"/>
          <w:szCs w:val="18"/>
        </w:rPr>
        <w:t>-</w:t>
      </w:r>
      <w:r w:rsidRPr="0067335B">
        <w:rPr>
          <w:rFonts w:ascii="Arial" w:eastAsia="Arial Nova" w:hAnsi="Arial" w:cs="Arial"/>
          <w:sz w:val="18"/>
          <w:szCs w:val="18"/>
        </w:rPr>
        <w:t>JDC-9973/2020, SUP-REP-111/2020 y SG-JE-45/2020</w:t>
      </w:r>
    </w:p>
  </w:footnote>
  <w:footnote w:id="4">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503CDC1C" w:rsidR="002F5D1B" w:rsidRDefault="00E6108D">
    <w:pPr>
      <w:pBdr>
        <w:top w:val="nil"/>
        <w:left w:val="nil"/>
        <w:bottom w:val="nil"/>
        <w:right w:val="nil"/>
        <w:between w:val="nil"/>
      </w:pBdr>
      <w:tabs>
        <w:tab w:val="center" w:pos="4419"/>
        <w:tab w:val="right" w:pos="8838"/>
      </w:tabs>
      <w:rPr>
        <w:color w:val="000000"/>
      </w:rPr>
    </w:pPr>
    <w:r>
      <w:rPr>
        <w:noProof/>
      </w:rPr>
      <w:pict w14:anchorId="6C77EF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79172"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0F288EF7" w:rsidR="002F5D1B" w:rsidRDefault="00E6108D">
    <w:pPr>
      <w:pBdr>
        <w:top w:val="nil"/>
        <w:left w:val="nil"/>
        <w:bottom w:val="nil"/>
        <w:right w:val="nil"/>
        <w:between w:val="nil"/>
      </w:pBdr>
      <w:tabs>
        <w:tab w:val="center" w:pos="4419"/>
        <w:tab w:val="right" w:pos="8838"/>
      </w:tabs>
      <w:rPr>
        <w:color w:val="000000"/>
      </w:rPr>
    </w:pPr>
    <w:r>
      <w:rPr>
        <w:noProof/>
      </w:rPr>
      <w:pict w14:anchorId="3CE744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79173"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341AC1A6" w:rsidR="002F5D1B" w:rsidRDefault="00E6108D">
    <w:pPr>
      <w:pBdr>
        <w:top w:val="nil"/>
        <w:left w:val="nil"/>
        <w:bottom w:val="nil"/>
        <w:right w:val="nil"/>
        <w:between w:val="nil"/>
      </w:pBdr>
      <w:tabs>
        <w:tab w:val="center" w:pos="4419"/>
        <w:tab w:val="right" w:pos="8838"/>
      </w:tabs>
      <w:rPr>
        <w:color w:val="000000"/>
      </w:rPr>
    </w:pPr>
    <w:r>
      <w:rPr>
        <w:noProof/>
      </w:rPr>
      <w:pict w14:anchorId="29C98C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79171"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2"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980210"/>
    <w:multiLevelType w:val="hybridMultilevel"/>
    <w:tmpl w:val="3EF485D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1"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6"/>
  </w:num>
  <w:num w:numId="3">
    <w:abstractNumId w:val="10"/>
  </w:num>
  <w:num w:numId="4">
    <w:abstractNumId w:val="7"/>
  </w:num>
  <w:num w:numId="5">
    <w:abstractNumId w:val="9"/>
  </w:num>
  <w:num w:numId="6">
    <w:abstractNumId w:val="1"/>
  </w:num>
  <w:num w:numId="7">
    <w:abstractNumId w:val="17"/>
  </w:num>
  <w:num w:numId="8">
    <w:abstractNumId w:val="6"/>
  </w:num>
  <w:num w:numId="9">
    <w:abstractNumId w:val="14"/>
  </w:num>
  <w:num w:numId="10">
    <w:abstractNumId w:val="5"/>
  </w:num>
  <w:num w:numId="11">
    <w:abstractNumId w:val="12"/>
  </w:num>
  <w:num w:numId="12">
    <w:abstractNumId w:val="0"/>
  </w:num>
  <w:num w:numId="13">
    <w:abstractNumId w:val="13"/>
  </w:num>
  <w:num w:numId="14">
    <w:abstractNumId w:val="15"/>
  </w:num>
  <w:num w:numId="15">
    <w:abstractNumId w:val="8"/>
  </w:num>
  <w:num w:numId="16">
    <w:abstractNumId w:val="11"/>
  </w:num>
  <w:num w:numId="17">
    <w:abstractNumId w:val="2"/>
  </w:num>
  <w:num w:numId="1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0670E"/>
    <w:rsid w:val="00007E76"/>
    <w:rsid w:val="0001208F"/>
    <w:rsid w:val="00012182"/>
    <w:rsid w:val="00012205"/>
    <w:rsid w:val="00016743"/>
    <w:rsid w:val="000171A3"/>
    <w:rsid w:val="00024E77"/>
    <w:rsid w:val="000305C2"/>
    <w:rsid w:val="00030C15"/>
    <w:rsid w:val="0003259E"/>
    <w:rsid w:val="00032C5E"/>
    <w:rsid w:val="0003517A"/>
    <w:rsid w:val="0003650B"/>
    <w:rsid w:val="00040844"/>
    <w:rsid w:val="00041BB5"/>
    <w:rsid w:val="00043AEC"/>
    <w:rsid w:val="000441A8"/>
    <w:rsid w:val="0004455E"/>
    <w:rsid w:val="00044780"/>
    <w:rsid w:val="00054B6C"/>
    <w:rsid w:val="00060E15"/>
    <w:rsid w:val="0006127B"/>
    <w:rsid w:val="00063BCA"/>
    <w:rsid w:val="000659D4"/>
    <w:rsid w:val="00070ABA"/>
    <w:rsid w:val="00071182"/>
    <w:rsid w:val="00073638"/>
    <w:rsid w:val="000754CB"/>
    <w:rsid w:val="0007651F"/>
    <w:rsid w:val="00085CAE"/>
    <w:rsid w:val="00090A89"/>
    <w:rsid w:val="00097CA8"/>
    <w:rsid w:val="000A2E34"/>
    <w:rsid w:val="000B70A6"/>
    <w:rsid w:val="000C6AF8"/>
    <w:rsid w:val="000D0078"/>
    <w:rsid w:val="000D1289"/>
    <w:rsid w:val="000D55AB"/>
    <w:rsid w:val="000D654D"/>
    <w:rsid w:val="00100800"/>
    <w:rsid w:val="00101AC0"/>
    <w:rsid w:val="00103C98"/>
    <w:rsid w:val="00104498"/>
    <w:rsid w:val="00107DDF"/>
    <w:rsid w:val="0011270E"/>
    <w:rsid w:val="00112F72"/>
    <w:rsid w:val="00113035"/>
    <w:rsid w:val="00114B3E"/>
    <w:rsid w:val="001231D0"/>
    <w:rsid w:val="00123CF7"/>
    <w:rsid w:val="001268AF"/>
    <w:rsid w:val="00126AA9"/>
    <w:rsid w:val="00126C07"/>
    <w:rsid w:val="00130C02"/>
    <w:rsid w:val="0014156F"/>
    <w:rsid w:val="001457EF"/>
    <w:rsid w:val="00147B61"/>
    <w:rsid w:val="00152A9E"/>
    <w:rsid w:val="00160FF1"/>
    <w:rsid w:val="001618A9"/>
    <w:rsid w:val="001622E7"/>
    <w:rsid w:val="00165F76"/>
    <w:rsid w:val="00180969"/>
    <w:rsid w:val="001823DF"/>
    <w:rsid w:val="00190AC3"/>
    <w:rsid w:val="0019136E"/>
    <w:rsid w:val="00191506"/>
    <w:rsid w:val="0019310A"/>
    <w:rsid w:val="0019762A"/>
    <w:rsid w:val="00197F90"/>
    <w:rsid w:val="001A1EA0"/>
    <w:rsid w:val="001A3929"/>
    <w:rsid w:val="001B3A7E"/>
    <w:rsid w:val="001B48BF"/>
    <w:rsid w:val="001B4D78"/>
    <w:rsid w:val="001C0691"/>
    <w:rsid w:val="001C140D"/>
    <w:rsid w:val="001C3B12"/>
    <w:rsid w:val="001C4650"/>
    <w:rsid w:val="001D33B4"/>
    <w:rsid w:val="001D5F42"/>
    <w:rsid w:val="001D7982"/>
    <w:rsid w:val="001D7D44"/>
    <w:rsid w:val="001E4C37"/>
    <w:rsid w:val="001F5FA2"/>
    <w:rsid w:val="001F663D"/>
    <w:rsid w:val="001F6F2C"/>
    <w:rsid w:val="002011BB"/>
    <w:rsid w:val="002014B6"/>
    <w:rsid w:val="00202181"/>
    <w:rsid w:val="00203911"/>
    <w:rsid w:val="00206B04"/>
    <w:rsid w:val="0020740D"/>
    <w:rsid w:val="00210D94"/>
    <w:rsid w:val="0021442E"/>
    <w:rsid w:val="00220E58"/>
    <w:rsid w:val="002230C5"/>
    <w:rsid w:val="00227A7C"/>
    <w:rsid w:val="002330C0"/>
    <w:rsid w:val="0023397C"/>
    <w:rsid w:val="00234604"/>
    <w:rsid w:val="00234771"/>
    <w:rsid w:val="002355BD"/>
    <w:rsid w:val="0023714E"/>
    <w:rsid w:val="00244EAA"/>
    <w:rsid w:val="002453F1"/>
    <w:rsid w:val="00245599"/>
    <w:rsid w:val="00247E31"/>
    <w:rsid w:val="00251432"/>
    <w:rsid w:val="002546E2"/>
    <w:rsid w:val="00266333"/>
    <w:rsid w:val="00266A85"/>
    <w:rsid w:val="00274430"/>
    <w:rsid w:val="0027552A"/>
    <w:rsid w:val="002771D5"/>
    <w:rsid w:val="00283ADE"/>
    <w:rsid w:val="00283D74"/>
    <w:rsid w:val="00284954"/>
    <w:rsid w:val="00285308"/>
    <w:rsid w:val="00292B4C"/>
    <w:rsid w:val="00295F0F"/>
    <w:rsid w:val="0029610D"/>
    <w:rsid w:val="00296560"/>
    <w:rsid w:val="0029764D"/>
    <w:rsid w:val="002A0349"/>
    <w:rsid w:val="002A3E88"/>
    <w:rsid w:val="002B0510"/>
    <w:rsid w:val="002B0639"/>
    <w:rsid w:val="002B2074"/>
    <w:rsid w:val="002B7C69"/>
    <w:rsid w:val="002C3450"/>
    <w:rsid w:val="002C4335"/>
    <w:rsid w:val="002D2E5F"/>
    <w:rsid w:val="002D41BD"/>
    <w:rsid w:val="002D4E0B"/>
    <w:rsid w:val="002D69C6"/>
    <w:rsid w:val="002D6D71"/>
    <w:rsid w:val="002E0246"/>
    <w:rsid w:val="002E3E1E"/>
    <w:rsid w:val="002E7A1B"/>
    <w:rsid w:val="002F0D72"/>
    <w:rsid w:val="002F10B3"/>
    <w:rsid w:val="002F4304"/>
    <w:rsid w:val="002F5D1B"/>
    <w:rsid w:val="00301AD7"/>
    <w:rsid w:val="0030278F"/>
    <w:rsid w:val="00315B45"/>
    <w:rsid w:val="00316B96"/>
    <w:rsid w:val="00316FA7"/>
    <w:rsid w:val="00320A0F"/>
    <w:rsid w:val="00323763"/>
    <w:rsid w:val="00323BC4"/>
    <w:rsid w:val="0032412B"/>
    <w:rsid w:val="00324DD5"/>
    <w:rsid w:val="00324F92"/>
    <w:rsid w:val="0033387D"/>
    <w:rsid w:val="003365D2"/>
    <w:rsid w:val="003375CD"/>
    <w:rsid w:val="003464F9"/>
    <w:rsid w:val="00351A40"/>
    <w:rsid w:val="00352123"/>
    <w:rsid w:val="00352669"/>
    <w:rsid w:val="00354AD5"/>
    <w:rsid w:val="00354FC1"/>
    <w:rsid w:val="00355CCE"/>
    <w:rsid w:val="003579B3"/>
    <w:rsid w:val="00361D36"/>
    <w:rsid w:val="00362E84"/>
    <w:rsid w:val="003638B0"/>
    <w:rsid w:val="00364B70"/>
    <w:rsid w:val="00364BB5"/>
    <w:rsid w:val="003650C4"/>
    <w:rsid w:val="0036546A"/>
    <w:rsid w:val="00366A41"/>
    <w:rsid w:val="0037055E"/>
    <w:rsid w:val="00370D97"/>
    <w:rsid w:val="00373785"/>
    <w:rsid w:val="00374E9C"/>
    <w:rsid w:val="003752F3"/>
    <w:rsid w:val="00380075"/>
    <w:rsid w:val="00382681"/>
    <w:rsid w:val="003833A2"/>
    <w:rsid w:val="00384D54"/>
    <w:rsid w:val="003A2529"/>
    <w:rsid w:val="003A28B9"/>
    <w:rsid w:val="003A28F5"/>
    <w:rsid w:val="003A5620"/>
    <w:rsid w:val="003A5FB2"/>
    <w:rsid w:val="003A6509"/>
    <w:rsid w:val="003A6F50"/>
    <w:rsid w:val="003B0882"/>
    <w:rsid w:val="003B09D0"/>
    <w:rsid w:val="003B1F90"/>
    <w:rsid w:val="003C1558"/>
    <w:rsid w:val="003C245F"/>
    <w:rsid w:val="003C31A7"/>
    <w:rsid w:val="003C5204"/>
    <w:rsid w:val="003C57B8"/>
    <w:rsid w:val="003D176B"/>
    <w:rsid w:val="003D205E"/>
    <w:rsid w:val="003D3EBF"/>
    <w:rsid w:val="003D56A4"/>
    <w:rsid w:val="003D71E3"/>
    <w:rsid w:val="003E16DB"/>
    <w:rsid w:val="003E30C4"/>
    <w:rsid w:val="003E7F72"/>
    <w:rsid w:val="003F25A4"/>
    <w:rsid w:val="003F4090"/>
    <w:rsid w:val="004021EB"/>
    <w:rsid w:val="0040639F"/>
    <w:rsid w:val="004077A4"/>
    <w:rsid w:val="00411890"/>
    <w:rsid w:val="00413640"/>
    <w:rsid w:val="00413DA3"/>
    <w:rsid w:val="00420F50"/>
    <w:rsid w:val="0042129F"/>
    <w:rsid w:val="0042298B"/>
    <w:rsid w:val="0042364F"/>
    <w:rsid w:val="004307F0"/>
    <w:rsid w:val="004412E4"/>
    <w:rsid w:val="004512FB"/>
    <w:rsid w:val="004527D4"/>
    <w:rsid w:val="00457A67"/>
    <w:rsid w:val="00463DEF"/>
    <w:rsid w:val="004703AE"/>
    <w:rsid w:val="004716F4"/>
    <w:rsid w:val="00471B79"/>
    <w:rsid w:val="00472F6E"/>
    <w:rsid w:val="00473405"/>
    <w:rsid w:val="00477463"/>
    <w:rsid w:val="00481A2B"/>
    <w:rsid w:val="004876B9"/>
    <w:rsid w:val="00487E94"/>
    <w:rsid w:val="00494BAF"/>
    <w:rsid w:val="00495F9B"/>
    <w:rsid w:val="004A0946"/>
    <w:rsid w:val="004A2059"/>
    <w:rsid w:val="004B7363"/>
    <w:rsid w:val="004C3316"/>
    <w:rsid w:val="004C6365"/>
    <w:rsid w:val="004D01B9"/>
    <w:rsid w:val="004D4E38"/>
    <w:rsid w:val="004D5450"/>
    <w:rsid w:val="004F15D4"/>
    <w:rsid w:val="00502E47"/>
    <w:rsid w:val="00511240"/>
    <w:rsid w:val="00513506"/>
    <w:rsid w:val="005159A6"/>
    <w:rsid w:val="00517E78"/>
    <w:rsid w:val="00522B30"/>
    <w:rsid w:val="00523E63"/>
    <w:rsid w:val="005322AD"/>
    <w:rsid w:val="00535ABD"/>
    <w:rsid w:val="00541486"/>
    <w:rsid w:val="0054791B"/>
    <w:rsid w:val="00547A1E"/>
    <w:rsid w:val="00552E19"/>
    <w:rsid w:val="0055548D"/>
    <w:rsid w:val="005555E4"/>
    <w:rsid w:val="00565758"/>
    <w:rsid w:val="00565D46"/>
    <w:rsid w:val="00567CFB"/>
    <w:rsid w:val="00580866"/>
    <w:rsid w:val="005814ED"/>
    <w:rsid w:val="0058198F"/>
    <w:rsid w:val="005833FF"/>
    <w:rsid w:val="005A7F34"/>
    <w:rsid w:val="005B0DF8"/>
    <w:rsid w:val="005B203E"/>
    <w:rsid w:val="005B6B60"/>
    <w:rsid w:val="005C192D"/>
    <w:rsid w:val="005C3E35"/>
    <w:rsid w:val="005C7AAF"/>
    <w:rsid w:val="005D4987"/>
    <w:rsid w:val="005D55A9"/>
    <w:rsid w:val="005D5DAB"/>
    <w:rsid w:val="005E1919"/>
    <w:rsid w:val="005E25E0"/>
    <w:rsid w:val="005E7788"/>
    <w:rsid w:val="005F07D7"/>
    <w:rsid w:val="005F6C55"/>
    <w:rsid w:val="00602F6D"/>
    <w:rsid w:val="006042B0"/>
    <w:rsid w:val="00611B5B"/>
    <w:rsid w:val="0061209A"/>
    <w:rsid w:val="006122AD"/>
    <w:rsid w:val="006128E4"/>
    <w:rsid w:val="00613CA4"/>
    <w:rsid w:val="006169B7"/>
    <w:rsid w:val="0061736D"/>
    <w:rsid w:val="006174F4"/>
    <w:rsid w:val="006212A2"/>
    <w:rsid w:val="006237AD"/>
    <w:rsid w:val="00624EB7"/>
    <w:rsid w:val="00624FD6"/>
    <w:rsid w:val="006312A8"/>
    <w:rsid w:val="006335FE"/>
    <w:rsid w:val="006369BC"/>
    <w:rsid w:val="0064176C"/>
    <w:rsid w:val="006419E3"/>
    <w:rsid w:val="00655FEF"/>
    <w:rsid w:val="006652A7"/>
    <w:rsid w:val="006725D0"/>
    <w:rsid w:val="0067335B"/>
    <w:rsid w:val="00676104"/>
    <w:rsid w:val="006800B9"/>
    <w:rsid w:val="0068150C"/>
    <w:rsid w:val="00682312"/>
    <w:rsid w:val="00684459"/>
    <w:rsid w:val="00685D00"/>
    <w:rsid w:val="00686106"/>
    <w:rsid w:val="006909F5"/>
    <w:rsid w:val="00693417"/>
    <w:rsid w:val="006A00BB"/>
    <w:rsid w:val="006A2199"/>
    <w:rsid w:val="006A443F"/>
    <w:rsid w:val="006A65AD"/>
    <w:rsid w:val="006B62FE"/>
    <w:rsid w:val="006B7F97"/>
    <w:rsid w:val="006C198E"/>
    <w:rsid w:val="006C5C18"/>
    <w:rsid w:val="006D13F8"/>
    <w:rsid w:val="006D2B8B"/>
    <w:rsid w:val="006F1664"/>
    <w:rsid w:val="006F2D2F"/>
    <w:rsid w:val="006F2F30"/>
    <w:rsid w:val="006F47E4"/>
    <w:rsid w:val="0071220F"/>
    <w:rsid w:val="00713D72"/>
    <w:rsid w:val="007169D2"/>
    <w:rsid w:val="00716BD4"/>
    <w:rsid w:val="0072375A"/>
    <w:rsid w:val="00730A34"/>
    <w:rsid w:val="00732D4D"/>
    <w:rsid w:val="007360B5"/>
    <w:rsid w:val="007405F5"/>
    <w:rsid w:val="00745D50"/>
    <w:rsid w:val="00745D70"/>
    <w:rsid w:val="00750DB4"/>
    <w:rsid w:val="00756527"/>
    <w:rsid w:val="0076190E"/>
    <w:rsid w:val="0076500A"/>
    <w:rsid w:val="00767A1F"/>
    <w:rsid w:val="0077558D"/>
    <w:rsid w:val="007774D3"/>
    <w:rsid w:val="0078220C"/>
    <w:rsid w:val="00783520"/>
    <w:rsid w:val="007871AC"/>
    <w:rsid w:val="007906CB"/>
    <w:rsid w:val="00793C57"/>
    <w:rsid w:val="00793F07"/>
    <w:rsid w:val="00795354"/>
    <w:rsid w:val="007A0054"/>
    <w:rsid w:val="007A4F23"/>
    <w:rsid w:val="007A675D"/>
    <w:rsid w:val="007B0681"/>
    <w:rsid w:val="007B4A9B"/>
    <w:rsid w:val="007B5902"/>
    <w:rsid w:val="007C2F1C"/>
    <w:rsid w:val="007C3FA1"/>
    <w:rsid w:val="007C448F"/>
    <w:rsid w:val="007C4DAC"/>
    <w:rsid w:val="007C5912"/>
    <w:rsid w:val="007C7B5C"/>
    <w:rsid w:val="007D471D"/>
    <w:rsid w:val="007D66FD"/>
    <w:rsid w:val="007E4479"/>
    <w:rsid w:val="007E6C40"/>
    <w:rsid w:val="007E6D4E"/>
    <w:rsid w:val="007F08CC"/>
    <w:rsid w:val="007F27E9"/>
    <w:rsid w:val="007F2D90"/>
    <w:rsid w:val="007F49CE"/>
    <w:rsid w:val="008058D1"/>
    <w:rsid w:val="0081090E"/>
    <w:rsid w:val="008114D0"/>
    <w:rsid w:val="00813C02"/>
    <w:rsid w:val="008155D6"/>
    <w:rsid w:val="00816316"/>
    <w:rsid w:val="00827CB0"/>
    <w:rsid w:val="00834A84"/>
    <w:rsid w:val="008362E3"/>
    <w:rsid w:val="008406CC"/>
    <w:rsid w:val="0084283C"/>
    <w:rsid w:val="00844BB8"/>
    <w:rsid w:val="00850AB1"/>
    <w:rsid w:val="0085138F"/>
    <w:rsid w:val="00863267"/>
    <w:rsid w:val="00863858"/>
    <w:rsid w:val="0087254B"/>
    <w:rsid w:val="00872B77"/>
    <w:rsid w:val="00876C07"/>
    <w:rsid w:val="008778FC"/>
    <w:rsid w:val="00881C30"/>
    <w:rsid w:val="008821A4"/>
    <w:rsid w:val="00883003"/>
    <w:rsid w:val="00884A20"/>
    <w:rsid w:val="00885D6E"/>
    <w:rsid w:val="0088768A"/>
    <w:rsid w:val="00890653"/>
    <w:rsid w:val="00892D22"/>
    <w:rsid w:val="00897D7F"/>
    <w:rsid w:val="008A26F0"/>
    <w:rsid w:val="008A4119"/>
    <w:rsid w:val="008B2F06"/>
    <w:rsid w:val="008B329A"/>
    <w:rsid w:val="008B33B1"/>
    <w:rsid w:val="008B33CF"/>
    <w:rsid w:val="008B736E"/>
    <w:rsid w:val="008C05D7"/>
    <w:rsid w:val="008D22ED"/>
    <w:rsid w:val="008D290D"/>
    <w:rsid w:val="008D7F50"/>
    <w:rsid w:val="008E1CA2"/>
    <w:rsid w:val="008E4F8B"/>
    <w:rsid w:val="008F5154"/>
    <w:rsid w:val="008F741F"/>
    <w:rsid w:val="009028B4"/>
    <w:rsid w:val="00902E73"/>
    <w:rsid w:val="0090308D"/>
    <w:rsid w:val="00904B5E"/>
    <w:rsid w:val="0090583F"/>
    <w:rsid w:val="009068E1"/>
    <w:rsid w:val="009137FF"/>
    <w:rsid w:val="00913BDA"/>
    <w:rsid w:val="0091792D"/>
    <w:rsid w:val="00920C4A"/>
    <w:rsid w:val="00925068"/>
    <w:rsid w:val="0092552B"/>
    <w:rsid w:val="0092664F"/>
    <w:rsid w:val="0092727F"/>
    <w:rsid w:val="00927F7B"/>
    <w:rsid w:val="00931FB1"/>
    <w:rsid w:val="00932EBD"/>
    <w:rsid w:val="0093320F"/>
    <w:rsid w:val="00934394"/>
    <w:rsid w:val="009344C2"/>
    <w:rsid w:val="009354E5"/>
    <w:rsid w:val="00941507"/>
    <w:rsid w:val="00942353"/>
    <w:rsid w:val="00945F34"/>
    <w:rsid w:val="009460F9"/>
    <w:rsid w:val="009508D3"/>
    <w:rsid w:val="00952E3C"/>
    <w:rsid w:val="00954BB1"/>
    <w:rsid w:val="0095510F"/>
    <w:rsid w:val="00955D84"/>
    <w:rsid w:val="009605FE"/>
    <w:rsid w:val="00960FCE"/>
    <w:rsid w:val="00963869"/>
    <w:rsid w:val="00965171"/>
    <w:rsid w:val="00970BAC"/>
    <w:rsid w:val="00970BB9"/>
    <w:rsid w:val="0097299E"/>
    <w:rsid w:val="009735B6"/>
    <w:rsid w:val="00975017"/>
    <w:rsid w:val="00982206"/>
    <w:rsid w:val="009830F0"/>
    <w:rsid w:val="00983E31"/>
    <w:rsid w:val="00984CD6"/>
    <w:rsid w:val="00985FD5"/>
    <w:rsid w:val="0098613E"/>
    <w:rsid w:val="00986DA7"/>
    <w:rsid w:val="00991235"/>
    <w:rsid w:val="00993143"/>
    <w:rsid w:val="00995A3A"/>
    <w:rsid w:val="0099732A"/>
    <w:rsid w:val="009A2C31"/>
    <w:rsid w:val="009A4237"/>
    <w:rsid w:val="009B4CEE"/>
    <w:rsid w:val="009B77BD"/>
    <w:rsid w:val="009B7DB9"/>
    <w:rsid w:val="009B7ED1"/>
    <w:rsid w:val="009C03F3"/>
    <w:rsid w:val="009C3F4C"/>
    <w:rsid w:val="009C6BAC"/>
    <w:rsid w:val="009C7A87"/>
    <w:rsid w:val="009D5A84"/>
    <w:rsid w:val="009F412C"/>
    <w:rsid w:val="00A02463"/>
    <w:rsid w:val="00A05051"/>
    <w:rsid w:val="00A124C0"/>
    <w:rsid w:val="00A125AE"/>
    <w:rsid w:val="00A159B3"/>
    <w:rsid w:val="00A17464"/>
    <w:rsid w:val="00A21722"/>
    <w:rsid w:val="00A230E3"/>
    <w:rsid w:val="00A2704D"/>
    <w:rsid w:val="00A30421"/>
    <w:rsid w:val="00A340AA"/>
    <w:rsid w:val="00A36536"/>
    <w:rsid w:val="00A40152"/>
    <w:rsid w:val="00A42858"/>
    <w:rsid w:val="00A42C2F"/>
    <w:rsid w:val="00A431F4"/>
    <w:rsid w:val="00A433BF"/>
    <w:rsid w:val="00A442C4"/>
    <w:rsid w:val="00A463EE"/>
    <w:rsid w:val="00A471EB"/>
    <w:rsid w:val="00A47944"/>
    <w:rsid w:val="00A50821"/>
    <w:rsid w:val="00A5213C"/>
    <w:rsid w:val="00A54C45"/>
    <w:rsid w:val="00A629E8"/>
    <w:rsid w:val="00A663E5"/>
    <w:rsid w:val="00A7089F"/>
    <w:rsid w:val="00A7224F"/>
    <w:rsid w:val="00A72B89"/>
    <w:rsid w:val="00A746A3"/>
    <w:rsid w:val="00A74BFD"/>
    <w:rsid w:val="00A7752C"/>
    <w:rsid w:val="00A77E7A"/>
    <w:rsid w:val="00A80836"/>
    <w:rsid w:val="00A876FC"/>
    <w:rsid w:val="00A924BD"/>
    <w:rsid w:val="00AA1622"/>
    <w:rsid w:val="00AA46EC"/>
    <w:rsid w:val="00AA6A26"/>
    <w:rsid w:val="00AA7636"/>
    <w:rsid w:val="00AA7803"/>
    <w:rsid w:val="00AB1119"/>
    <w:rsid w:val="00AB13BE"/>
    <w:rsid w:val="00AB26E0"/>
    <w:rsid w:val="00AB3CCE"/>
    <w:rsid w:val="00AB3DA4"/>
    <w:rsid w:val="00AB4223"/>
    <w:rsid w:val="00AC22A3"/>
    <w:rsid w:val="00AC6E6D"/>
    <w:rsid w:val="00AD3DBB"/>
    <w:rsid w:val="00AD48BD"/>
    <w:rsid w:val="00AD4D98"/>
    <w:rsid w:val="00AD5426"/>
    <w:rsid w:val="00AE3318"/>
    <w:rsid w:val="00AE393A"/>
    <w:rsid w:val="00AE3943"/>
    <w:rsid w:val="00AE3D5C"/>
    <w:rsid w:val="00AE4366"/>
    <w:rsid w:val="00AE4D00"/>
    <w:rsid w:val="00AE6480"/>
    <w:rsid w:val="00AE7DB8"/>
    <w:rsid w:val="00AF09F5"/>
    <w:rsid w:val="00AF4E81"/>
    <w:rsid w:val="00AF5CE0"/>
    <w:rsid w:val="00B04D4E"/>
    <w:rsid w:val="00B053F0"/>
    <w:rsid w:val="00B07496"/>
    <w:rsid w:val="00B10138"/>
    <w:rsid w:val="00B11869"/>
    <w:rsid w:val="00B2384A"/>
    <w:rsid w:val="00B30AA4"/>
    <w:rsid w:val="00B31FEA"/>
    <w:rsid w:val="00B34106"/>
    <w:rsid w:val="00B350E0"/>
    <w:rsid w:val="00B35AA6"/>
    <w:rsid w:val="00B36D30"/>
    <w:rsid w:val="00B448C6"/>
    <w:rsid w:val="00B45D3C"/>
    <w:rsid w:val="00B46EB5"/>
    <w:rsid w:val="00B53694"/>
    <w:rsid w:val="00B55F05"/>
    <w:rsid w:val="00B61310"/>
    <w:rsid w:val="00B63550"/>
    <w:rsid w:val="00B64612"/>
    <w:rsid w:val="00B64A40"/>
    <w:rsid w:val="00B6699A"/>
    <w:rsid w:val="00B679AB"/>
    <w:rsid w:val="00B72D82"/>
    <w:rsid w:val="00B74526"/>
    <w:rsid w:val="00B75904"/>
    <w:rsid w:val="00B76BF3"/>
    <w:rsid w:val="00B83743"/>
    <w:rsid w:val="00B8519A"/>
    <w:rsid w:val="00B917FD"/>
    <w:rsid w:val="00B97027"/>
    <w:rsid w:val="00BA0D0A"/>
    <w:rsid w:val="00BA307E"/>
    <w:rsid w:val="00BA49A8"/>
    <w:rsid w:val="00BA4C1E"/>
    <w:rsid w:val="00BB1E2D"/>
    <w:rsid w:val="00BB47C0"/>
    <w:rsid w:val="00BB5003"/>
    <w:rsid w:val="00BB5EFA"/>
    <w:rsid w:val="00BB7F8E"/>
    <w:rsid w:val="00BC3E04"/>
    <w:rsid w:val="00BC6FEF"/>
    <w:rsid w:val="00BD0DEC"/>
    <w:rsid w:val="00BD5134"/>
    <w:rsid w:val="00BD6927"/>
    <w:rsid w:val="00BE1D10"/>
    <w:rsid w:val="00BE29DF"/>
    <w:rsid w:val="00BF10D5"/>
    <w:rsid w:val="00BF2FBA"/>
    <w:rsid w:val="00C00C48"/>
    <w:rsid w:val="00C01302"/>
    <w:rsid w:val="00C06CF0"/>
    <w:rsid w:val="00C11722"/>
    <w:rsid w:val="00C126E1"/>
    <w:rsid w:val="00C20076"/>
    <w:rsid w:val="00C20BB2"/>
    <w:rsid w:val="00C21E52"/>
    <w:rsid w:val="00C220CC"/>
    <w:rsid w:val="00C23EFA"/>
    <w:rsid w:val="00C240F5"/>
    <w:rsid w:val="00C2597A"/>
    <w:rsid w:val="00C25F13"/>
    <w:rsid w:val="00C27EBE"/>
    <w:rsid w:val="00C31534"/>
    <w:rsid w:val="00C32586"/>
    <w:rsid w:val="00C34DCD"/>
    <w:rsid w:val="00C368D3"/>
    <w:rsid w:val="00C403E2"/>
    <w:rsid w:val="00C404E7"/>
    <w:rsid w:val="00C40AE4"/>
    <w:rsid w:val="00C60297"/>
    <w:rsid w:val="00C651E9"/>
    <w:rsid w:val="00C706EC"/>
    <w:rsid w:val="00C72470"/>
    <w:rsid w:val="00C75FC5"/>
    <w:rsid w:val="00C77FAA"/>
    <w:rsid w:val="00C84024"/>
    <w:rsid w:val="00CA4B2B"/>
    <w:rsid w:val="00CA6C0B"/>
    <w:rsid w:val="00CA7A88"/>
    <w:rsid w:val="00CB0F8B"/>
    <w:rsid w:val="00CB2FE6"/>
    <w:rsid w:val="00CC0228"/>
    <w:rsid w:val="00CC2821"/>
    <w:rsid w:val="00CC32AE"/>
    <w:rsid w:val="00CC5894"/>
    <w:rsid w:val="00CE0C7D"/>
    <w:rsid w:val="00CE217E"/>
    <w:rsid w:val="00CE340B"/>
    <w:rsid w:val="00CE4536"/>
    <w:rsid w:val="00CE630C"/>
    <w:rsid w:val="00CF0B42"/>
    <w:rsid w:val="00CF6AB6"/>
    <w:rsid w:val="00CF7415"/>
    <w:rsid w:val="00D001C4"/>
    <w:rsid w:val="00D00982"/>
    <w:rsid w:val="00D02B8E"/>
    <w:rsid w:val="00D1048B"/>
    <w:rsid w:val="00D112BC"/>
    <w:rsid w:val="00D11447"/>
    <w:rsid w:val="00D161C2"/>
    <w:rsid w:val="00D16664"/>
    <w:rsid w:val="00D2191B"/>
    <w:rsid w:val="00D24CEF"/>
    <w:rsid w:val="00D30842"/>
    <w:rsid w:val="00D33F83"/>
    <w:rsid w:val="00D53FAA"/>
    <w:rsid w:val="00D54766"/>
    <w:rsid w:val="00D56D57"/>
    <w:rsid w:val="00D73A6E"/>
    <w:rsid w:val="00D74583"/>
    <w:rsid w:val="00D75CAB"/>
    <w:rsid w:val="00D81126"/>
    <w:rsid w:val="00D824A6"/>
    <w:rsid w:val="00D90C13"/>
    <w:rsid w:val="00D95A36"/>
    <w:rsid w:val="00D964E0"/>
    <w:rsid w:val="00DA15A4"/>
    <w:rsid w:val="00DA2011"/>
    <w:rsid w:val="00DA6EBF"/>
    <w:rsid w:val="00DA7254"/>
    <w:rsid w:val="00DB2983"/>
    <w:rsid w:val="00DB5410"/>
    <w:rsid w:val="00DC1228"/>
    <w:rsid w:val="00DC1794"/>
    <w:rsid w:val="00DC4F7E"/>
    <w:rsid w:val="00DE106C"/>
    <w:rsid w:val="00DE460B"/>
    <w:rsid w:val="00DE4C49"/>
    <w:rsid w:val="00DF5300"/>
    <w:rsid w:val="00E10D1F"/>
    <w:rsid w:val="00E13792"/>
    <w:rsid w:val="00E13FE0"/>
    <w:rsid w:val="00E14067"/>
    <w:rsid w:val="00E155F8"/>
    <w:rsid w:val="00E23F7F"/>
    <w:rsid w:val="00E24905"/>
    <w:rsid w:val="00E24E4E"/>
    <w:rsid w:val="00E27640"/>
    <w:rsid w:val="00E306E7"/>
    <w:rsid w:val="00E32DEC"/>
    <w:rsid w:val="00E40C2E"/>
    <w:rsid w:val="00E50B28"/>
    <w:rsid w:val="00E52D5C"/>
    <w:rsid w:val="00E533C0"/>
    <w:rsid w:val="00E54C10"/>
    <w:rsid w:val="00E6108D"/>
    <w:rsid w:val="00E61A90"/>
    <w:rsid w:val="00E63707"/>
    <w:rsid w:val="00E66076"/>
    <w:rsid w:val="00E67703"/>
    <w:rsid w:val="00E70182"/>
    <w:rsid w:val="00E755EE"/>
    <w:rsid w:val="00E76FF7"/>
    <w:rsid w:val="00E81DB0"/>
    <w:rsid w:val="00E82F35"/>
    <w:rsid w:val="00E85DC1"/>
    <w:rsid w:val="00E90029"/>
    <w:rsid w:val="00E914D1"/>
    <w:rsid w:val="00EA09C1"/>
    <w:rsid w:val="00EA29AB"/>
    <w:rsid w:val="00EA481E"/>
    <w:rsid w:val="00EA481F"/>
    <w:rsid w:val="00EA4BAE"/>
    <w:rsid w:val="00EA7E11"/>
    <w:rsid w:val="00EB1FAF"/>
    <w:rsid w:val="00EB3FD0"/>
    <w:rsid w:val="00EB72DA"/>
    <w:rsid w:val="00EC0FE2"/>
    <w:rsid w:val="00EC31CC"/>
    <w:rsid w:val="00EC4394"/>
    <w:rsid w:val="00EC523B"/>
    <w:rsid w:val="00ED2B8F"/>
    <w:rsid w:val="00ED5F13"/>
    <w:rsid w:val="00EE025C"/>
    <w:rsid w:val="00EE15C0"/>
    <w:rsid w:val="00EF5D20"/>
    <w:rsid w:val="00EF7512"/>
    <w:rsid w:val="00F0080B"/>
    <w:rsid w:val="00F07464"/>
    <w:rsid w:val="00F10C91"/>
    <w:rsid w:val="00F1528F"/>
    <w:rsid w:val="00F15436"/>
    <w:rsid w:val="00F1796B"/>
    <w:rsid w:val="00F21BF3"/>
    <w:rsid w:val="00F22653"/>
    <w:rsid w:val="00F239FF"/>
    <w:rsid w:val="00F24815"/>
    <w:rsid w:val="00F32C63"/>
    <w:rsid w:val="00F32E06"/>
    <w:rsid w:val="00F33F9E"/>
    <w:rsid w:val="00F43CC2"/>
    <w:rsid w:val="00F43E6D"/>
    <w:rsid w:val="00F464C3"/>
    <w:rsid w:val="00F55CF9"/>
    <w:rsid w:val="00F660D4"/>
    <w:rsid w:val="00F8411D"/>
    <w:rsid w:val="00F8746D"/>
    <w:rsid w:val="00F9110D"/>
    <w:rsid w:val="00F9123B"/>
    <w:rsid w:val="00FB1FB8"/>
    <w:rsid w:val="00FB3A28"/>
    <w:rsid w:val="00FB43CE"/>
    <w:rsid w:val="00FB4DD4"/>
    <w:rsid w:val="00FB5E54"/>
    <w:rsid w:val="00FB7BC0"/>
    <w:rsid w:val="00FC056B"/>
    <w:rsid w:val="00FC1CDB"/>
    <w:rsid w:val="00FC2CC6"/>
    <w:rsid w:val="00FC4C06"/>
    <w:rsid w:val="00FC680B"/>
    <w:rsid w:val="00FD070B"/>
    <w:rsid w:val="00FD07F8"/>
    <w:rsid w:val="00FD27AD"/>
    <w:rsid w:val="00FD4ECA"/>
    <w:rsid w:val="00FD5667"/>
    <w:rsid w:val="00FD6374"/>
    <w:rsid w:val="00FE1A72"/>
    <w:rsid w:val="00FE1C9D"/>
    <w:rsid w:val="00FE3D05"/>
    <w:rsid w:val="00FE4372"/>
    <w:rsid w:val="00FE4634"/>
    <w:rsid w:val="00FE4D00"/>
    <w:rsid w:val="00FE5E85"/>
    <w:rsid w:val="00FE6628"/>
    <w:rsid w:val="00FE7FCA"/>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5D6"/>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5100</Words>
  <Characters>28056</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2</cp:revision>
  <cp:lastPrinted>2021-04-26T21:37:00Z</cp:lastPrinted>
  <dcterms:created xsi:type="dcterms:W3CDTF">2021-06-16T19:14:00Z</dcterms:created>
  <dcterms:modified xsi:type="dcterms:W3CDTF">2021-06-16T19:14:00Z</dcterms:modified>
</cp:coreProperties>
</file>