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7C095271"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w:t>
      </w:r>
      <w:r w:rsidR="0069311C">
        <w:rPr>
          <w:rFonts w:ascii="Arial" w:eastAsia="Arial" w:hAnsi="Arial" w:cs="Arial"/>
        </w:rPr>
        <w:t>11</w:t>
      </w:r>
      <w:r w:rsidRPr="00F01E6C">
        <w:rPr>
          <w:rFonts w:ascii="Arial" w:eastAsia="Arial" w:hAnsi="Arial" w:cs="Arial"/>
        </w:rPr>
        <w:t>/2026.</w:t>
      </w:r>
    </w:p>
    <w:p w14:paraId="065C5565" w14:textId="44B79E60"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PROMOVENTE:</w:t>
      </w:r>
      <w:r w:rsidRPr="00E87F37">
        <w:rPr>
          <w:rFonts w:ascii="Arial" w:eastAsia="Arial" w:hAnsi="Arial" w:cs="Arial"/>
        </w:rPr>
        <w:t xml:space="preserve"> CARLOS HUMBERTO RAMOS CONTRERAS</w:t>
      </w:r>
      <w:r w:rsidR="00F01E6C">
        <w:rPr>
          <w:rFonts w:ascii="Arial" w:eastAsia="Arial" w:hAnsi="Arial" w:cs="Arial"/>
        </w:rPr>
        <w:t>, EN SU CALIDAD DE PERSONA CIUDADANA.</w:t>
      </w:r>
    </w:p>
    <w:p w14:paraId="53B66ADC" w14:textId="58C975D3" w:rsidR="005828B2" w:rsidRPr="009811BC" w:rsidRDefault="007964BE" w:rsidP="007964BE">
      <w:pPr>
        <w:tabs>
          <w:tab w:val="left" w:pos="3544"/>
        </w:tabs>
        <w:ind w:left="4111" w:right="51"/>
        <w:jc w:val="both"/>
        <w:rPr>
          <w:rFonts w:ascii="Arial" w:eastAsia="Arial" w:hAnsi="Arial" w:cs="Arial"/>
        </w:rPr>
      </w:pPr>
      <w:r w:rsidRPr="00E87F37">
        <w:rPr>
          <w:rFonts w:ascii="Arial" w:eastAsia="Arial" w:hAnsi="Arial" w:cs="Arial"/>
          <w:b/>
        </w:rPr>
        <w:t>AUTORIDAD RESPONSABLE:</w:t>
      </w:r>
      <w:r w:rsidRPr="00E87F37">
        <w:rPr>
          <w:rFonts w:ascii="Arial" w:eastAsia="Arial" w:hAnsi="Arial" w:cs="Arial"/>
        </w:rPr>
        <w:t xml:space="preserve"> SECRETARÍA EJECUTIVA DEL CONSEJO GENERAL DEL INSTITUTO ESTATAL ELECTORAL DE AGUASCALIENTES.</w:t>
      </w:r>
    </w:p>
    <w:p w14:paraId="1DD662CE" w14:textId="04B6F4D6"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F01E6C">
        <w:rPr>
          <w:rFonts w:ascii="Arial" w:eastAsia="Arial" w:hAnsi="Arial" w:cs="Arial"/>
          <w:b/>
        </w:rPr>
        <w:t>ocho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1945760A"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encauzamiento de vía de fecha </w:t>
      </w:r>
      <w:r w:rsidR="00F01E6C">
        <w:rPr>
          <w:rFonts w:ascii="Arial" w:eastAsia="Arial" w:hAnsi="Arial" w:cs="Arial"/>
        </w:rPr>
        <w:t>ocho</w:t>
      </w:r>
      <w:r w:rsidR="007964BE" w:rsidRPr="007964BE">
        <w:rPr>
          <w:rFonts w:ascii="Arial" w:eastAsia="Arial" w:hAnsi="Arial" w:cs="Arial"/>
        </w:rPr>
        <w:t xml:space="preserve"> de julio de dos mil veintiséis,</w:t>
      </w:r>
      <w:r w:rsidR="001336E3">
        <w:rPr>
          <w:rFonts w:ascii="Arial" w:eastAsia="Arial" w:hAnsi="Arial" w:cs="Arial"/>
        </w:rPr>
        <w:t xml:space="preserve"> propuesto por el magistrado Horacio José Ricardo López Castañeda y</w:t>
      </w:r>
      <w:r w:rsidR="007964BE" w:rsidRPr="007964BE">
        <w:rPr>
          <w:rFonts w:ascii="Arial" w:eastAsia="Arial" w:hAnsi="Arial" w:cs="Arial"/>
        </w:rPr>
        <w:t xml:space="preserve"> </w:t>
      </w:r>
      <w:r w:rsidR="001336E3">
        <w:rPr>
          <w:rFonts w:ascii="Arial" w:eastAsia="Arial" w:hAnsi="Arial" w:cs="Arial"/>
        </w:rPr>
        <w:t>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F01E6C">
        <w:rPr>
          <w:rFonts w:ascii="Arial" w:eastAsia="Arial" w:hAnsi="Arial" w:cs="Arial"/>
        </w:rPr>
        <w:t>1</w:t>
      </w:r>
      <w:r w:rsidR="001336E3">
        <w:rPr>
          <w:rFonts w:ascii="Arial" w:eastAsia="Arial" w:hAnsi="Arial" w:cs="Arial"/>
        </w:rPr>
        <w:t>2</w:t>
      </w:r>
      <w:r w:rsidR="007964BE" w:rsidRPr="007964BE">
        <w:rPr>
          <w:rFonts w:ascii="Arial" w:eastAsia="Arial" w:hAnsi="Arial" w:cs="Arial"/>
        </w:rPr>
        <w:t>/2026</w:t>
      </w:r>
      <w:bookmarkEnd w:id="0"/>
      <w:r w:rsidR="007964BE">
        <w:rPr>
          <w:rFonts w:ascii="Arial" w:eastAsia="Arial" w:hAnsi="Arial" w:cs="Arial"/>
        </w:rPr>
        <w:t xml:space="preserve">, en el que en el </w:t>
      </w:r>
      <w:r w:rsidR="00F01E6C">
        <w:rPr>
          <w:rFonts w:ascii="Arial" w:eastAsia="Arial" w:hAnsi="Arial" w:cs="Arial"/>
        </w:rPr>
        <w:t>a</w:t>
      </w:r>
      <w:r w:rsidR="007964BE" w:rsidRPr="00F01E6C">
        <w:rPr>
          <w:rFonts w:ascii="Arial" w:eastAsia="Arial" w:hAnsi="Arial" w:cs="Arial"/>
        </w:rPr>
        <w:t>partado</w:t>
      </w:r>
      <w:r w:rsidR="007964BE" w:rsidRPr="007964BE">
        <w:rPr>
          <w:rFonts w:ascii="Arial" w:eastAsia="Arial" w:hAnsi="Arial" w:cs="Arial"/>
          <w:b/>
          <w:bCs/>
          <w:i/>
          <w:iCs/>
        </w:rPr>
        <w:t xml:space="preserve"> </w:t>
      </w:r>
      <w:r w:rsidR="00F01E6C" w:rsidRPr="00F01E6C">
        <w:rPr>
          <w:rFonts w:ascii="Arial" w:eastAsia="Arial" w:hAnsi="Arial" w:cs="Arial"/>
          <w:b/>
          <w:bCs/>
        </w:rPr>
        <w:t>V</w:t>
      </w:r>
      <w:r w:rsidR="007964BE" w:rsidRPr="00F01E6C">
        <w:rPr>
          <w:rFonts w:ascii="Arial" w:eastAsia="Arial" w:hAnsi="Arial" w:cs="Arial"/>
          <w:b/>
          <w:bCs/>
        </w:rPr>
        <w:t>II. Efectos</w:t>
      </w:r>
      <w:r w:rsidR="007964BE">
        <w:rPr>
          <w:rFonts w:ascii="Arial" w:eastAsia="Arial" w:hAnsi="Arial" w:cs="Arial"/>
        </w:rPr>
        <w:t>, se instruye a la Secretaría General de Acuerdos lo siguiente:</w:t>
      </w:r>
    </w:p>
    <w:p w14:paraId="27087045" w14:textId="77777777" w:rsidR="00F01E6C" w:rsidRPr="00F01E6C" w:rsidRDefault="00F01E6C" w:rsidP="001336E3">
      <w:pPr>
        <w:spacing w:before="280" w:after="280" w:line="360" w:lineRule="auto"/>
        <w:ind w:firstLine="360"/>
        <w:jc w:val="both"/>
        <w:rPr>
          <w:rFonts w:ascii="Arial" w:eastAsia="Arial" w:hAnsi="Arial" w:cs="Arial"/>
          <w:b/>
          <w:bCs/>
          <w:i/>
          <w:iCs/>
        </w:rPr>
      </w:pPr>
      <w:r w:rsidRPr="00F01E6C">
        <w:rPr>
          <w:rFonts w:ascii="Arial" w:eastAsia="Arial" w:hAnsi="Arial" w:cs="Arial"/>
          <w:b/>
          <w:bCs/>
          <w:i/>
          <w:iCs/>
        </w:rPr>
        <w:t xml:space="preserve">VII. EFECTOS. </w:t>
      </w:r>
    </w:p>
    <w:p w14:paraId="4F631720" w14:textId="1080844B" w:rsidR="00F01E6C" w:rsidRPr="00F01E6C" w:rsidRDefault="00F01E6C" w:rsidP="00F01E6C">
      <w:pPr>
        <w:numPr>
          <w:ilvl w:val="0"/>
          <w:numId w:val="8"/>
        </w:numPr>
        <w:spacing w:before="280" w:after="280" w:line="360" w:lineRule="auto"/>
        <w:jc w:val="both"/>
        <w:rPr>
          <w:rFonts w:ascii="Arial" w:eastAsia="Arial" w:hAnsi="Arial" w:cs="Arial"/>
          <w:i/>
          <w:iCs/>
        </w:rPr>
      </w:pPr>
      <w:r w:rsidRPr="00F01E6C">
        <w:rPr>
          <w:rFonts w:ascii="Arial" w:eastAsia="Arial" w:hAnsi="Arial" w:cs="Arial"/>
          <w:b/>
          <w:bCs/>
          <w:i/>
          <w:iCs/>
        </w:rPr>
        <w:t xml:space="preserve">Encauzamiento de la vía. </w:t>
      </w:r>
      <w:r w:rsidRPr="00F01E6C">
        <w:rPr>
          <w:rFonts w:ascii="Arial" w:eastAsia="Arial" w:hAnsi="Arial" w:cs="Arial"/>
          <w:i/>
          <w:iCs/>
        </w:rPr>
        <w:t xml:space="preserve">Se encauza la demanda presentada por el ciudadano Carlos Humberto Ramos Contreras a asunto general, al advertirse de su escrito, que el promovente carece de legitimación para interponer el recurso de apelación. </w:t>
      </w:r>
    </w:p>
    <w:p w14:paraId="3718DB76" w14:textId="44ED2D2E" w:rsidR="00F01E6C" w:rsidRPr="00F01E6C" w:rsidRDefault="00F01E6C" w:rsidP="00F01E6C">
      <w:pPr>
        <w:numPr>
          <w:ilvl w:val="0"/>
          <w:numId w:val="8"/>
        </w:numPr>
        <w:spacing w:before="280" w:after="280" w:line="360" w:lineRule="auto"/>
        <w:jc w:val="both"/>
        <w:rPr>
          <w:rFonts w:ascii="Arial" w:eastAsia="Arial" w:hAnsi="Arial" w:cs="Arial"/>
          <w:b/>
          <w:bCs/>
          <w:i/>
          <w:iCs/>
        </w:rPr>
      </w:pPr>
      <w:r w:rsidRPr="00F01E6C">
        <w:rPr>
          <w:rFonts w:ascii="Arial" w:eastAsia="Arial" w:hAnsi="Arial" w:cs="Arial"/>
          <w:b/>
          <w:bCs/>
          <w:i/>
          <w:iCs/>
        </w:rPr>
        <w:t xml:space="preserve">Instrucción. </w:t>
      </w:r>
      <w:r w:rsidRPr="00F01E6C">
        <w:rPr>
          <w:rFonts w:ascii="Arial" w:eastAsia="Arial" w:hAnsi="Arial" w:cs="Arial"/>
          <w:i/>
          <w:iCs/>
        </w:rPr>
        <w:t>Se instruye a la secretaria general de acuerdos en funciones de este Tribunal Electoral para que realice las diligencias correspondientes y: 1) turne el asunto general a la ponencia del magistrado Horacio José Ricardo López Castañeda, al ser la ponencia instructora en el presente expediente, y 2) intégrese copia certificada del escrito de demanda y demás constancias que obren en el expediente TEEA-RAP-012/2026, en el expediente que se genere derivado del presente acuerdo.</w:t>
      </w:r>
      <w:r w:rsidRPr="00F01E6C">
        <w:rPr>
          <w:rFonts w:ascii="Arial" w:eastAsia="Arial" w:hAnsi="Arial" w:cs="Arial"/>
          <w:b/>
          <w:bCs/>
          <w:i/>
          <w:iCs/>
        </w:rPr>
        <w:t xml:space="preserve"> </w:t>
      </w:r>
    </w:p>
    <w:p w14:paraId="53A55591" w14:textId="4A831001" w:rsidR="00F01E6C" w:rsidRPr="00F01E6C" w:rsidRDefault="00F01E6C" w:rsidP="00F01E6C">
      <w:pPr>
        <w:numPr>
          <w:ilvl w:val="0"/>
          <w:numId w:val="8"/>
        </w:numPr>
        <w:spacing w:before="280" w:after="280" w:line="360" w:lineRule="auto"/>
        <w:jc w:val="both"/>
        <w:rPr>
          <w:rFonts w:ascii="Arial" w:eastAsia="Arial" w:hAnsi="Arial" w:cs="Arial"/>
          <w:i/>
          <w:iCs/>
        </w:rPr>
      </w:pPr>
      <w:r w:rsidRPr="00F01E6C">
        <w:rPr>
          <w:rFonts w:ascii="Arial" w:eastAsia="Arial" w:hAnsi="Arial" w:cs="Arial"/>
          <w:b/>
          <w:bCs/>
          <w:i/>
          <w:iCs/>
        </w:rPr>
        <w:t>Constancias de trámite.</w:t>
      </w:r>
      <w:r w:rsidRPr="00F01E6C">
        <w:rPr>
          <w:rFonts w:ascii="Arial" w:eastAsia="Arial" w:hAnsi="Arial" w:cs="Arial"/>
          <w:i/>
          <w:iCs/>
        </w:rPr>
        <w:t xml:space="preserve"> En caso de que se reciba documentación relacionada con el expediente TEEA-RAP-012/2026, remítase al asunto general que se forme a partir de la emisión del presente acuerdo plenario. </w:t>
      </w:r>
    </w:p>
    <w:p w14:paraId="71BEB442" w14:textId="49D88BE1"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BA3D4C">
        <w:rPr>
          <w:rFonts w:ascii="Arial" w:eastAsia="Arial" w:hAnsi="Arial" w:cs="Arial"/>
        </w:rPr>
        <w:t xml:space="preserve">298, </w:t>
      </w:r>
      <w:r w:rsidR="007C71FB" w:rsidRPr="00BA3D4C">
        <w:rPr>
          <w:rFonts w:ascii="Arial" w:eastAsia="Arial" w:hAnsi="Arial" w:cs="Arial"/>
        </w:rPr>
        <w:t>354</w:t>
      </w:r>
      <w:r w:rsidR="00E64AAC" w:rsidRPr="00BA3D4C">
        <w:rPr>
          <w:rFonts w:ascii="Arial" w:eastAsia="Arial" w:hAnsi="Arial" w:cs="Arial"/>
        </w:rPr>
        <w:t>,</w:t>
      </w:r>
      <w:r w:rsidR="00FC4568" w:rsidRPr="00BA3D4C">
        <w:rPr>
          <w:rFonts w:ascii="Arial" w:eastAsia="Arial" w:hAnsi="Arial" w:cs="Arial"/>
        </w:rPr>
        <w:t xml:space="preserve"> </w:t>
      </w:r>
      <w:r w:rsidR="007C71FB" w:rsidRPr="00BA3D4C">
        <w:rPr>
          <w:rFonts w:ascii="Arial" w:eastAsia="Arial" w:hAnsi="Arial" w:cs="Arial"/>
        </w:rPr>
        <w:t>y 35</w:t>
      </w:r>
      <w:r w:rsidR="000840D2" w:rsidRPr="00BA3D4C">
        <w:rPr>
          <w:rFonts w:ascii="Arial" w:eastAsia="Arial" w:hAnsi="Arial" w:cs="Arial"/>
        </w:rPr>
        <w:t>7</w:t>
      </w:r>
      <w:r w:rsidR="005628ED" w:rsidRPr="00BA3D4C">
        <w:rPr>
          <w:rFonts w:ascii="Arial" w:eastAsia="Arial" w:hAnsi="Arial" w:cs="Arial"/>
        </w:rPr>
        <w:t>, fracción e),</w:t>
      </w:r>
      <w:r w:rsidR="007C71FB" w:rsidRPr="00BA3D4C">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BA3D4C">
        <w:rPr>
          <w:rFonts w:ascii="Arial" w:eastAsia="Arial" w:hAnsi="Arial" w:cs="Arial"/>
        </w:rPr>
        <w:t xml:space="preserve">; </w:t>
      </w:r>
      <w:r w:rsidR="00E64AAC" w:rsidRPr="00BA3D4C">
        <w:rPr>
          <w:rFonts w:ascii="Arial" w:eastAsia="Arial" w:hAnsi="Arial" w:cs="Arial"/>
        </w:rPr>
        <w:t>1</w:t>
      </w:r>
      <w:r w:rsidR="004261CD" w:rsidRPr="00BA3D4C">
        <w:rPr>
          <w:rFonts w:ascii="Arial" w:eastAsia="Arial" w:hAnsi="Arial" w:cs="Arial"/>
        </w:rPr>
        <w:t>0</w:t>
      </w:r>
      <w:r w:rsidR="00E64AAC" w:rsidRPr="00BA3D4C">
        <w:rPr>
          <w:rFonts w:ascii="Arial" w:eastAsia="Arial" w:hAnsi="Arial" w:cs="Arial"/>
        </w:rPr>
        <w:t xml:space="preserve">, </w:t>
      </w:r>
      <w:r w:rsidR="006B258D" w:rsidRPr="00BA3D4C">
        <w:rPr>
          <w:rFonts w:ascii="Arial" w:eastAsia="Arial" w:hAnsi="Arial" w:cs="Arial"/>
        </w:rPr>
        <w:t xml:space="preserve">fracción </w:t>
      </w:r>
      <w:r w:rsidR="00DA7CAB" w:rsidRPr="00BA3D4C">
        <w:rPr>
          <w:rFonts w:ascii="Arial" w:eastAsia="Arial" w:hAnsi="Arial" w:cs="Arial"/>
        </w:rPr>
        <w:t>V</w:t>
      </w:r>
      <w:r w:rsidR="008277F4" w:rsidRPr="00BA3D4C">
        <w:rPr>
          <w:rFonts w:ascii="Arial" w:eastAsia="Arial" w:hAnsi="Arial" w:cs="Arial"/>
        </w:rPr>
        <w:t>I</w:t>
      </w:r>
      <w:r w:rsidR="006B258D" w:rsidRPr="00BA3D4C">
        <w:rPr>
          <w:rFonts w:ascii="Arial" w:eastAsia="Arial" w:hAnsi="Arial" w:cs="Arial"/>
        </w:rPr>
        <w:t xml:space="preserve">, </w:t>
      </w:r>
      <w:r w:rsidR="007C71FB" w:rsidRPr="00BA3D4C">
        <w:rPr>
          <w:rFonts w:ascii="Arial" w:eastAsia="Arial" w:hAnsi="Arial" w:cs="Arial"/>
        </w:rPr>
        <w:t>1</w:t>
      </w:r>
      <w:r w:rsidR="004261CD" w:rsidRPr="00BA3D4C">
        <w:rPr>
          <w:rFonts w:ascii="Arial" w:eastAsia="Arial" w:hAnsi="Arial" w:cs="Arial"/>
        </w:rPr>
        <w:t>9</w:t>
      </w:r>
      <w:r w:rsidR="007C71FB" w:rsidRPr="00BA3D4C">
        <w:rPr>
          <w:rFonts w:ascii="Arial" w:eastAsia="Arial" w:hAnsi="Arial" w:cs="Arial"/>
        </w:rPr>
        <w:t xml:space="preserve">, fracción </w:t>
      </w:r>
      <w:r w:rsidR="00CE6B28" w:rsidRPr="00BA3D4C">
        <w:rPr>
          <w:rFonts w:ascii="Arial" w:eastAsia="Arial" w:hAnsi="Arial" w:cs="Arial"/>
        </w:rPr>
        <w:t>X</w:t>
      </w:r>
      <w:r w:rsidR="004261CD" w:rsidRPr="00BA3D4C">
        <w:rPr>
          <w:rFonts w:ascii="Arial" w:eastAsia="Arial" w:hAnsi="Arial" w:cs="Arial"/>
        </w:rPr>
        <w:t>V</w:t>
      </w:r>
      <w:r w:rsidR="00CE6B28" w:rsidRPr="00BA3D4C">
        <w:rPr>
          <w:rFonts w:ascii="Arial" w:eastAsia="Arial" w:hAnsi="Arial" w:cs="Arial"/>
        </w:rPr>
        <w:t xml:space="preserve">II, </w:t>
      </w:r>
      <w:r w:rsidR="00AD0EAC" w:rsidRPr="00BA3D4C">
        <w:rPr>
          <w:rFonts w:ascii="Arial" w:eastAsia="Arial" w:hAnsi="Arial" w:cs="Arial"/>
        </w:rPr>
        <w:t>204</w:t>
      </w:r>
      <w:r w:rsidR="007C71FB" w:rsidRPr="00BA3D4C">
        <w:rPr>
          <w:rFonts w:ascii="Arial" w:eastAsia="Arial" w:hAnsi="Arial" w:cs="Arial"/>
        </w:rPr>
        <w:t xml:space="preserve">, </w:t>
      </w:r>
      <w:r w:rsidR="00AD0EAC" w:rsidRPr="00BA3D4C">
        <w:rPr>
          <w:rFonts w:ascii="Arial" w:eastAsia="Arial" w:hAnsi="Arial" w:cs="Arial"/>
        </w:rPr>
        <w:t>206</w:t>
      </w:r>
      <w:r w:rsidR="008277F4" w:rsidRPr="00BA3D4C">
        <w:rPr>
          <w:rFonts w:ascii="Arial" w:eastAsia="Arial" w:hAnsi="Arial" w:cs="Arial"/>
        </w:rPr>
        <w:t xml:space="preserve"> y</w:t>
      </w:r>
      <w:r w:rsidR="00CE6B28" w:rsidRPr="00BA3D4C">
        <w:rPr>
          <w:rFonts w:ascii="Arial" w:eastAsia="Arial" w:hAnsi="Arial" w:cs="Arial"/>
        </w:rPr>
        <w:t xml:space="preserve"> </w:t>
      </w:r>
      <w:r w:rsidR="00AD0EAC" w:rsidRPr="00BA3D4C">
        <w:rPr>
          <w:rFonts w:ascii="Arial" w:eastAsia="Arial" w:hAnsi="Arial" w:cs="Arial"/>
        </w:rPr>
        <w:t>20</w:t>
      </w:r>
      <w:r w:rsidR="00836340" w:rsidRPr="00BA3D4C">
        <w:rPr>
          <w:rFonts w:ascii="Arial" w:eastAsia="Arial" w:hAnsi="Arial" w:cs="Arial"/>
        </w:rPr>
        <w:t xml:space="preserve">7 </w:t>
      </w:r>
      <w:r w:rsidR="007C71FB" w:rsidRPr="00BA3D4C">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BA3D4C">
        <w:rPr>
          <w:rFonts w:ascii="Arial" w:eastAsia="Arial" w:hAnsi="Arial" w:cs="Arial"/>
        </w:rPr>
        <w:t xml:space="preserve"> y 16 de los Lineamientos para el turno de los medios de impugnación y procedimientos especiales </w:t>
      </w:r>
      <w:r w:rsidR="008277F4" w:rsidRPr="00BA3D4C">
        <w:rPr>
          <w:rFonts w:ascii="Arial" w:eastAsia="Arial" w:hAnsi="Arial" w:cs="Arial"/>
        </w:rPr>
        <w:lastRenderedPageBreak/>
        <w:t>sancionadores que se presenten ante el Tribunal Electoral del Estado de Aguascalientes</w:t>
      </w:r>
      <w:r w:rsidR="008277F4" w:rsidRPr="00BA3D4C">
        <w:rPr>
          <w:rStyle w:val="Refdenotaalpie"/>
          <w:rFonts w:ascii="Arial" w:eastAsia="Arial" w:hAnsi="Arial" w:cs="Arial"/>
        </w:rPr>
        <w:footnoteReference w:id="3"/>
      </w:r>
      <w:r w:rsidR="00836340" w:rsidRPr="00BA3D4C">
        <w:rPr>
          <w:rFonts w:ascii="Arial" w:eastAsia="Arial" w:hAnsi="Arial" w:cs="Arial"/>
        </w:rPr>
        <w:t>;</w:t>
      </w:r>
      <w:r w:rsidR="00836340">
        <w:rPr>
          <w:rFonts w:ascii="Arial" w:eastAsia="Arial" w:hAnsi="Arial" w:cs="Arial"/>
        </w:rPr>
        <w:t xml:space="preserve"> así como de lo ordenado en el apartado de efectos del referido A</w:t>
      </w:r>
      <w:r w:rsidR="00836340" w:rsidRPr="00836340">
        <w:rPr>
          <w:rFonts w:ascii="Arial" w:eastAsia="Arial" w:hAnsi="Arial" w:cs="Arial"/>
        </w:rPr>
        <w:t>cuerdo plenario de encauzamiento de vía,</w:t>
      </w:r>
      <w:r w:rsidR="00836340">
        <w:rPr>
          <w:rFonts w:ascii="Arial" w:eastAsia="Arial" w:hAnsi="Arial" w:cs="Arial"/>
        </w:rPr>
        <w:t xml:space="preserve"> dictado</w:t>
      </w:r>
      <w:r w:rsidR="00836340" w:rsidRPr="00836340">
        <w:rPr>
          <w:rFonts w:ascii="Arial" w:eastAsia="Arial" w:hAnsi="Arial" w:cs="Arial"/>
        </w:rPr>
        <w:t xml:space="preserve"> dentro del expediente TEEA-</w:t>
      </w:r>
      <w:r w:rsidR="007964BE">
        <w:rPr>
          <w:rFonts w:ascii="Arial" w:eastAsia="Arial" w:hAnsi="Arial" w:cs="Arial"/>
        </w:rPr>
        <w:t>RAP-0</w:t>
      </w:r>
      <w:r w:rsidR="00F01E6C">
        <w:rPr>
          <w:rFonts w:ascii="Arial" w:eastAsia="Arial" w:hAnsi="Arial" w:cs="Arial"/>
        </w:rPr>
        <w:t>12</w:t>
      </w:r>
      <w:r w:rsidR="007964BE">
        <w:rPr>
          <w:rFonts w:ascii="Arial" w:eastAsia="Arial" w:hAnsi="Arial" w:cs="Arial"/>
        </w:rPr>
        <w:t>/2026</w:t>
      </w:r>
      <w:r w:rsidR="00836340">
        <w:rPr>
          <w:rFonts w:ascii="Arial" w:eastAsia="Arial" w:hAnsi="Arial" w:cs="Arial"/>
        </w:rPr>
        <w:t>,</w:t>
      </w:r>
      <w:r w:rsidR="00B66A91">
        <w:rPr>
          <w:rFonts w:ascii="Arial" w:eastAsia="Arial" w:hAnsi="Arial" w:cs="Arial"/>
        </w:rPr>
        <w:t xml:space="preserve"> </w:t>
      </w:r>
      <w:r w:rsidR="00352F2A">
        <w:rPr>
          <w:rFonts w:ascii="Arial" w:eastAsia="Arial" w:hAnsi="Arial" w:cs="Arial"/>
        </w:rPr>
        <w:t>se acuerda:</w:t>
      </w:r>
    </w:p>
    <w:p w14:paraId="12BF78DB" w14:textId="11CADD39"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12</w:t>
      </w:r>
      <w:r w:rsidR="00BF2380">
        <w:rPr>
          <w:rFonts w:ascii="Arial" w:eastAsia="Arial" w:hAnsi="Arial" w:cs="Arial"/>
        </w:rPr>
        <w:t>/2026.</w:t>
      </w:r>
    </w:p>
    <w:p w14:paraId="19C667F4" w14:textId="71A3B407"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12</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69311C">
        <w:rPr>
          <w:rFonts w:ascii="Arial" w:eastAsia="Arial" w:hAnsi="Arial" w:cs="Arial"/>
          <w:b/>
        </w:rPr>
        <w:t>11</w:t>
      </w:r>
      <w:r w:rsidR="00BF2380">
        <w:rPr>
          <w:rFonts w:ascii="Arial" w:eastAsia="Arial" w:hAnsi="Arial" w:cs="Arial"/>
          <w:b/>
        </w:rPr>
        <w:t>/2026</w:t>
      </w:r>
      <w:r w:rsidR="00BF2380">
        <w:rPr>
          <w:rFonts w:ascii="Arial" w:eastAsia="Arial" w:hAnsi="Arial" w:cs="Arial"/>
          <w:bCs/>
        </w:rPr>
        <w:t xml:space="preserve">, por ser la clave que corresponde. </w:t>
      </w:r>
    </w:p>
    <w:p w14:paraId="2782D53B" w14:textId="37F52AD6"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1336E3">
        <w:rPr>
          <w:rFonts w:ascii="Arial" w:eastAsia="Arial" w:hAnsi="Arial" w:cs="Arial"/>
        </w:rPr>
        <w:t xml:space="preserve">inciso </w:t>
      </w:r>
      <w:r w:rsidR="001336E3" w:rsidRPr="001336E3">
        <w:rPr>
          <w:rFonts w:ascii="Arial" w:eastAsia="Arial" w:hAnsi="Arial" w:cs="Arial"/>
          <w:i/>
          <w:iCs/>
        </w:rPr>
        <w:t>b)</w:t>
      </w:r>
      <w:r w:rsidR="001336E3">
        <w:rPr>
          <w:rFonts w:ascii="Arial" w:eastAsia="Arial" w:hAnsi="Arial" w:cs="Arial"/>
        </w:rPr>
        <w:t>,</w:t>
      </w:r>
      <w:r w:rsidR="00FE29F7">
        <w:rPr>
          <w:rFonts w:ascii="Arial" w:eastAsia="Arial" w:hAnsi="Arial" w:cs="Arial"/>
        </w:rPr>
        <w:t xml:space="preserve"> del apartado </w:t>
      </w:r>
      <w:r w:rsidR="001336E3">
        <w:rPr>
          <w:rFonts w:ascii="Arial" w:eastAsia="Arial" w:hAnsi="Arial" w:cs="Arial"/>
        </w:rPr>
        <w:t>VI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69311C">
        <w:rPr>
          <w:rFonts w:ascii="Arial" w:eastAsia="Arial" w:hAnsi="Arial" w:cs="Arial"/>
          <w:b/>
          <w:bCs/>
        </w:rPr>
        <w:t>11</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F01E6C">
        <w:rPr>
          <w:rFonts w:ascii="Arial" w:eastAsia="Arial" w:hAnsi="Arial" w:cs="Arial"/>
        </w:rPr>
        <w:t>del magistrado Horacio José Ricardo López Castañeda</w:t>
      </w:r>
      <w:r w:rsidR="006B258D" w:rsidRPr="009811BC">
        <w:rPr>
          <w:rFonts w:ascii="Arial" w:eastAsia="Arial" w:hAnsi="Arial" w:cs="Arial"/>
          <w:b/>
        </w:rPr>
        <w:t xml:space="preserve"> </w:t>
      </w:r>
      <w:r w:rsidR="006B258D" w:rsidRPr="009811BC">
        <w:rPr>
          <w:rFonts w:ascii="Arial" w:eastAsia="Arial" w:hAnsi="Arial" w:cs="Arial"/>
        </w:rPr>
        <w:t xml:space="preserve">para </w:t>
      </w:r>
      <w:r w:rsidR="00FE29F7">
        <w:rPr>
          <w:rFonts w:ascii="Arial" w:eastAsia="Arial" w:hAnsi="Arial" w:cs="Arial"/>
        </w:rPr>
        <w:t>que continúe con la tramitación y sustanciación del medio de impugnación.</w:t>
      </w:r>
    </w:p>
    <w:p w14:paraId="747EFAB1" w14:textId="0E1ABDC3"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12</w:t>
      </w:r>
      <w:r w:rsidR="00BF2380">
        <w:rPr>
          <w:rFonts w:ascii="Arial" w:eastAsia="Arial" w:hAnsi="Arial" w:cs="Arial"/>
        </w:rPr>
        <w:t>/2026 y TEEA-AG-0</w:t>
      </w:r>
      <w:r w:rsidR="0069311C">
        <w:rPr>
          <w:rFonts w:ascii="Arial" w:eastAsia="Arial" w:hAnsi="Arial" w:cs="Arial"/>
        </w:rPr>
        <w:t>11</w:t>
      </w:r>
      <w:r w:rsidR="00BF2380">
        <w:rPr>
          <w:rFonts w:ascii="Arial" w:eastAsia="Arial" w:hAnsi="Arial" w:cs="Arial"/>
        </w:rPr>
        <w:t xml:space="preserve">/2026 </w:t>
      </w:r>
      <w:r w:rsidR="00021A7B">
        <w:rPr>
          <w:rFonts w:ascii="Arial" w:eastAsia="Arial" w:hAnsi="Arial" w:cs="Arial"/>
          <w:bCs/>
        </w:rPr>
        <w:t xml:space="preserve">a la ponencia </w:t>
      </w:r>
      <w:bookmarkEnd w:id="2"/>
      <w:r w:rsidR="00F01E6C">
        <w:rPr>
          <w:rFonts w:ascii="Arial" w:eastAsia="Arial" w:hAnsi="Arial" w:cs="Arial"/>
        </w:rPr>
        <w:t>del magistrado Horacio José Ricardo López Castañeda</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Presidenta de este Tribunal Electoral, Laura Hortensia Llamas Hernández, ante </w:t>
      </w:r>
      <w:r w:rsidR="00757EE5">
        <w:rPr>
          <w:rFonts w:ascii="Arial" w:eastAsia="Arial" w:hAnsi="Arial" w:cs="Arial"/>
        </w:rPr>
        <w:t>la</w:t>
      </w:r>
      <w:r w:rsidRPr="009811BC">
        <w:rPr>
          <w:rFonts w:ascii="Arial" w:eastAsia="Arial" w:hAnsi="Arial" w:cs="Arial"/>
        </w:rPr>
        <w:t xml:space="preserve"> Secretari</w:t>
      </w:r>
      <w:r w:rsidR="00D3103F">
        <w:rPr>
          <w:rFonts w:ascii="Arial" w:eastAsia="Arial" w:hAnsi="Arial" w:cs="Arial"/>
        </w:rPr>
        <w:t>a</w:t>
      </w:r>
      <w:r w:rsidRPr="009811BC">
        <w:rPr>
          <w:rFonts w:ascii="Arial" w:eastAsia="Arial" w:hAnsi="Arial" w:cs="Arial"/>
        </w:rPr>
        <w:t xml:space="preserve"> General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76B712EB" w14:textId="77777777" w:rsidR="006B30A7" w:rsidRDefault="006B30A7">
      <w:pPr>
        <w:spacing w:before="280" w:after="280" w:line="360" w:lineRule="auto"/>
        <w:jc w:val="both"/>
        <w:rPr>
          <w:rFonts w:ascii="Arial" w:eastAsia="Arial" w:hAnsi="Arial" w:cs="Arial"/>
        </w:rPr>
      </w:pPr>
    </w:p>
    <w:p w14:paraId="750D3029" w14:textId="77777777" w:rsidR="001336E3" w:rsidRDefault="001336E3">
      <w:pPr>
        <w:spacing w:before="280" w:after="280" w:line="360" w:lineRule="auto"/>
        <w:jc w:val="both"/>
        <w:rPr>
          <w:rFonts w:ascii="Arial" w:eastAsia="Arial" w:hAnsi="Arial" w:cs="Arial"/>
        </w:rPr>
      </w:pPr>
    </w:p>
    <w:p w14:paraId="7095AD9C" w14:textId="77777777" w:rsidR="006B30A7" w:rsidRPr="009811BC" w:rsidRDefault="006B30A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FEA771E-1D4A-433B-8074-5A294D1A50B9}"/>
    <w:embedBold r:id="rId2" w:fontKey="{CE4819D8-7F16-458D-912C-25E3D3AA21F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7F70FD8-2EB9-4121-88E3-0C4728688336}"/>
  </w:font>
  <w:font w:name="Georgia">
    <w:panose1 w:val="02040502050405020303"/>
    <w:charset w:val="00"/>
    <w:family w:val="roman"/>
    <w:pitch w:val="variable"/>
    <w:sig w:usb0="00000287" w:usb1="00000000" w:usb2="00000000" w:usb3="00000000" w:csb0="0000009F" w:csb1="00000000"/>
    <w:embedRegular r:id="rId4" w:fontKey="{FC3E0509-8799-4368-BE18-9626DBBEBE02}"/>
    <w:embedItalic r:id="rId5" w:fontKey="{F4AB2997-E94A-4DC8-9E6C-41ED4FB3CA05}"/>
  </w:font>
  <w:font w:name="Arial Nova">
    <w:altName w:val="Arial Nova"/>
    <w:charset w:val="00"/>
    <w:family w:val="swiss"/>
    <w:pitch w:val="variable"/>
    <w:sig w:usb0="0000028F" w:usb1="00000002" w:usb2="00000000" w:usb3="00000000" w:csb0="0000019F" w:csb1="00000000"/>
    <w:embedRegular r:id="rId6" w:fontKey="{AEFA4102-462D-4980-9435-447521C531B7}"/>
  </w:font>
  <w:font w:name="Calibri Light">
    <w:panose1 w:val="020F0302020204030204"/>
    <w:charset w:val="00"/>
    <w:family w:val="swiss"/>
    <w:pitch w:val="variable"/>
    <w:sig w:usb0="E4002EFF" w:usb1="C000247B" w:usb2="00000009" w:usb3="00000000" w:csb0="000001FF" w:csb1="00000000"/>
    <w:embedRegular r:id="rId7" w:fontKey="{C452016B-F7CC-414C-B1EA-38DF98C936AB}"/>
  </w:font>
  <w:font w:name="Century Gothic">
    <w:panose1 w:val="020B0502020202020204"/>
    <w:charset w:val="00"/>
    <w:family w:val="swiss"/>
    <w:pitch w:val="variable"/>
    <w:sig w:usb0="00000287" w:usb1="00000000" w:usb2="00000000" w:usb3="00000000" w:csb0="0000009F" w:csb1="00000000"/>
    <w:embedRegular r:id="rId8" w:fontKey="{1905202B-79AA-4799-9088-6C0FE0635F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F01E6C">
        <w:rPr>
          <w:rFonts w:ascii="Arial" w:hAnsi="Arial" w:cs="Arial"/>
          <w:sz w:val="14"/>
          <w:szCs w:val="14"/>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69311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69311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7"/>
  </w:num>
  <w:num w:numId="2" w16cid:durableId="1417363288">
    <w:abstractNumId w:val="4"/>
  </w:num>
  <w:num w:numId="3" w16cid:durableId="25303570">
    <w:abstractNumId w:val="6"/>
  </w:num>
  <w:num w:numId="4" w16cid:durableId="720594411">
    <w:abstractNumId w:val="8"/>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311C"/>
    <w:rsid w:val="00695CFA"/>
    <w:rsid w:val="006B258D"/>
    <w:rsid w:val="006B30A7"/>
    <w:rsid w:val="006D00DA"/>
    <w:rsid w:val="0070474A"/>
    <w:rsid w:val="007107D6"/>
    <w:rsid w:val="00744962"/>
    <w:rsid w:val="00750323"/>
    <w:rsid w:val="007507BF"/>
    <w:rsid w:val="00757EE5"/>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63584"/>
    <w:rsid w:val="00E64AAC"/>
    <w:rsid w:val="00E73D2D"/>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588</Words>
  <Characters>3237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6</cp:revision>
  <cp:lastPrinted>2026-07-02T22:34:00Z</cp:lastPrinted>
  <dcterms:created xsi:type="dcterms:W3CDTF">2026-07-02T18:09:00Z</dcterms:created>
  <dcterms:modified xsi:type="dcterms:W3CDTF">2026-07-08T21:46:00Z</dcterms:modified>
</cp:coreProperties>
</file>