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7D688" w14:textId="77777777" w:rsidR="001B2F8F" w:rsidRPr="00A15124" w:rsidRDefault="001B2F8F" w:rsidP="001B2F8F">
      <w:pPr>
        <w:tabs>
          <w:tab w:val="left" w:pos="3544"/>
        </w:tabs>
        <w:spacing w:after="0" w:line="240" w:lineRule="auto"/>
        <w:ind w:left="3969" w:right="51"/>
        <w:jc w:val="both"/>
        <w:rPr>
          <w:rFonts w:ascii="Arial" w:eastAsia="Arial" w:hAnsi="Arial" w:cs="Arial"/>
          <w:b/>
          <w:sz w:val="24"/>
          <w:szCs w:val="24"/>
        </w:rPr>
      </w:pPr>
      <w:bookmarkStart w:id="0" w:name="_Hlk231287768"/>
      <w:r w:rsidRPr="00A15124">
        <w:rPr>
          <w:rFonts w:ascii="Arial" w:eastAsia="Arial" w:hAnsi="Arial" w:cs="Arial"/>
          <w:b/>
          <w:sz w:val="24"/>
          <w:szCs w:val="24"/>
        </w:rPr>
        <w:t>ASUNTO GENERAL.</w:t>
      </w:r>
    </w:p>
    <w:p w14:paraId="1BFE0BC1" w14:textId="77777777" w:rsidR="001B2F8F" w:rsidRPr="00A15124" w:rsidRDefault="001B2F8F" w:rsidP="001B2F8F">
      <w:pPr>
        <w:tabs>
          <w:tab w:val="left" w:pos="3544"/>
        </w:tabs>
        <w:spacing w:after="0" w:line="240" w:lineRule="auto"/>
        <w:ind w:left="3969" w:right="51"/>
        <w:jc w:val="both"/>
        <w:rPr>
          <w:rFonts w:ascii="Arial" w:eastAsia="Arial" w:hAnsi="Arial" w:cs="Arial"/>
          <w:b/>
          <w:sz w:val="24"/>
          <w:szCs w:val="24"/>
        </w:rPr>
      </w:pPr>
    </w:p>
    <w:p w14:paraId="7C15B79D" w14:textId="3A042EC5" w:rsidR="001B2F8F" w:rsidRPr="00A15124" w:rsidRDefault="001B2F8F" w:rsidP="001B2F8F">
      <w:pPr>
        <w:tabs>
          <w:tab w:val="left" w:pos="3544"/>
        </w:tabs>
        <w:spacing w:after="0" w:line="240" w:lineRule="auto"/>
        <w:ind w:left="3969" w:right="51"/>
        <w:jc w:val="both"/>
        <w:rPr>
          <w:rFonts w:ascii="Arial" w:eastAsia="Arial" w:hAnsi="Arial" w:cs="Arial"/>
          <w:sz w:val="24"/>
          <w:szCs w:val="24"/>
        </w:rPr>
      </w:pPr>
      <w:r w:rsidRPr="00A15124">
        <w:rPr>
          <w:rFonts w:ascii="Arial" w:eastAsia="Arial" w:hAnsi="Arial" w:cs="Arial"/>
          <w:b/>
          <w:sz w:val="24"/>
          <w:szCs w:val="24"/>
        </w:rPr>
        <w:t xml:space="preserve">EXPEDIENTE: </w:t>
      </w:r>
      <w:r w:rsidRPr="00A15124">
        <w:rPr>
          <w:rFonts w:ascii="Arial" w:eastAsia="Arial" w:hAnsi="Arial" w:cs="Arial"/>
          <w:sz w:val="24"/>
          <w:szCs w:val="24"/>
        </w:rPr>
        <w:t>TEEA-AG-00</w:t>
      </w:r>
      <w:r w:rsidR="00580765">
        <w:rPr>
          <w:rFonts w:ascii="Arial" w:eastAsia="Arial" w:hAnsi="Arial" w:cs="Arial"/>
          <w:sz w:val="24"/>
          <w:szCs w:val="24"/>
        </w:rPr>
        <w:t>7</w:t>
      </w:r>
      <w:r w:rsidRPr="00A15124">
        <w:rPr>
          <w:rFonts w:ascii="Arial" w:eastAsia="Arial" w:hAnsi="Arial" w:cs="Arial"/>
          <w:sz w:val="24"/>
          <w:szCs w:val="24"/>
        </w:rPr>
        <w:t>/2026.</w:t>
      </w:r>
    </w:p>
    <w:p w14:paraId="6831ED55" w14:textId="77777777" w:rsidR="001B2F8F" w:rsidRPr="00A15124" w:rsidRDefault="001B2F8F" w:rsidP="001B2F8F">
      <w:pPr>
        <w:tabs>
          <w:tab w:val="left" w:pos="3544"/>
        </w:tabs>
        <w:spacing w:after="0" w:line="240" w:lineRule="auto"/>
        <w:ind w:left="3969" w:right="51"/>
        <w:jc w:val="both"/>
        <w:rPr>
          <w:rFonts w:ascii="Arial" w:eastAsia="Arial" w:hAnsi="Arial" w:cs="Arial"/>
          <w:sz w:val="24"/>
          <w:szCs w:val="24"/>
        </w:rPr>
      </w:pPr>
    </w:p>
    <w:p w14:paraId="5E6AB3EA" w14:textId="07FA93CB" w:rsidR="001B2F8F" w:rsidRPr="00A15124" w:rsidRDefault="001B2F8F" w:rsidP="001B2F8F">
      <w:pPr>
        <w:tabs>
          <w:tab w:val="left" w:pos="3544"/>
        </w:tabs>
        <w:spacing w:after="0" w:line="240" w:lineRule="auto"/>
        <w:ind w:left="3969" w:right="51"/>
        <w:jc w:val="both"/>
        <w:rPr>
          <w:rFonts w:ascii="Arial" w:eastAsia="Arial" w:hAnsi="Arial" w:cs="Arial"/>
          <w:sz w:val="24"/>
          <w:szCs w:val="24"/>
        </w:rPr>
      </w:pPr>
      <w:r w:rsidRPr="00A15124">
        <w:rPr>
          <w:rFonts w:ascii="Arial" w:eastAsia="Arial" w:hAnsi="Arial" w:cs="Arial"/>
          <w:b/>
          <w:sz w:val="24"/>
          <w:szCs w:val="24"/>
        </w:rPr>
        <w:t>PROMOVENTE:</w:t>
      </w:r>
      <w:r w:rsidRPr="00A15124">
        <w:rPr>
          <w:rFonts w:ascii="Arial" w:eastAsia="Arial" w:hAnsi="Arial" w:cs="Arial"/>
          <w:sz w:val="24"/>
          <w:szCs w:val="24"/>
        </w:rPr>
        <w:t xml:space="preserve"> </w:t>
      </w:r>
      <w:r w:rsidR="00580765">
        <w:rPr>
          <w:rFonts w:ascii="Arial" w:eastAsia="Arial" w:hAnsi="Arial" w:cs="Arial"/>
          <w:sz w:val="24"/>
          <w:szCs w:val="24"/>
        </w:rPr>
        <w:t>LEONARDO MONTAÑEZ CASTRO, EN SU CA</w:t>
      </w:r>
      <w:r w:rsidR="00B43B9E">
        <w:rPr>
          <w:rFonts w:ascii="Arial" w:eastAsia="Arial" w:hAnsi="Arial" w:cs="Arial"/>
          <w:sz w:val="24"/>
          <w:szCs w:val="24"/>
        </w:rPr>
        <w:t>LIDAD</w:t>
      </w:r>
      <w:r w:rsidR="00580765">
        <w:rPr>
          <w:rFonts w:ascii="Arial" w:eastAsia="Arial" w:hAnsi="Arial" w:cs="Arial"/>
          <w:sz w:val="24"/>
          <w:szCs w:val="24"/>
        </w:rPr>
        <w:t xml:space="preserve"> DE PRESIDENTE MUNICIPAL DEL AYUNTAMIENTO DE AGUASCALIENTES.</w:t>
      </w:r>
      <w:r w:rsidRPr="00A15124">
        <w:rPr>
          <w:rFonts w:ascii="Arial" w:eastAsia="Arial" w:hAnsi="Arial" w:cs="Arial"/>
          <w:sz w:val="24"/>
          <w:szCs w:val="24"/>
        </w:rPr>
        <w:t xml:space="preserve"> </w:t>
      </w:r>
    </w:p>
    <w:p w14:paraId="3E84F046" w14:textId="77777777" w:rsidR="001B2F8F" w:rsidRPr="00A15124" w:rsidRDefault="001B2F8F" w:rsidP="001B2F8F">
      <w:pPr>
        <w:tabs>
          <w:tab w:val="left" w:pos="3544"/>
        </w:tabs>
        <w:spacing w:after="0" w:line="240" w:lineRule="auto"/>
        <w:ind w:left="3969" w:right="51"/>
        <w:jc w:val="both"/>
        <w:rPr>
          <w:rFonts w:ascii="Arial" w:eastAsia="Arial" w:hAnsi="Arial" w:cs="Arial"/>
          <w:sz w:val="24"/>
          <w:szCs w:val="24"/>
        </w:rPr>
      </w:pPr>
    </w:p>
    <w:p w14:paraId="0D028639" w14:textId="4973AC5A" w:rsidR="001B2F8F" w:rsidRPr="00A15124" w:rsidRDefault="001B2F8F" w:rsidP="001B2F8F">
      <w:pPr>
        <w:tabs>
          <w:tab w:val="left" w:pos="3544"/>
        </w:tabs>
        <w:spacing w:after="0" w:line="240" w:lineRule="auto"/>
        <w:ind w:left="3969" w:right="51"/>
        <w:jc w:val="both"/>
        <w:rPr>
          <w:rFonts w:ascii="Arial" w:eastAsia="Arial" w:hAnsi="Arial" w:cs="Arial"/>
          <w:sz w:val="24"/>
          <w:szCs w:val="24"/>
        </w:rPr>
      </w:pPr>
      <w:r w:rsidRPr="00A15124">
        <w:rPr>
          <w:rFonts w:ascii="Arial" w:eastAsia="Arial" w:hAnsi="Arial" w:cs="Arial"/>
          <w:b/>
          <w:sz w:val="24"/>
          <w:szCs w:val="24"/>
        </w:rPr>
        <w:t>AUTORIDAD RESPONSABLE:</w:t>
      </w:r>
      <w:r w:rsidRPr="00A15124">
        <w:rPr>
          <w:rFonts w:ascii="Arial" w:eastAsia="Arial" w:hAnsi="Arial" w:cs="Arial"/>
          <w:sz w:val="24"/>
          <w:szCs w:val="24"/>
        </w:rPr>
        <w:t xml:space="preserve"> </w:t>
      </w:r>
      <w:r w:rsidR="00580765">
        <w:rPr>
          <w:rFonts w:ascii="Arial" w:eastAsia="Arial" w:hAnsi="Arial" w:cs="Arial"/>
          <w:sz w:val="24"/>
          <w:szCs w:val="24"/>
        </w:rPr>
        <w:t xml:space="preserve">COMISIÓN DE QUEJAS Y DENUNCIAS DEL INSTITUTO ESTATAL ELECTORAL DE AGUASCALIENTES. </w:t>
      </w:r>
    </w:p>
    <w:bookmarkEnd w:id="0"/>
    <w:p w14:paraId="1DD662CE" w14:textId="0076CC29" w:rsidR="007A1B99" w:rsidRPr="00A15124" w:rsidRDefault="007A1B99" w:rsidP="007A1B99">
      <w:pPr>
        <w:tabs>
          <w:tab w:val="right" w:pos="8789"/>
        </w:tabs>
        <w:spacing w:before="280" w:after="280" w:line="360" w:lineRule="auto"/>
        <w:jc w:val="right"/>
        <w:rPr>
          <w:rFonts w:ascii="Arial" w:eastAsia="Arial" w:hAnsi="Arial" w:cs="Arial"/>
          <w:b/>
          <w:sz w:val="24"/>
          <w:szCs w:val="24"/>
        </w:rPr>
      </w:pPr>
      <w:r w:rsidRPr="00A15124">
        <w:rPr>
          <w:rFonts w:ascii="Arial" w:eastAsia="Arial" w:hAnsi="Arial" w:cs="Arial"/>
          <w:b/>
          <w:sz w:val="24"/>
          <w:szCs w:val="24"/>
        </w:rPr>
        <w:t>Aguascalientes, Ags</w:t>
      </w:r>
      <w:r w:rsidR="00FE3A80" w:rsidRPr="00A15124">
        <w:rPr>
          <w:rFonts w:ascii="Arial" w:eastAsia="Arial" w:hAnsi="Arial" w:cs="Arial"/>
          <w:b/>
          <w:sz w:val="24"/>
          <w:szCs w:val="24"/>
        </w:rPr>
        <w:t>.</w:t>
      </w:r>
      <w:r w:rsidRPr="00A15124">
        <w:rPr>
          <w:rFonts w:ascii="Arial" w:eastAsia="Arial" w:hAnsi="Arial" w:cs="Arial"/>
          <w:b/>
          <w:sz w:val="24"/>
          <w:szCs w:val="24"/>
        </w:rPr>
        <w:t xml:space="preserve">, </w:t>
      </w:r>
      <w:r w:rsidR="007B2E96">
        <w:rPr>
          <w:rFonts w:ascii="Arial" w:eastAsia="Arial" w:hAnsi="Arial" w:cs="Arial"/>
          <w:b/>
          <w:sz w:val="24"/>
          <w:szCs w:val="24"/>
        </w:rPr>
        <w:t xml:space="preserve">a </w:t>
      </w:r>
      <w:r w:rsidR="00580765">
        <w:rPr>
          <w:rFonts w:ascii="Arial" w:eastAsia="Arial" w:hAnsi="Arial" w:cs="Arial"/>
          <w:b/>
          <w:sz w:val="24"/>
          <w:szCs w:val="24"/>
        </w:rPr>
        <w:t>diecisiete</w:t>
      </w:r>
      <w:r w:rsidR="001162DF" w:rsidRPr="00A15124">
        <w:rPr>
          <w:rFonts w:ascii="Arial" w:eastAsia="Arial" w:hAnsi="Arial" w:cs="Arial"/>
          <w:b/>
          <w:sz w:val="24"/>
          <w:szCs w:val="24"/>
        </w:rPr>
        <w:t xml:space="preserve"> </w:t>
      </w:r>
      <w:r w:rsidR="00842F28" w:rsidRPr="00A15124">
        <w:rPr>
          <w:rFonts w:ascii="Arial" w:eastAsia="Arial" w:hAnsi="Arial" w:cs="Arial"/>
          <w:b/>
          <w:sz w:val="24"/>
          <w:szCs w:val="24"/>
        </w:rPr>
        <w:t>de junio de dos mil veintiséis</w:t>
      </w:r>
      <w:r w:rsidRPr="00A15124">
        <w:rPr>
          <w:rFonts w:ascii="Arial" w:eastAsia="Arial" w:hAnsi="Arial" w:cs="Arial"/>
          <w:b/>
          <w:sz w:val="24"/>
          <w:szCs w:val="24"/>
        </w:rPr>
        <w:t>.</w:t>
      </w:r>
    </w:p>
    <w:p w14:paraId="182E6885" w14:textId="7689EF5F" w:rsidR="005828B2" w:rsidRPr="00A15124" w:rsidRDefault="00DC1BBC" w:rsidP="00511B21">
      <w:pPr>
        <w:tabs>
          <w:tab w:val="right" w:pos="8789"/>
        </w:tabs>
        <w:spacing w:after="0" w:line="360" w:lineRule="auto"/>
        <w:jc w:val="both"/>
        <w:rPr>
          <w:rFonts w:ascii="Arial" w:eastAsia="Arial" w:hAnsi="Arial" w:cs="Arial"/>
          <w:sz w:val="24"/>
          <w:szCs w:val="24"/>
        </w:rPr>
      </w:pPr>
      <w:r w:rsidRPr="00A15124">
        <w:rPr>
          <w:rFonts w:ascii="Arial" w:eastAsia="Arial" w:hAnsi="Arial" w:cs="Arial"/>
          <w:sz w:val="24"/>
          <w:szCs w:val="24"/>
        </w:rPr>
        <w:t>La secretaria general de acuerdos en funciones da cuenta a la magistrada Laura Hortensia Llamas Hernández, presidenta de este órgano jurisdiccional electoral, con la siguiente documentación:</w:t>
      </w:r>
    </w:p>
    <w:tbl>
      <w:tblPr>
        <w:tblStyle w:val="Tablaconcuadrcula"/>
        <w:tblW w:w="0" w:type="auto"/>
        <w:tblLook w:val="04A0" w:firstRow="1" w:lastRow="0" w:firstColumn="1" w:lastColumn="0" w:noHBand="0" w:noVBand="1"/>
      </w:tblPr>
      <w:tblGrid>
        <w:gridCol w:w="4248"/>
        <w:gridCol w:w="4580"/>
      </w:tblGrid>
      <w:tr w:rsidR="00947307" w:rsidRPr="00DD4966" w14:paraId="36A378FE" w14:textId="77777777" w:rsidTr="00DC4D60">
        <w:trPr>
          <w:trHeight w:val="361"/>
        </w:trPr>
        <w:tc>
          <w:tcPr>
            <w:tcW w:w="4248" w:type="dxa"/>
            <w:shd w:val="clear" w:color="auto" w:fill="E8E8E8"/>
            <w:vAlign w:val="center"/>
          </w:tcPr>
          <w:p w14:paraId="0B0C22F0" w14:textId="77777777" w:rsidR="00947307" w:rsidRPr="00DD4966" w:rsidRDefault="00947307" w:rsidP="006D427F">
            <w:pPr>
              <w:jc w:val="center"/>
              <w:rPr>
                <w:rFonts w:ascii="Arial" w:hAnsi="Arial" w:cs="Arial"/>
                <w:b/>
                <w:bCs/>
                <w:sz w:val="19"/>
                <w:szCs w:val="19"/>
              </w:rPr>
            </w:pPr>
            <w:r w:rsidRPr="00DD4966">
              <w:rPr>
                <w:rFonts w:ascii="Arial" w:hAnsi="Arial" w:cs="Arial"/>
                <w:b/>
                <w:bCs/>
                <w:sz w:val="19"/>
                <w:szCs w:val="19"/>
              </w:rPr>
              <w:t>Oficio remisorio</w:t>
            </w:r>
          </w:p>
        </w:tc>
        <w:tc>
          <w:tcPr>
            <w:tcW w:w="4580" w:type="dxa"/>
            <w:shd w:val="clear" w:color="auto" w:fill="E8E8E8"/>
            <w:vAlign w:val="center"/>
          </w:tcPr>
          <w:p w14:paraId="6BA511A9" w14:textId="77777777" w:rsidR="00947307" w:rsidRPr="00DD4966" w:rsidRDefault="00947307" w:rsidP="006D427F">
            <w:pPr>
              <w:jc w:val="center"/>
              <w:rPr>
                <w:rFonts w:ascii="Arial" w:hAnsi="Arial" w:cs="Arial"/>
                <w:b/>
                <w:bCs/>
                <w:sz w:val="19"/>
                <w:szCs w:val="19"/>
              </w:rPr>
            </w:pPr>
            <w:r w:rsidRPr="00DD4966">
              <w:rPr>
                <w:rFonts w:ascii="Arial" w:hAnsi="Arial" w:cs="Arial"/>
                <w:b/>
                <w:bCs/>
                <w:sz w:val="19"/>
                <w:szCs w:val="19"/>
              </w:rPr>
              <w:t>Documentación recibida</w:t>
            </w:r>
          </w:p>
        </w:tc>
      </w:tr>
      <w:tr w:rsidR="00947307" w:rsidRPr="00DD4966" w14:paraId="5D0E9EC1" w14:textId="77777777" w:rsidTr="001A0227">
        <w:trPr>
          <w:trHeight w:val="1613"/>
        </w:trPr>
        <w:tc>
          <w:tcPr>
            <w:tcW w:w="4248" w:type="dxa"/>
          </w:tcPr>
          <w:p w14:paraId="38657C6B" w14:textId="6162D145" w:rsidR="00947307" w:rsidRPr="00DD4966" w:rsidRDefault="00947307" w:rsidP="006D427F">
            <w:pPr>
              <w:tabs>
                <w:tab w:val="right" w:pos="8789"/>
              </w:tabs>
              <w:spacing w:after="280"/>
              <w:jc w:val="both"/>
              <w:rPr>
                <w:rFonts w:ascii="Arial" w:eastAsia="Arial" w:hAnsi="Arial" w:cs="Arial"/>
                <w:sz w:val="19"/>
                <w:szCs w:val="19"/>
              </w:rPr>
            </w:pPr>
            <w:r w:rsidRPr="00DD4966">
              <w:rPr>
                <w:rFonts w:ascii="Arial" w:eastAsia="Arial" w:hAnsi="Arial" w:cs="Arial"/>
                <w:sz w:val="19"/>
                <w:szCs w:val="19"/>
              </w:rPr>
              <w:t xml:space="preserve">Oficio </w:t>
            </w:r>
            <w:r w:rsidRPr="003671C5">
              <w:rPr>
                <w:rFonts w:ascii="Arial" w:eastAsia="Arial" w:hAnsi="Arial" w:cs="Arial"/>
                <w:b/>
                <w:sz w:val="19"/>
                <w:szCs w:val="19"/>
              </w:rPr>
              <w:t>TEEA-OP-</w:t>
            </w:r>
            <w:r w:rsidR="00842F28" w:rsidRPr="003671C5">
              <w:rPr>
                <w:rFonts w:ascii="Arial" w:eastAsia="Arial" w:hAnsi="Arial" w:cs="Arial"/>
                <w:b/>
                <w:sz w:val="19"/>
                <w:szCs w:val="19"/>
              </w:rPr>
              <w:t>00</w:t>
            </w:r>
            <w:r w:rsidR="00580765">
              <w:rPr>
                <w:rFonts w:ascii="Arial" w:eastAsia="Arial" w:hAnsi="Arial" w:cs="Arial"/>
                <w:b/>
                <w:sz w:val="19"/>
                <w:szCs w:val="19"/>
              </w:rPr>
              <w:t>80</w:t>
            </w:r>
            <w:r w:rsidRPr="003671C5">
              <w:rPr>
                <w:rFonts w:ascii="Arial" w:eastAsia="Arial" w:hAnsi="Arial" w:cs="Arial"/>
                <w:b/>
                <w:sz w:val="19"/>
                <w:szCs w:val="19"/>
              </w:rPr>
              <w:t>/202</w:t>
            </w:r>
            <w:r w:rsidR="00DC1BBC" w:rsidRPr="003671C5">
              <w:rPr>
                <w:rFonts w:ascii="Arial" w:eastAsia="Arial" w:hAnsi="Arial" w:cs="Arial"/>
                <w:b/>
                <w:sz w:val="19"/>
                <w:szCs w:val="19"/>
              </w:rPr>
              <w:t>6</w:t>
            </w:r>
            <w:r w:rsidRPr="003671C5">
              <w:rPr>
                <w:rFonts w:ascii="Arial" w:eastAsia="Arial" w:hAnsi="Arial" w:cs="Arial"/>
                <w:sz w:val="19"/>
                <w:szCs w:val="19"/>
              </w:rPr>
              <w:t>,</w:t>
            </w:r>
            <w:r w:rsidRPr="00DD4966">
              <w:rPr>
                <w:rFonts w:ascii="Arial" w:eastAsia="Arial" w:hAnsi="Arial" w:cs="Arial"/>
                <w:sz w:val="19"/>
                <w:szCs w:val="19"/>
              </w:rPr>
              <w:t xml:space="preserve"> de fecha </w:t>
            </w:r>
            <w:r w:rsidR="00B43B9E">
              <w:rPr>
                <w:rFonts w:ascii="Arial" w:eastAsia="Arial" w:hAnsi="Arial" w:cs="Arial"/>
                <w:sz w:val="19"/>
                <w:szCs w:val="19"/>
              </w:rPr>
              <w:t>dieciséis</w:t>
            </w:r>
            <w:r w:rsidR="00DC1BBC">
              <w:rPr>
                <w:rFonts w:ascii="Arial" w:eastAsia="Arial" w:hAnsi="Arial" w:cs="Arial"/>
                <w:sz w:val="19"/>
                <w:szCs w:val="19"/>
              </w:rPr>
              <w:t xml:space="preserve"> de </w:t>
            </w:r>
            <w:r w:rsidR="00842F28">
              <w:rPr>
                <w:rFonts w:ascii="Arial" w:eastAsia="Arial" w:hAnsi="Arial" w:cs="Arial"/>
                <w:sz w:val="19"/>
                <w:szCs w:val="19"/>
              </w:rPr>
              <w:t>junio</w:t>
            </w:r>
            <w:r w:rsidR="00DC1BBC">
              <w:rPr>
                <w:rFonts w:ascii="Arial" w:eastAsia="Arial" w:hAnsi="Arial" w:cs="Arial"/>
                <w:sz w:val="19"/>
                <w:szCs w:val="19"/>
              </w:rPr>
              <w:t xml:space="preserve"> de dos mil veintiséis</w:t>
            </w:r>
            <w:r w:rsidRPr="00DD4966">
              <w:rPr>
                <w:rFonts w:ascii="Arial" w:eastAsia="Arial" w:hAnsi="Arial" w:cs="Arial"/>
                <w:sz w:val="19"/>
                <w:szCs w:val="19"/>
              </w:rPr>
              <w:t xml:space="preserve">, </w:t>
            </w:r>
            <w:r w:rsidR="00DC1BBC">
              <w:rPr>
                <w:rFonts w:ascii="Arial" w:eastAsia="Arial" w:hAnsi="Arial" w:cs="Arial"/>
                <w:sz w:val="19"/>
                <w:szCs w:val="19"/>
              </w:rPr>
              <w:t>signado por la</w:t>
            </w:r>
            <w:r w:rsidR="00842F28">
              <w:rPr>
                <w:rFonts w:ascii="Arial" w:eastAsia="Arial" w:hAnsi="Arial" w:cs="Arial"/>
                <w:sz w:val="19"/>
                <w:szCs w:val="19"/>
              </w:rPr>
              <w:t xml:space="preserve"> </w:t>
            </w:r>
            <w:r w:rsidR="00CB1FCD">
              <w:rPr>
                <w:rFonts w:ascii="Arial" w:eastAsia="Arial" w:hAnsi="Arial" w:cs="Arial"/>
                <w:sz w:val="19"/>
                <w:szCs w:val="19"/>
              </w:rPr>
              <w:t xml:space="preserve">C. Zaira Noelia Márquez Pérez, </w:t>
            </w:r>
            <w:r w:rsidR="00842F28">
              <w:rPr>
                <w:rFonts w:ascii="Arial" w:eastAsia="Arial" w:hAnsi="Arial" w:cs="Arial"/>
                <w:sz w:val="19"/>
                <w:szCs w:val="19"/>
              </w:rPr>
              <w:t xml:space="preserve">encargada de despacho de la Oficialía de Partes. </w:t>
            </w:r>
          </w:p>
        </w:tc>
        <w:tc>
          <w:tcPr>
            <w:tcW w:w="4580" w:type="dxa"/>
          </w:tcPr>
          <w:p w14:paraId="7652AEF3" w14:textId="535ABA58" w:rsidR="00947307" w:rsidRPr="00DD4966" w:rsidRDefault="001B2F8F" w:rsidP="001B2F8F">
            <w:pPr>
              <w:tabs>
                <w:tab w:val="left" w:pos="1628"/>
              </w:tabs>
              <w:jc w:val="both"/>
              <w:rPr>
                <w:rFonts w:ascii="Arial" w:hAnsi="Arial" w:cs="Arial"/>
                <w:sz w:val="19"/>
                <w:szCs w:val="19"/>
              </w:rPr>
            </w:pPr>
            <w:r w:rsidRPr="001B2F8F">
              <w:rPr>
                <w:rFonts w:ascii="Arial" w:eastAsia="Arial" w:hAnsi="Arial" w:cs="Arial"/>
                <w:bCs/>
                <w:sz w:val="19"/>
                <w:szCs w:val="19"/>
              </w:rPr>
              <w:t xml:space="preserve">Oficio identificado con la clave </w:t>
            </w:r>
            <w:r w:rsidRPr="003671C5">
              <w:rPr>
                <w:rFonts w:ascii="Arial" w:eastAsia="Arial" w:hAnsi="Arial" w:cs="Arial"/>
                <w:bCs/>
                <w:sz w:val="19"/>
                <w:szCs w:val="19"/>
              </w:rPr>
              <w:t>IEE/SE/0</w:t>
            </w:r>
            <w:r w:rsidR="003671C5" w:rsidRPr="003671C5">
              <w:rPr>
                <w:rFonts w:ascii="Arial" w:eastAsia="Arial" w:hAnsi="Arial" w:cs="Arial"/>
                <w:bCs/>
                <w:sz w:val="19"/>
                <w:szCs w:val="19"/>
              </w:rPr>
              <w:t>4</w:t>
            </w:r>
            <w:r w:rsidR="00580765">
              <w:rPr>
                <w:rFonts w:ascii="Arial" w:eastAsia="Arial" w:hAnsi="Arial" w:cs="Arial"/>
                <w:bCs/>
                <w:sz w:val="19"/>
                <w:szCs w:val="19"/>
              </w:rPr>
              <w:t>90</w:t>
            </w:r>
            <w:r w:rsidRPr="003671C5">
              <w:rPr>
                <w:rFonts w:ascii="Arial" w:eastAsia="Arial" w:hAnsi="Arial" w:cs="Arial"/>
                <w:bCs/>
                <w:sz w:val="19"/>
                <w:szCs w:val="19"/>
              </w:rPr>
              <w:t>/2026</w:t>
            </w:r>
            <w:r w:rsidRPr="001B2F8F">
              <w:rPr>
                <w:rFonts w:ascii="Arial" w:eastAsia="Arial" w:hAnsi="Arial" w:cs="Arial"/>
                <w:bCs/>
                <w:sz w:val="19"/>
                <w:szCs w:val="19"/>
              </w:rPr>
              <w:t xml:space="preserve"> de fecha </w:t>
            </w:r>
            <w:r w:rsidR="00F468B0">
              <w:rPr>
                <w:rFonts w:ascii="Arial" w:eastAsia="Arial" w:hAnsi="Arial" w:cs="Arial"/>
                <w:bCs/>
                <w:sz w:val="19"/>
                <w:szCs w:val="19"/>
              </w:rPr>
              <w:t>dieciséis</w:t>
            </w:r>
            <w:r w:rsidRPr="001B2F8F">
              <w:rPr>
                <w:rFonts w:ascii="Arial" w:eastAsia="Arial" w:hAnsi="Arial" w:cs="Arial"/>
                <w:bCs/>
                <w:sz w:val="19"/>
                <w:szCs w:val="19"/>
              </w:rPr>
              <w:t xml:space="preserve"> de junio de dos mil veintiséis, signado por la Lcda. Tania Libertad Sánchez Mendoza, secretaria ejecutiva del Consejo General del Instituto Estatal Electoral de Aguascalientes, mediante el cual se remite el expediente IEE/</w:t>
            </w:r>
            <w:r w:rsidR="00580765">
              <w:rPr>
                <w:rFonts w:ascii="Arial" w:eastAsia="Arial" w:hAnsi="Arial" w:cs="Arial"/>
                <w:bCs/>
                <w:sz w:val="19"/>
                <w:szCs w:val="19"/>
              </w:rPr>
              <w:t>RRV/001</w:t>
            </w:r>
            <w:r w:rsidRPr="001B2F8F">
              <w:rPr>
                <w:rFonts w:ascii="Arial" w:eastAsia="Arial" w:hAnsi="Arial" w:cs="Arial"/>
                <w:bCs/>
                <w:sz w:val="19"/>
                <w:szCs w:val="19"/>
              </w:rPr>
              <w:t>/2026.</w:t>
            </w:r>
          </w:p>
        </w:tc>
      </w:tr>
    </w:tbl>
    <w:p w14:paraId="061A822E" w14:textId="0B928E83" w:rsidR="004304DC" w:rsidRPr="00A15124" w:rsidRDefault="004304DC" w:rsidP="004304DC">
      <w:pPr>
        <w:spacing w:before="280" w:after="280" w:line="360" w:lineRule="auto"/>
        <w:jc w:val="both"/>
        <w:rPr>
          <w:rFonts w:ascii="Arial" w:eastAsia="Arial" w:hAnsi="Arial" w:cs="Arial"/>
          <w:sz w:val="24"/>
          <w:szCs w:val="24"/>
        </w:rPr>
      </w:pPr>
      <w:bookmarkStart w:id="1" w:name="_Hlk191645531"/>
      <w:r w:rsidRPr="00A15124">
        <w:rPr>
          <w:rFonts w:ascii="Arial" w:eastAsia="Arial" w:hAnsi="Arial" w:cs="Arial"/>
          <w:sz w:val="24"/>
          <w:szCs w:val="24"/>
        </w:rPr>
        <w:t>Vista la cuenta, con fundamento en los artículos 298, 354 y 357, fracción VIII, inciso e) del Código Electoral del Estado de Aguascalientes</w:t>
      </w:r>
      <w:r w:rsidRPr="00A15124">
        <w:rPr>
          <w:rStyle w:val="Refdenotaalpie"/>
          <w:rFonts w:ascii="Arial" w:eastAsia="Arial" w:hAnsi="Arial" w:cs="Arial"/>
          <w:sz w:val="24"/>
          <w:szCs w:val="24"/>
        </w:rPr>
        <w:footnoteReference w:id="1"/>
      </w:r>
      <w:r w:rsidRPr="00A15124">
        <w:rPr>
          <w:rFonts w:ascii="Arial" w:eastAsia="Arial" w:hAnsi="Arial" w:cs="Arial"/>
          <w:sz w:val="24"/>
          <w:szCs w:val="24"/>
        </w:rPr>
        <w:t xml:space="preserve">; 10, fracción </w:t>
      </w:r>
      <w:r w:rsidR="001B2F8F" w:rsidRPr="00A15124">
        <w:rPr>
          <w:rFonts w:ascii="Arial" w:eastAsia="Arial" w:hAnsi="Arial" w:cs="Arial"/>
          <w:sz w:val="24"/>
          <w:szCs w:val="24"/>
        </w:rPr>
        <w:t>V</w:t>
      </w:r>
      <w:r w:rsidRPr="00A15124">
        <w:rPr>
          <w:rFonts w:ascii="Arial" w:eastAsia="Arial" w:hAnsi="Arial" w:cs="Arial"/>
          <w:sz w:val="24"/>
          <w:szCs w:val="24"/>
        </w:rPr>
        <w:t>, 19, fracción XVII y XIX, 204 y 206 del Reglamento Interior del Tribunal Electoral del Estado de Aguascalientes</w:t>
      </w:r>
      <w:r w:rsidRPr="00A15124">
        <w:rPr>
          <w:rStyle w:val="Refdenotaalpie"/>
          <w:rFonts w:ascii="Arial" w:eastAsia="Arial" w:hAnsi="Arial" w:cs="Arial"/>
          <w:sz w:val="24"/>
          <w:szCs w:val="24"/>
        </w:rPr>
        <w:footnoteReference w:id="2"/>
      </w:r>
      <w:r w:rsidRPr="00A15124">
        <w:rPr>
          <w:rFonts w:ascii="Arial" w:eastAsia="Arial" w:hAnsi="Arial" w:cs="Arial"/>
          <w:sz w:val="24"/>
          <w:szCs w:val="24"/>
        </w:rPr>
        <w:t>; así como 3, 4</w:t>
      </w:r>
      <w:r w:rsidR="00873DDB" w:rsidRPr="00A15124">
        <w:rPr>
          <w:rFonts w:ascii="Arial" w:eastAsia="Arial" w:hAnsi="Arial" w:cs="Arial"/>
          <w:sz w:val="24"/>
          <w:szCs w:val="24"/>
        </w:rPr>
        <w:t xml:space="preserve"> </w:t>
      </w:r>
      <w:r w:rsidR="001162DF" w:rsidRPr="00A15124">
        <w:rPr>
          <w:rFonts w:ascii="Arial" w:eastAsia="Arial" w:hAnsi="Arial" w:cs="Arial"/>
          <w:sz w:val="24"/>
          <w:szCs w:val="24"/>
        </w:rPr>
        <w:t xml:space="preserve">y </w:t>
      </w:r>
      <w:r w:rsidR="00140D7B">
        <w:rPr>
          <w:rFonts w:ascii="Arial" w:eastAsia="Arial" w:hAnsi="Arial" w:cs="Arial"/>
          <w:sz w:val="24"/>
          <w:szCs w:val="24"/>
        </w:rPr>
        <w:t>6</w:t>
      </w:r>
      <w:r w:rsidRPr="00A15124">
        <w:rPr>
          <w:rFonts w:ascii="Arial" w:eastAsia="Arial" w:hAnsi="Arial" w:cs="Arial"/>
          <w:sz w:val="24"/>
          <w:szCs w:val="24"/>
        </w:rPr>
        <w:t xml:space="preserve"> de los Lineamientos para el turno de los medios de impugnación y procedimientos especiales sancionadores que se presenten ante el Tribunal Electoral del Estado de Aguascalientes</w:t>
      </w:r>
      <w:r w:rsidRPr="00A15124">
        <w:rPr>
          <w:rStyle w:val="Refdenotaalpie"/>
          <w:rFonts w:ascii="Arial" w:eastAsia="Arial" w:hAnsi="Arial" w:cs="Arial"/>
          <w:sz w:val="24"/>
          <w:szCs w:val="24"/>
        </w:rPr>
        <w:footnoteReference w:id="3"/>
      </w:r>
      <w:r w:rsidRPr="00A15124">
        <w:rPr>
          <w:rFonts w:ascii="Arial" w:eastAsia="Arial" w:hAnsi="Arial" w:cs="Arial"/>
          <w:sz w:val="24"/>
          <w:szCs w:val="24"/>
        </w:rPr>
        <w:t>, se acuerda:</w:t>
      </w:r>
    </w:p>
    <w:p w14:paraId="384E97DD" w14:textId="0D5BAC27" w:rsidR="00A73BE3" w:rsidRPr="00A15124" w:rsidRDefault="00A73BE3" w:rsidP="00A73BE3">
      <w:pPr>
        <w:spacing w:before="280" w:after="280" w:line="360" w:lineRule="auto"/>
        <w:jc w:val="both"/>
        <w:rPr>
          <w:rFonts w:ascii="Arial" w:eastAsia="Arial" w:hAnsi="Arial" w:cs="Arial"/>
          <w:b/>
          <w:sz w:val="24"/>
          <w:szCs w:val="24"/>
        </w:rPr>
      </w:pPr>
      <w:r w:rsidRPr="00A15124">
        <w:rPr>
          <w:rFonts w:ascii="Arial" w:eastAsia="Arial" w:hAnsi="Arial" w:cs="Arial"/>
          <w:b/>
          <w:sz w:val="24"/>
          <w:szCs w:val="24"/>
        </w:rPr>
        <w:t xml:space="preserve">PRIMERO. Recepción. </w:t>
      </w:r>
      <w:r w:rsidRPr="00A15124">
        <w:rPr>
          <w:rFonts w:ascii="Arial" w:eastAsia="Arial" w:hAnsi="Arial" w:cs="Arial"/>
          <w:bCs/>
          <w:sz w:val="24"/>
          <w:szCs w:val="24"/>
        </w:rPr>
        <w:t>Se tiene por recibida la documentación de cuenta.</w:t>
      </w:r>
    </w:p>
    <w:p w14:paraId="639165F4" w14:textId="77777777" w:rsidR="001F1353" w:rsidRPr="009765DD" w:rsidRDefault="00A73BE3" w:rsidP="009765DD">
      <w:pPr>
        <w:spacing w:line="360" w:lineRule="auto"/>
        <w:jc w:val="both"/>
        <w:rPr>
          <w:rFonts w:ascii="Arial" w:hAnsi="Arial" w:cs="Arial"/>
          <w:sz w:val="24"/>
          <w:szCs w:val="24"/>
        </w:rPr>
      </w:pPr>
      <w:r w:rsidRPr="00A15124">
        <w:rPr>
          <w:rFonts w:ascii="Arial" w:eastAsia="Arial" w:hAnsi="Arial" w:cs="Arial"/>
          <w:b/>
          <w:sz w:val="24"/>
          <w:szCs w:val="24"/>
        </w:rPr>
        <w:t xml:space="preserve">SEGUNDO. Integración del expediente. </w:t>
      </w:r>
      <w:r w:rsidR="001F1353" w:rsidRPr="009765DD">
        <w:rPr>
          <w:rFonts w:ascii="Arial" w:hAnsi="Arial" w:cs="Arial"/>
          <w:sz w:val="24"/>
          <w:szCs w:val="24"/>
        </w:rPr>
        <w:t>El artículo 6 de los Lineamientos para el Turno establece que, cuando del escrito de demanda no se advierta con claridad la vía procedente o esta no se encuentre prevista en el Código ni en los lineamientos aplicables, el asunto deberá turnarse como Asunto General, sin perjuicio de que la Magistratura instructora pueda proponer al Pleno su reencauzamiento a una vía distinta de la precisada en el Acuerdo de Turno de Presidencia.</w:t>
      </w:r>
    </w:p>
    <w:p w14:paraId="5C012764" w14:textId="77777777" w:rsidR="001F1353" w:rsidRPr="009765DD" w:rsidRDefault="001F1353" w:rsidP="009765DD">
      <w:pPr>
        <w:spacing w:line="360" w:lineRule="auto"/>
        <w:jc w:val="both"/>
        <w:rPr>
          <w:rFonts w:ascii="Arial" w:hAnsi="Arial" w:cs="Arial"/>
          <w:sz w:val="24"/>
          <w:szCs w:val="24"/>
        </w:rPr>
      </w:pPr>
    </w:p>
    <w:p w14:paraId="497DB410" w14:textId="3D8D907C" w:rsidR="001F1353" w:rsidRPr="009765DD" w:rsidRDefault="001F1353" w:rsidP="009765DD">
      <w:pPr>
        <w:spacing w:line="360" w:lineRule="auto"/>
        <w:jc w:val="both"/>
        <w:rPr>
          <w:rFonts w:ascii="Arial" w:hAnsi="Arial" w:cs="Arial"/>
          <w:sz w:val="24"/>
          <w:szCs w:val="24"/>
        </w:rPr>
      </w:pPr>
      <w:r w:rsidRPr="009765DD">
        <w:rPr>
          <w:rFonts w:ascii="Arial" w:hAnsi="Arial" w:cs="Arial"/>
          <w:sz w:val="24"/>
          <w:szCs w:val="24"/>
        </w:rPr>
        <w:t xml:space="preserve">En el caso concreto, de la documentación remitida por la </w:t>
      </w:r>
      <w:r w:rsidR="00F20757" w:rsidRPr="009765DD">
        <w:rPr>
          <w:rFonts w:ascii="Arial" w:hAnsi="Arial" w:cs="Arial"/>
          <w:sz w:val="24"/>
          <w:szCs w:val="24"/>
        </w:rPr>
        <w:t>secretaria ejecutiva</w:t>
      </w:r>
      <w:r w:rsidRPr="009765DD">
        <w:rPr>
          <w:rFonts w:ascii="Arial" w:hAnsi="Arial" w:cs="Arial"/>
          <w:sz w:val="24"/>
          <w:szCs w:val="24"/>
        </w:rPr>
        <w:t xml:space="preserve"> del Consejo General del Instituto Estatal Electoral de Aguascalientes se advierte que, mediante acuerdo de recepción de diez de junio del presente año, se ordenó registrar el medio de impugnación promovido por la parte actora con la denominación de </w:t>
      </w:r>
      <w:r w:rsidRPr="009765DD">
        <w:rPr>
          <w:rFonts w:ascii="Arial" w:hAnsi="Arial" w:cs="Arial"/>
          <w:sz w:val="24"/>
          <w:szCs w:val="24"/>
        </w:rPr>
        <w:t>“</w:t>
      </w:r>
      <w:r w:rsidRPr="009765DD">
        <w:rPr>
          <w:rFonts w:ascii="Arial" w:hAnsi="Arial" w:cs="Arial"/>
          <w:sz w:val="24"/>
          <w:szCs w:val="24"/>
        </w:rPr>
        <w:t>recurso de revisión</w:t>
      </w:r>
      <w:r w:rsidRPr="009765DD">
        <w:rPr>
          <w:rFonts w:ascii="Arial" w:hAnsi="Arial" w:cs="Arial"/>
          <w:sz w:val="24"/>
          <w:szCs w:val="24"/>
        </w:rPr>
        <w:t>”</w:t>
      </w:r>
      <w:r w:rsidRPr="009765DD">
        <w:rPr>
          <w:rFonts w:ascii="Arial" w:hAnsi="Arial" w:cs="Arial"/>
          <w:sz w:val="24"/>
          <w:szCs w:val="24"/>
        </w:rPr>
        <w:t xml:space="preserve"> en el Libro de Gobierno de dicha autoridad, bajo la clave IEE/RRV/001/2026.</w:t>
      </w:r>
    </w:p>
    <w:p w14:paraId="020FFECA" w14:textId="04250552" w:rsidR="001F1353" w:rsidRPr="009765DD" w:rsidRDefault="001F1353" w:rsidP="009765DD">
      <w:pPr>
        <w:spacing w:line="360" w:lineRule="auto"/>
        <w:jc w:val="both"/>
        <w:rPr>
          <w:rFonts w:ascii="Arial" w:hAnsi="Arial" w:cs="Arial"/>
          <w:sz w:val="24"/>
          <w:szCs w:val="24"/>
        </w:rPr>
      </w:pPr>
      <w:r w:rsidRPr="009765DD">
        <w:rPr>
          <w:rFonts w:ascii="Arial" w:hAnsi="Arial" w:cs="Arial"/>
          <w:sz w:val="24"/>
          <w:szCs w:val="24"/>
        </w:rPr>
        <w:t>Asimismo, de la lectura integral de las constancias remitidas se observa que tanto la autoridad responsable como la parte promovente refieren que el medio de impugnación presentado corresponde a un recurso de revisión, est</w:t>
      </w:r>
      <w:r w:rsidRPr="009765DD">
        <w:rPr>
          <w:rFonts w:ascii="Arial" w:hAnsi="Arial" w:cs="Arial"/>
          <w:sz w:val="24"/>
          <w:szCs w:val="24"/>
        </w:rPr>
        <w:t>e</w:t>
      </w:r>
      <w:r w:rsidRPr="009765DD">
        <w:rPr>
          <w:rFonts w:ascii="Arial" w:hAnsi="Arial" w:cs="Arial"/>
          <w:sz w:val="24"/>
          <w:szCs w:val="24"/>
        </w:rPr>
        <w:t xml:space="preserve"> últim</w:t>
      </w:r>
      <w:r w:rsidRPr="009765DD">
        <w:rPr>
          <w:rFonts w:ascii="Arial" w:hAnsi="Arial" w:cs="Arial"/>
          <w:sz w:val="24"/>
          <w:szCs w:val="24"/>
        </w:rPr>
        <w:t>o</w:t>
      </w:r>
      <w:r w:rsidRPr="009765DD">
        <w:rPr>
          <w:rFonts w:ascii="Arial" w:hAnsi="Arial" w:cs="Arial"/>
          <w:sz w:val="24"/>
          <w:szCs w:val="24"/>
        </w:rPr>
        <w:t xml:space="preserve"> también alude de manera indistinta a un </w:t>
      </w:r>
      <w:r w:rsidRPr="009765DD">
        <w:rPr>
          <w:rFonts w:ascii="Arial" w:hAnsi="Arial" w:cs="Arial"/>
          <w:i/>
          <w:iCs/>
          <w:sz w:val="24"/>
          <w:szCs w:val="24"/>
        </w:rPr>
        <w:t>recurso de revisión</w:t>
      </w:r>
      <w:r w:rsidRPr="009765DD">
        <w:rPr>
          <w:rFonts w:ascii="Arial" w:hAnsi="Arial" w:cs="Arial"/>
          <w:sz w:val="24"/>
          <w:szCs w:val="24"/>
        </w:rPr>
        <w:t xml:space="preserve"> y a un </w:t>
      </w:r>
      <w:r w:rsidRPr="009765DD">
        <w:rPr>
          <w:rFonts w:ascii="Arial" w:hAnsi="Arial" w:cs="Arial"/>
          <w:i/>
          <w:iCs/>
          <w:sz w:val="24"/>
          <w:szCs w:val="24"/>
        </w:rPr>
        <w:t>recurso de revisión del procedimiento especial sancionador</w:t>
      </w:r>
      <w:r w:rsidRPr="009765DD">
        <w:rPr>
          <w:rFonts w:ascii="Arial" w:hAnsi="Arial" w:cs="Arial"/>
          <w:sz w:val="24"/>
          <w:szCs w:val="24"/>
        </w:rPr>
        <w:t>, promovido en contra de la resolución identificada con la clave CQD-R-01/2026, emitida por la Comisión de Quejas y Denuncias del Instituto Estatal Electoral de Aguascalientes dentro del Procedimiento Sancionador Ordinario IEE/PSO/006/2026.</w:t>
      </w:r>
    </w:p>
    <w:p w14:paraId="4B12BF8F" w14:textId="7AECB7D7" w:rsidR="001F1353" w:rsidRPr="009765DD" w:rsidRDefault="001F1353" w:rsidP="009765DD">
      <w:pPr>
        <w:spacing w:line="360" w:lineRule="auto"/>
        <w:jc w:val="both"/>
        <w:rPr>
          <w:rFonts w:ascii="Arial" w:hAnsi="Arial" w:cs="Arial"/>
          <w:sz w:val="24"/>
          <w:szCs w:val="24"/>
        </w:rPr>
      </w:pPr>
      <w:r w:rsidRPr="009765DD">
        <w:rPr>
          <w:rFonts w:ascii="Arial" w:hAnsi="Arial" w:cs="Arial"/>
          <w:sz w:val="24"/>
          <w:szCs w:val="24"/>
        </w:rPr>
        <w:t>No obstante</w:t>
      </w:r>
      <w:r w:rsidRPr="009765DD">
        <w:rPr>
          <w:rFonts w:ascii="Arial" w:hAnsi="Arial" w:cs="Arial"/>
          <w:sz w:val="24"/>
          <w:szCs w:val="24"/>
        </w:rPr>
        <w:t xml:space="preserve">, la normativa electoral no contempla un medio de impugnación denominado </w:t>
      </w:r>
      <w:r w:rsidRPr="009765DD">
        <w:rPr>
          <w:rFonts w:ascii="Arial" w:hAnsi="Arial" w:cs="Arial"/>
          <w:i/>
          <w:iCs/>
          <w:sz w:val="24"/>
          <w:szCs w:val="24"/>
        </w:rPr>
        <w:t>recurso de revisión</w:t>
      </w:r>
      <w:r w:rsidRPr="009765DD">
        <w:rPr>
          <w:rFonts w:ascii="Arial" w:hAnsi="Arial" w:cs="Arial"/>
          <w:sz w:val="24"/>
          <w:szCs w:val="24"/>
        </w:rPr>
        <w:t>, ni prevé una vía específica para controvertir determinaciones relacionadas con el dictado de medidas cautelares dentro de los procedimientos sancionadores ordinarios.</w:t>
      </w:r>
    </w:p>
    <w:p w14:paraId="586DA756" w14:textId="71288F6F" w:rsidR="001F1353" w:rsidRPr="009765DD" w:rsidRDefault="001F1353" w:rsidP="009765DD">
      <w:pPr>
        <w:spacing w:line="360" w:lineRule="auto"/>
        <w:jc w:val="both"/>
        <w:rPr>
          <w:rFonts w:ascii="Arial" w:hAnsi="Arial" w:cs="Arial"/>
          <w:sz w:val="24"/>
          <w:szCs w:val="24"/>
        </w:rPr>
      </w:pPr>
      <w:r w:rsidRPr="009765DD">
        <w:rPr>
          <w:rFonts w:ascii="Arial" w:hAnsi="Arial" w:cs="Arial"/>
          <w:sz w:val="24"/>
          <w:szCs w:val="24"/>
        </w:rPr>
        <w:t xml:space="preserve">En ese contexto, al no existir claridad respecto de la vía intentada por la parte promovente, y con fundamento en el artículo </w:t>
      </w:r>
      <w:r w:rsidRPr="009765DD">
        <w:rPr>
          <w:rFonts w:ascii="Arial" w:hAnsi="Arial" w:cs="Arial"/>
          <w:sz w:val="24"/>
          <w:szCs w:val="24"/>
        </w:rPr>
        <w:t>19, fracci</w:t>
      </w:r>
      <w:r w:rsidR="00F20757" w:rsidRPr="009765DD">
        <w:rPr>
          <w:rFonts w:ascii="Arial" w:hAnsi="Arial" w:cs="Arial"/>
          <w:sz w:val="24"/>
          <w:szCs w:val="24"/>
        </w:rPr>
        <w:t>ones XVII y XIX del Reglamento Interior, así como el diverso artículo</w:t>
      </w:r>
      <w:r w:rsidRPr="009765DD">
        <w:rPr>
          <w:rFonts w:ascii="Arial" w:hAnsi="Arial" w:cs="Arial"/>
          <w:sz w:val="24"/>
          <w:szCs w:val="24"/>
        </w:rPr>
        <w:t xml:space="preserve"> </w:t>
      </w:r>
      <w:r w:rsidRPr="009765DD">
        <w:rPr>
          <w:rFonts w:ascii="Arial" w:hAnsi="Arial" w:cs="Arial"/>
          <w:sz w:val="24"/>
          <w:szCs w:val="24"/>
        </w:rPr>
        <w:t>6 de los Lineamientos para el Turno, se estima procedente tramitar el presente asunto como Asunto General, sin perjuicio de la facultad de la Magistratura instructora para proponer al Pleno su eventual reencauzamiento.</w:t>
      </w:r>
    </w:p>
    <w:p w14:paraId="0325452C" w14:textId="77777777" w:rsidR="001F1353" w:rsidRPr="009765DD" w:rsidRDefault="001F1353" w:rsidP="009765DD">
      <w:pPr>
        <w:spacing w:line="360" w:lineRule="auto"/>
        <w:jc w:val="both"/>
        <w:rPr>
          <w:rFonts w:ascii="Arial" w:hAnsi="Arial" w:cs="Arial"/>
          <w:sz w:val="24"/>
          <w:szCs w:val="24"/>
        </w:rPr>
      </w:pPr>
      <w:r w:rsidRPr="009765DD">
        <w:rPr>
          <w:rFonts w:ascii="Arial" w:hAnsi="Arial" w:cs="Arial"/>
          <w:sz w:val="24"/>
          <w:szCs w:val="24"/>
        </w:rPr>
        <w:t xml:space="preserve">En consecuencia, con la documentación de cuenta y sus anexos, fórmese e intégrense las constancias respectivas y regístrese el expediente en el Libro de Gobierno de este Tribunal bajo la clave </w:t>
      </w:r>
      <w:r w:rsidRPr="009765DD">
        <w:rPr>
          <w:rFonts w:ascii="Arial" w:hAnsi="Arial" w:cs="Arial"/>
          <w:b/>
          <w:bCs/>
          <w:sz w:val="24"/>
          <w:szCs w:val="24"/>
        </w:rPr>
        <w:t>TEEA-AG-007/2026.</w:t>
      </w:r>
    </w:p>
    <w:p w14:paraId="1AC79771" w14:textId="426A4D53" w:rsidR="00C6541D" w:rsidRPr="00A15124" w:rsidRDefault="00B43B9E" w:rsidP="001F1353">
      <w:pPr>
        <w:spacing w:before="280" w:after="280" w:line="360" w:lineRule="auto"/>
        <w:jc w:val="both"/>
        <w:rPr>
          <w:rFonts w:ascii="Arial" w:eastAsia="Arial" w:hAnsi="Arial" w:cs="Arial"/>
          <w:sz w:val="24"/>
          <w:szCs w:val="24"/>
        </w:rPr>
      </w:pPr>
      <w:r>
        <w:rPr>
          <w:rFonts w:ascii="Arial" w:eastAsia="Arial" w:hAnsi="Arial" w:cs="Arial"/>
          <w:b/>
          <w:sz w:val="24"/>
          <w:szCs w:val="24"/>
        </w:rPr>
        <w:t>TERCERO</w:t>
      </w:r>
      <w:r w:rsidR="00C6541D" w:rsidRPr="00A15124">
        <w:rPr>
          <w:rFonts w:ascii="Arial" w:eastAsia="Arial" w:hAnsi="Arial" w:cs="Arial"/>
          <w:b/>
          <w:sz w:val="24"/>
          <w:szCs w:val="24"/>
        </w:rPr>
        <w:t>.</w:t>
      </w:r>
      <w:r w:rsidR="00C6541D" w:rsidRPr="00A15124">
        <w:rPr>
          <w:rFonts w:ascii="Arial" w:eastAsia="Arial" w:hAnsi="Arial" w:cs="Arial"/>
          <w:sz w:val="24"/>
          <w:szCs w:val="24"/>
        </w:rPr>
        <w:t xml:space="preserve"> </w:t>
      </w:r>
      <w:r w:rsidR="00C6541D" w:rsidRPr="00A15124">
        <w:rPr>
          <w:rFonts w:ascii="Arial" w:eastAsia="Arial" w:hAnsi="Arial" w:cs="Arial"/>
          <w:b/>
          <w:sz w:val="24"/>
          <w:szCs w:val="24"/>
        </w:rPr>
        <w:t xml:space="preserve">Turno. </w:t>
      </w:r>
      <w:r w:rsidR="00C6541D" w:rsidRPr="00A15124">
        <w:rPr>
          <w:rFonts w:ascii="Arial" w:eastAsia="Arial" w:hAnsi="Arial" w:cs="Arial"/>
          <w:sz w:val="24"/>
          <w:szCs w:val="24"/>
        </w:rPr>
        <w:t xml:space="preserve">Por lo expuesto y con fundamento en los artículos 3, 4 y </w:t>
      </w:r>
      <w:r>
        <w:rPr>
          <w:rFonts w:ascii="Arial" w:eastAsia="Arial" w:hAnsi="Arial" w:cs="Arial"/>
          <w:sz w:val="24"/>
          <w:szCs w:val="24"/>
        </w:rPr>
        <w:t>6</w:t>
      </w:r>
      <w:r w:rsidR="00C6541D" w:rsidRPr="00A15124">
        <w:rPr>
          <w:rFonts w:ascii="Arial" w:eastAsia="Arial" w:hAnsi="Arial" w:cs="Arial"/>
          <w:sz w:val="24"/>
          <w:szCs w:val="24"/>
        </w:rPr>
        <w:t xml:space="preserve"> de los </w:t>
      </w:r>
      <w:r w:rsidR="00C6541D" w:rsidRPr="00A15124">
        <w:rPr>
          <w:rFonts w:ascii="Arial" w:eastAsia="Arial" w:hAnsi="Arial" w:cs="Arial"/>
          <w:i/>
          <w:iCs/>
          <w:sz w:val="24"/>
          <w:szCs w:val="24"/>
        </w:rPr>
        <w:t>Lineamientos para el turno</w:t>
      </w:r>
      <w:r w:rsidR="00C6541D" w:rsidRPr="00A15124">
        <w:rPr>
          <w:rFonts w:ascii="Arial" w:eastAsia="Arial" w:hAnsi="Arial" w:cs="Arial"/>
          <w:sz w:val="24"/>
          <w:szCs w:val="24"/>
        </w:rPr>
        <w:t xml:space="preserve">, túrnese los autos a la ponencia </w:t>
      </w:r>
      <w:r>
        <w:rPr>
          <w:rFonts w:ascii="Arial" w:eastAsia="Arial" w:hAnsi="Arial" w:cs="Arial"/>
          <w:sz w:val="24"/>
          <w:szCs w:val="24"/>
        </w:rPr>
        <w:t>de la magistrada Laura Hortensia Llamas Hernández.</w:t>
      </w:r>
    </w:p>
    <w:bookmarkEnd w:id="1"/>
    <w:p w14:paraId="0BEEB1FE" w14:textId="0DAF6D43" w:rsidR="0062118D" w:rsidRDefault="00B43B9E" w:rsidP="0062118D">
      <w:pPr>
        <w:spacing w:before="280" w:after="280" w:line="360" w:lineRule="auto"/>
        <w:jc w:val="both"/>
        <w:rPr>
          <w:rFonts w:ascii="Arial" w:eastAsia="Arial" w:hAnsi="Arial" w:cs="Arial"/>
          <w:sz w:val="24"/>
          <w:szCs w:val="24"/>
        </w:rPr>
      </w:pPr>
      <w:r>
        <w:rPr>
          <w:rFonts w:ascii="Arial" w:eastAsia="Arial" w:hAnsi="Arial" w:cs="Arial"/>
          <w:b/>
          <w:sz w:val="24"/>
          <w:szCs w:val="24"/>
        </w:rPr>
        <w:t>CUARTO</w:t>
      </w:r>
      <w:r w:rsidR="0062118D" w:rsidRPr="00A15124">
        <w:rPr>
          <w:rFonts w:ascii="Arial" w:eastAsia="Arial" w:hAnsi="Arial" w:cs="Arial"/>
          <w:b/>
          <w:sz w:val="24"/>
          <w:szCs w:val="24"/>
        </w:rPr>
        <w:t xml:space="preserve">. </w:t>
      </w:r>
      <w:bookmarkStart w:id="2" w:name="_Hlk191655970"/>
      <w:r w:rsidR="0062118D" w:rsidRPr="00A15124">
        <w:rPr>
          <w:rFonts w:ascii="Arial" w:eastAsia="Arial" w:hAnsi="Arial" w:cs="Arial"/>
          <w:b/>
          <w:sz w:val="24"/>
          <w:szCs w:val="24"/>
        </w:rPr>
        <w:t xml:space="preserve">Remisión del expediente. </w:t>
      </w:r>
      <w:bookmarkStart w:id="3" w:name="_Hlk231565752"/>
      <w:r w:rsidR="0062118D" w:rsidRPr="00A15124">
        <w:rPr>
          <w:rFonts w:ascii="Arial" w:eastAsia="Arial" w:hAnsi="Arial" w:cs="Arial"/>
          <w:sz w:val="24"/>
          <w:szCs w:val="24"/>
        </w:rPr>
        <w:t>Se</w:t>
      </w:r>
      <w:r w:rsidR="0062118D" w:rsidRPr="00A15124">
        <w:rPr>
          <w:rFonts w:ascii="Arial" w:eastAsia="Arial" w:hAnsi="Arial" w:cs="Arial"/>
          <w:b/>
          <w:sz w:val="24"/>
          <w:szCs w:val="24"/>
        </w:rPr>
        <w:t xml:space="preserve"> </w:t>
      </w:r>
      <w:r w:rsidR="0062118D" w:rsidRPr="003C14EC">
        <w:rPr>
          <w:rFonts w:ascii="Arial" w:eastAsia="Arial" w:hAnsi="Arial" w:cs="Arial"/>
          <w:bCs/>
          <w:sz w:val="24"/>
          <w:szCs w:val="24"/>
        </w:rPr>
        <w:t>ordena remitir</w:t>
      </w:r>
      <w:r w:rsidR="0062118D" w:rsidRPr="00A15124">
        <w:rPr>
          <w:rFonts w:ascii="Arial" w:eastAsia="Arial" w:hAnsi="Arial" w:cs="Arial"/>
          <w:bCs/>
          <w:sz w:val="24"/>
          <w:szCs w:val="24"/>
        </w:rPr>
        <w:t xml:space="preserve"> el expediente </w:t>
      </w:r>
      <w:r w:rsidR="0062118D" w:rsidRPr="00A15124">
        <w:rPr>
          <w:rFonts w:ascii="Arial" w:eastAsia="Arial" w:hAnsi="Arial" w:cs="Arial"/>
          <w:b/>
          <w:sz w:val="24"/>
          <w:szCs w:val="24"/>
        </w:rPr>
        <w:t>TEEA-</w:t>
      </w:r>
      <w:bookmarkEnd w:id="2"/>
      <w:r w:rsidR="00A15124" w:rsidRPr="00A15124">
        <w:rPr>
          <w:rFonts w:ascii="Arial" w:eastAsia="Arial" w:hAnsi="Arial" w:cs="Arial"/>
          <w:b/>
          <w:sz w:val="24"/>
          <w:szCs w:val="24"/>
        </w:rPr>
        <w:t>AG</w:t>
      </w:r>
      <w:r w:rsidR="0062118D" w:rsidRPr="00A15124">
        <w:rPr>
          <w:rFonts w:ascii="Arial" w:eastAsia="Arial" w:hAnsi="Arial" w:cs="Arial"/>
          <w:b/>
          <w:sz w:val="24"/>
          <w:szCs w:val="24"/>
        </w:rPr>
        <w:t>-00</w:t>
      </w:r>
      <w:r>
        <w:rPr>
          <w:rFonts w:ascii="Arial" w:eastAsia="Arial" w:hAnsi="Arial" w:cs="Arial"/>
          <w:b/>
          <w:sz w:val="24"/>
          <w:szCs w:val="24"/>
        </w:rPr>
        <w:t>7</w:t>
      </w:r>
      <w:r w:rsidR="0062118D" w:rsidRPr="00A15124">
        <w:rPr>
          <w:rFonts w:ascii="Arial" w:eastAsia="Arial" w:hAnsi="Arial" w:cs="Arial"/>
          <w:b/>
          <w:sz w:val="24"/>
          <w:szCs w:val="24"/>
        </w:rPr>
        <w:t xml:space="preserve">/2026 </w:t>
      </w:r>
      <w:r w:rsidR="0062118D" w:rsidRPr="00A15124">
        <w:rPr>
          <w:rFonts w:ascii="Arial" w:eastAsia="Arial" w:hAnsi="Arial" w:cs="Arial"/>
          <w:bCs/>
          <w:sz w:val="24"/>
          <w:szCs w:val="24"/>
        </w:rPr>
        <w:t xml:space="preserve">a la ponencia instructora a cargo </w:t>
      </w:r>
      <w:bookmarkEnd w:id="3"/>
      <w:r>
        <w:rPr>
          <w:rFonts w:ascii="Arial" w:eastAsia="Arial" w:hAnsi="Arial" w:cs="Arial"/>
          <w:sz w:val="24"/>
          <w:szCs w:val="24"/>
        </w:rPr>
        <w:t xml:space="preserve">de la magistrada Laura Hortensia Llamas Hernández. </w:t>
      </w:r>
    </w:p>
    <w:p w14:paraId="513B4C8D" w14:textId="17243069" w:rsidR="00AD3748" w:rsidRPr="00A15124" w:rsidRDefault="000E74DC" w:rsidP="00CA065B">
      <w:pPr>
        <w:spacing w:before="280" w:after="280" w:line="360" w:lineRule="auto"/>
        <w:jc w:val="both"/>
        <w:rPr>
          <w:rFonts w:ascii="Arial" w:eastAsia="Arial" w:hAnsi="Arial" w:cs="Arial"/>
          <w:sz w:val="24"/>
          <w:szCs w:val="24"/>
        </w:rPr>
      </w:pPr>
      <w:r w:rsidRPr="00A15124">
        <w:rPr>
          <w:rFonts w:ascii="Arial" w:eastAsia="Arial" w:hAnsi="Arial" w:cs="Arial"/>
          <w:b/>
          <w:sz w:val="24"/>
          <w:szCs w:val="24"/>
        </w:rPr>
        <w:lastRenderedPageBreak/>
        <w:t xml:space="preserve">NOTIFÍQUESE. </w:t>
      </w:r>
    </w:p>
    <w:p w14:paraId="4021CB73" w14:textId="4D84B832" w:rsidR="00860DD9" w:rsidRPr="00A15124" w:rsidRDefault="000E74DC" w:rsidP="00805C22">
      <w:pPr>
        <w:spacing w:after="280" w:line="360" w:lineRule="auto"/>
        <w:jc w:val="both"/>
        <w:rPr>
          <w:rFonts w:ascii="Arial" w:eastAsia="Arial" w:hAnsi="Arial" w:cs="Arial"/>
          <w:sz w:val="24"/>
          <w:szCs w:val="24"/>
        </w:rPr>
      </w:pPr>
      <w:r w:rsidRPr="00A15124">
        <w:rPr>
          <w:rFonts w:ascii="Arial" w:eastAsia="Arial" w:hAnsi="Arial" w:cs="Arial"/>
          <w:sz w:val="24"/>
          <w:szCs w:val="24"/>
        </w:rPr>
        <w:t xml:space="preserve">Así lo acordó y firma la </w:t>
      </w:r>
      <w:r w:rsidR="00396B39" w:rsidRPr="00A15124">
        <w:rPr>
          <w:rFonts w:ascii="Arial" w:eastAsia="Arial" w:hAnsi="Arial" w:cs="Arial"/>
          <w:sz w:val="24"/>
          <w:szCs w:val="24"/>
        </w:rPr>
        <w:t>m</w:t>
      </w:r>
      <w:r w:rsidRPr="00A15124">
        <w:rPr>
          <w:rFonts w:ascii="Arial" w:eastAsia="Arial" w:hAnsi="Arial" w:cs="Arial"/>
          <w:sz w:val="24"/>
          <w:szCs w:val="24"/>
        </w:rPr>
        <w:t xml:space="preserve">agistrada </w:t>
      </w:r>
      <w:r w:rsidR="00396B39" w:rsidRPr="00A15124">
        <w:rPr>
          <w:rFonts w:ascii="Arial" w:eastAsia="Arial" w:hAnsi="Arial" w:cs="Arial"/>
          <w:sz w:val="24"/>
          <w:szCs w:val="24"/>
        </w:rPr>
        <w:t>presidenta</w:t>
      </w:r>
      <w:r w:rsidRPr="00A15124">
        <w:rPr>
          <w:rFonts w:ascii="Arial" w:eastAsia="Arial" w:hAnsi="Arial" w:cs="Arial"/>
          <w:sz w:val="24"/>
          <w:szCs w:val="24"/>
        </w:rPr>
        <w:t xml:space="preserve"> de este Tribunal Electoral, Laura Hortensia Llamas Hernández, ante </w:t>
      </w:r>
      <w:r w:rsidR="00757EE5" w:rsidRPr="00A15124">
        <w:rPr>
          <w:rFonts w:ascii="Arial" w:eastAsia="Arial" w:hAnsi="Arial" w:cs="Arial"/>
          <w:sz w:val="24"/>
          <w:szCs w:val="24"/>
        </w:rPr>
        <w:t>la</w:t>
      </w:r>
      <w:r w:rsidRPr="00A15124">
        <w:rPr>
          <w:rFonts w:ascii="Arial" w:eastAsia="Arial" w:hAnsi="Arial" w:cs="Arial"/>
          <w:sz w:val="24"/>
          <w:szCs w:val="24"/>
        </w:rPr>
        <w:t xml:space="preserve"> </w:t>
      </w:r>
      <w:r w:rsidR="00396B39" w:rsidRPr="00A15124">
        <w:rPr>
          <w:rFonts w:ascii="Arial" w:eastAsia="Arial" w:hAnsi="Arial" w:cs="Arial"/>
          <w:sz w:val="24"/>
          <w:szCs w:val="24"/>
        </w:rPr>
        <w:t>secretaria general</w:t>
      </w:r>
      <w:r w:rsidRPr="00A15124">
        <w:rPr>
          <w:rFonts w:ascii="Arial" w:eastAsia="Arial" w:hAnsi="Arial" w:cs="Arial"/>
          <w:sz w:val="24"/>
          <w:szCs w:val="24"/>
        </w:rPr>
        <w:t xml:space="preserve"> de </w:t>
      </w:r>
      <w:r w:rsidR="00396B39" w:rsidRPr="00A15124">
        <w:rPr>
          <w:rFonts w:ascii="Arial" w:eastAsia="Arial" w:hAnsi="Arial" w:cs="Arial"/>
          <w:sz w:val="24"/>
          <w:szCs w:val="24"/>
        </w:rPr>
        <w:t>a</w:t>
      </w:r>
      <w:r w:rsidRPr="00A15124">
        <w:rPr>
          <w:rFonts w:ascii="Arial" w:eastAsia="Arial" w:hAnsi="Arial" w:cs="Arial"/>
          <w:sz w:val="24"/>
          <w:szCs w:val="24"/>
        </w:rPr>
        <w:t xml:space="preserve">cuerdos en funciones, </w:t>
      </w:r>
      <w:r w:rsidR="00BF5B29" w:rsidRPr="00A15124">
        <w:rPr>
          <w:rFonts w:ascii="Arial" w:eastAsia="Arial" w:hAnsi="Arial" w:cs="Arial"/>
          <w:sz w:val="24"/>
          <w:szCs w:val="24"/>
        </w:rPr>
        <w:t>quien</w:t>
      </w:r>
      <w:r w:rsidRPr="00A15124">
        <w:rPr>
          <w:rFonts w:ascii="Arial" w:eastAsia="Arial" w:hAnsi="Arial" w:cs="Arial"/>
          <w:sz w:val="24"/>
          <w:szCs w:val="24"/>
        </w:rPr>
        <w:t xml:space="preserve"> da fe.</w:t>
      </w:r>
      <w:r w:rsidR="00C86AC3" w:rsidRPr="00A15124">
        <w:rPr>
          <w:noProof/>
          <w:sz w:val="24"/>
          <w:szCs w:val="24"/>
        </w:rPr>
        <w:t xml:space="preserve"> </w:t>
      </w:r>
    </w:p>
    <w:tbl>
      <w:tblPr>
        <w:tblStyle w:val="TableNormal"/>
        <w:tblpPr w:leftFromText="141" w:rightFromText="141" w:vertAnchor="text" w:tblpXSpec="center" w:tblpY="808"/>
        <w:tblW w:w="8115" w:type="dxa"/>
        <w:tblInd w:w="0" w:type="dxa"/>
        <w:tblLayout w:type="fixed"/>
        <w:tblLook w:val="0400" w:firstRow="0" w:lastRow="0" w:firstColumn="0" w:lastColumn="0" w:noHBand="0" w:noVBand="1"/>
      </w:tblPr>
      <w:tblGrid>
        <w:gridCol w:w="3690"/>
        <w:gridCol w:w="4425"/>
      </w:tblGrid>
      <w:tr w:rsidR="001162DF" w:rsidRPr="00A15124" w14:paraId="36FA1FE0" w14:textId="77777777" w:rsidTr="00873DDB">
        <w:trPr>
          <w:trHeight w:val="422"/>
        </w:trPr>
        <w:tc>
          <w:tcPr>
            <w:tcW w:w="3690" w:type="dxa"/>
          </w:tcPr>
          <w:p w14:paraId="6BEBBB91" w14:textId="77777777" w:rsidR="001162DF" w:rsidRPr="00A15124" w:rsidRDefault="001162DF" w:rsidP="00873DDB">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sz w:val="24"/>
                <w:szCs w:val="24"/>
              </w:rPr>
            </w:pPr>
            <w:r w:rsidRPr="00A15124">
              <w:rPr>
                <w:rFonts w:ascii="Arial" w:eastAsia="Arial" w:hAnsi="Arial" w:cs="Arial"/>
                <w:b/>
                <w:color w:val="000000"/>
                <w:sz w:val="24"/>
                <w:szCs w:val="24"/>
              </w:rPr>
              <w:t>LAURA HORTENSIA</w:t>
            </w:r>
          </w:p>
          <w:p w14:paraId="4D87AC80" w14:textId="77777777" w:rsidR="001162DF" w:rsidRPr="00A15124" w:rsidRDefault="001162DF" w:rsidP="00873DDB">
            <w:pPr>
              <w:widowControl w:val="0"/>
              <w:pBdr>
                <w:top w:val="nil"/>
                <w:left w:val="nil"/>
                <w:bottom w:val="nil"/>
                <w:right w:val="nil"/>
                <w:between w:val="nil"/>
              </w:pBdr>
              <w:spacing w:after="0" w:line="240" w:lineRule="auto"/>
              <w:jc w:val="center"/>
              <w:rPr>
                <w:rFonts w:ascii="Arial" w:eastAsia="Arial" w:hAnsi="Arial" w:cs="Arial"/>
                <w:b/>
                <w:color w:val="000000"/>
                <w:sz w:val="24"/>
                <w:szCs w:val="24"/>
              </w:rPr>
            </w:pPr>
            <w:r w:rsidRPr="00A15124">
              <w:rPr>
                <w:rFonts w:ascii="Arial" w:eastAsia="Arial" w:hAnsi="Arial" w:cs="Arial"/>
                <w:b/>
                <w:color w:val="000000"/>
                <w:sz w:val="24"/>
                <w:szCs w:val="24"/>
              </w:rPr>
              <w:t>LLAMAS HERNÁNDEZ</w:t>
            </w:r>
          </w:p>
        </w:tc>
        <w:tc>
          <w:tcPr>
            <w:tcW w:w="4425" w:type="dxa"/>
          </w:tcPr>
          <w:p w14:paraId="68F18A08" w14:textId="77777777" w:rsidR="001162DF" w:rsidRPr="00A15124" w:rsidRDefault="001162DF" w:rsidP="00873DDB">
            <w:pPr>
              <w:widowControl w:val="0"/>
              <w:pBdr>
                <w:top w:val="nil"/>
                <w:left w:val="nil"/>
                <w:bottom w:val="nil"/>
                <w:right w:val="nil"/>
                <w:between w:val="nil"/>
              </w:pBdr>
              <w:tabs>
                <w:tab w:val="left" w:pos="1965"/>
              </w:tabs>
              <w:spacing w:after="0" w:line="240" w:lineRule="auto"/>
              <w:jc w:val="center"/>
              <w:rPr>
                <w:rFonts w:ascii="Arial" w:eastAsia="Arial" w:hAnsi="Arial" w:cs="Arial"/>
                <w:b/>
                <w:sz w:val="24"/>
                <w:szCs w:val="24"/>
              </w:rPr>
            </w:pPr>
            <w:r w:rsidRPr="00A15124">
              <w:rPr>
                <w:rFonts w:ascii="Arial" w:eastAsia="Arial" w:hAnsi="Arial" w:cs="Arial"/>
                <w:b/>
                <w:sz w:val="24"/>
                <w:szCs w:val="24"/>
              </w:rPr>
              <w:t>GUADALUPE JOCELYN</w:t>
            </w:r>
          </w:p>
          <w:p w14:paraId="15494574" w14:textId="77777777" w:rsidR="001162DF" w:rsidRPr="00A15124" w:rsidRDefault="001162DF" w:rsidP="00873DDB">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sz w:val="24"/>
                <w:szCs w:val="24"/>
              </w:rPr>
            </w:pPr>
            <w:r w:rsidRPr="00A15124">
              <w:rPr>
                <w:rFonts w:ascii="Arial" w:eastAsia="Arial" w:hAnsi="Arial" w:cs="Arial"/>
                <w:b/>
                <w:sz w:val="24"/>
                <w:szCs w:val="24"/>
              </w:rPr>
              <w:t>MARTÍNEZ TAVAREZ</w:t>
            </w:r>
          </w:p>
        </w:tc>
      </w:tr>
      <w:tr w:rsidR="001162DF" w:rsidRPr="00A15124" w14:paraId="60BE37B2" w14:textId="77777777" w:rsidTr="00873DDB">
        <w:trPr>
          <w:trHeight w:val="474"/>
        </w:trPr>
        <w:tc>
          <w:tcPr>
            <w:tcW w:w="3690" w:type="dxa"/>
          </w:tcPr>
          <w:p w14:paraId="34A598B6" w14:textId="77777777" w:rsidR="001162DF" w:rsidRPr="00A15124" w:rsidRDefault="001162DF" w:rsidP="00873DDB">
            <w:pPr>
              <w:widowControl w:val="0"/>
              <w:pBdr>
                <w:top w:val="nil"/>
                <w:left w:val="nil"/>
                <w:bottom w:val="nil"/>
                <w:right w:val="nil"/>
                <w:between w:val="nil"/>
              </w:pBdr>
              <w:spacing w:after="0" w:line="240" w:lineRule="auto"/>
              <w:jc w:val="center"/>
              <w:rPr>
                <w:rFonts w:ascii="Arial" w:eastAsia="Arial" w:hAnsi="Arial" w:cs="Arial"/>
                <w:bCs/>
                <w:color w:val="000000"/>
                <w:sz w:val="24"/>
                <w:szCs w:val="24"/>
              </w:rPr>
            </w:pPr>
            <w:r w:rsidRPr="00A15124">
              <w:rPr>
                <w:rFonts w:ascii="Arial" w:eastAsia="Arial" w:hAnsi="Arial" w:cs="Arial"/>
                <w:bCs/>
                <w:color w:val="000000"/>
                <w:sz w:val="24"/>
                <w:szCs w:val="24"/>
              </w:rPr>
              <w:t>MAGISTRADA PRESIDENTA</w:t>
            </w:r>
          </w:p>
          <w:p w14:paraId="4FE04AC5" w14:textId="77777777" w:rsidR="001162DF" w:rsidRPr="00A15124" w:rsidRDefault="001162DF" w:rsidP="00873DDB">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sz w:val="24"/>
                <w:szCs w:val="24"/>
              </w:rPr>
            </w:pPr>
          </w:p>
        </w:tc>
        <w:tc>
          <w:tcPr>
            <w:tcW w:w="4425" w:type="dxa"/>
          </w:tcPr>
          <w:p w14:paraId="6AA13A6F" w14:textId="77777777" w:rsidR="001162DF" w:rsidRPr="00A15124" w:rsidRDefault="001162DF" w:rsidP="00873DDB">
            <w:pPr>
              <w:widowControl w:val="0"/>
              <w:pBdr>
                <w:top w:val="nil"/>
                <w:left w:val="nil"/>
                <w:bottom w:val="nil"/>
                <w:right w:val="nil"/>
                <w:between w:val="nil"/>
              </w:pBdr>
              <w:tabs>
                <w:tab w:val="left" w:pos="1965"/>
              </w:tabs>
              <w:spacing w:after="0" w:line="240" w:lineRule="auto"/>
              <w:jc w:val="center"/>
              <w:rPr>
                <w:rFonts w:ascii="Arial" w:eastAsia="Arial" w:hAnsi="Arial" w:cs="Arial"/>
                <w:bCs/>
                <w:color w:val="000000"/>
                <w:sz w:val="24"/>
                <w:szCs w:val="24"/>
              </w:rPr>
            </w:pPr>
            <w:r w:rsidRPr="00A15124">
              <w:rPr>
                <w:rFonts w:ascii="Arial" w:eastAsia="Arial" w:hAnsi="Arial" w:cs="Arial"/>
                <w:bCs/>
                <w:color w:val="000000"/>
                <w:sz w:val="24"/>
                <w:szCs w:val="24"/>
              </w:rPr>
              <w:t xml:space="preserve">SECRETARIA GENERAL </w:t>
            </w:r>
          </w:p>
          <w:p w14:paraId="464BB07B" w14:textId="77777777" w:rsidR="001162DF" w:rsidRPr="00A15124" w:rsidRDefault="001162DF" w:rsidP="00873DDB">
            <w:pPr>
              <w:widowControl w:val="0"/>
              <w:pBdr>
                <w:top w:val="nil"/>
                <w:left w:val="nil"/>
                <w:bottom w:val="nil"/>
                <w:right w:val="nil"/>
                <w:between w:val="nil"/>
              </w:pBdr>
              <w:tabs>
                <w:tab w:val="left" w:pos="1965"/>
              </w:tabs>
              <w:spacing w:after="0" w:line="240" w:lineRule="auto"/>
              <w:jc w:val="center"/>
              <w:rPr>
                <w:rFonts w:ascii="Arial" w:eastAsia="Arial" w:hAnsi="Arial" w:cs="Arial"/>
                <w:bCs/>
                <w:color w:val="000000"/>
                <w:sz w:val="24"/>
                <w:szCs w:val="24"/>
              </w:rPr>
            </w:pPr>
            <w:r w:rsidRPr="00A15124">
              <w:rPr>
                <w:rFonts w:ascii="Arial" w:eastAsia="Arial" w:hAnsi="Arial" w:cs="Arial"/>
                <w:bCs/>
                <w:color w:val="000000"/>
                <w:sz w:val="24"/>
                <w:szCs w:val="24"/>
              </w:rPr>
              <w:t xml:space="preserve">DE ACUERDOS EN FUNCIONES </w:t>
            </w:r>
          </w:p>
        </w:tc>
      </w:tr>
    </w:tbl>
    <w:p w14:paraId="5EF81001" w14:textId="0487AE45" w:rsidR="005828B2" w:rsidRPr="00A15124" w:rsidRDefault="005828B2" w:rsidP="00873DDB">
      <w:pPr>
        <w:spacing w:before="280" w:after="280" w:line="360" w:lineRule="auto"/>
        <w:jc w:val="both"/>
        <w:rPr>
          <w:rFonts w:ascii="Arial" w:eastAsia="Arial" w:hAnsi="Arial" w:cs="Arial"/>
          <w:b/>
          <w:sz w:val="24"/>
          <w:szCs w:val="24"/>
        </w:rPr>
      </w:pPr>
    </w:p>
    <w:sectPr w:rsidR="005828B2" w:rsidRPr="00A15124" w:rsidSect="001A0227">
      <w:headerReference w:type="even" r:id="rId9"/>
      <w:headerReference w:type="default" r:id="rId10"/>
      <w:footerReference w:type="default" r:id="rId11"/>
      <w:pgSz w:w="12240" w:h="20160"/>
      <w:pgMar w:top="2694" w:right="1701" w:bottom="1276" w:left="1701" w:header="709" w:footer="113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9C9286" w14:textId="77777777" w:rsidR="009C2C8A" w:rsidRDefault="009C2C8A">
      <w:pPr>
        <w:spacing w:after="0" w:line="240" w:lineRule="auto"/>
      </w:pPr>
      <w:r>
        <w:separator/>
      </w:r>
    </w:p>
  </w:endnote>
  <w:endnote w:type="continuationSeparator" w:id="0">
    <w:p w14:paraId="3085BF1A" w14:textId="77777777" w:rsidR="009C2C8A" w:rsidRDefault="009C2C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4D8B85F6-2B50-4A0E-B9DC-5CA9D028A88C}"/>
    <w:embedBold r:id="rId2" w:fontKey="{67746B1A-954A-4586-8992-49E377F8FB8F}"/>
    <w:embedItalic r:id="rId3" w:fontKey="{D64F7675-09F7-436D-864A-47E14F38754B}"/>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4" w:fontKey="{49C22A8A-B9C5-42E7-AF28-6BD594B5825A}"/>
  </w:font>
  <w:font w:name="Georgia">
    <w:panose1 w:val="02040502050405020303"/>
    <w:charset w:val="00"/>
    <w:family w:val="roman"/>
    <w:pitch w:val="variable"/>
    <w:sig w:usb0="00000287" w:usb1="00000000" w:usb2="00000000" w:usb3="00000000" w:csb0="0000009F" w:csb1="00000000"/>
    <w:embedRegular r:id="rId5" w:fontKey="{1FE2331D-98BC-4576-A178-AE5BCE9D9E6B}"/>
    <w:embedItalic r:id="rId6" w:fontKey="{864C9B27-3B31-47C2-A340-1D1CDCD4D28F}"/>
  </w:font>
  <w:font w:name="Calibri Light">
    <w:panose1 w:val="020F0302020204030204"/>
    <w:charset w:val="00"/>
    <w:family w:val="swiss"/>
    <w:pitch w:val="variable"/>
    <w:sig w:usb0="E4002EFF" w:usb1="C000247B" w:usb2="00000009" w:usb3="00000000" w:csb0="000001FF" w:csb1="00000000"/>
    <w:embedRegular r:id="rId7" w:fontKey="{E220407E-65D4-48E9-B6EC-9E01BBDFB59E}"/>
  </w:font>
  <w:font w:name="Century Gothic">
    <w:panose1 w:val="020B0502020202020204"/>
    <w:charset w:val="00"/>
    <w:family w:val="swiss"/>
    <w:pitch w:val="variable"/>
    <w:sig w:usb0="00000287" w:usb1="00000000" w:usb2="00000000" w:usb3="00000000" w:csb0="0000009F" w:csb1="00000000"/>
    <w:embedRegular r:id="rId8" w:fontKey="{987BCB2A-444A-4D78-8E77-2AA82180A8A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92254" w14:textId="77777777" w:rsidR="005828B2" w:rsidRDefault="005828B2">
    <w:pPr>
      <w:pBdr>
        <w:top w:val="nil"/>
        <w:left w:val="nil"/>
        <w:bottom w:val="nil"/>
        <w:right w:val="nil"/>
        <w:between w:val="nil"/>
      </w:pBdr>
      <w:tabs>
        <w:tab w:val="center" w:pos="4419"/>
        <w:tab w:val="right" w:pos="8838"/>
      </w:tabs>
      <w:spacing w:after="0" w:line="240" w:lineRule="auto"/>
      <w:jc w:val="right"/>
      <w:rPr>
        <w:rFonts w:cs="Calibri"/>
        <w:color w:val="000000"/>
      </w:rPr>
    </w:pPr>
  </w:p>
  <w:p w14:paraId="1E6693A9" w14:textId="77777777" w:rsidR="005828B2" w:rsidRDefault="005828B2">
    <w:pPr>
      <w:pBdr>
        <w:top w:val="nil"/>
        <w:left w:val="nil"/>
        <w:bottom w:val="nil"/>
        <w:right w:val="nil"/>
        <w:between w:val="nil"/>
      </w:pBdr>
      <w:tabs>
        <w:tab w:val="center" w:pos="4419"/>
        <w:tab w:val="right" w:pos="8838"/>
      </w:tabs>
      <w:spacing w:after="0" w:line="240" w:lineRule="auto"/>
      <w:rPr>
        <w:rFonts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59600" w14:textId="77777777" w:rsidR="009C2C8A" w:rsidRDefault="009C2C8A">
      <w:pPr>
        <w:spacing w:after="0" w:line="240" w:lineRule="auto"/>
      </w:pPr>
      <w:r>
        <w:separator/>
      </w:r>
    </w:p>
  </w:footnote>
  <w:footnote w:type="continuationSeparator" w:id="0">
    <w:p w14:paraId="687EF5A5" w14:textId="77777777" w:rsidR="009C2C8A" w:rsidRDefault="009C2C8A">
      <w:pPr>
        <w:spacing w:after="0" w:line="240" w:lineRule="auto"/>
      </w:pPr>
      <w:r>
        <w:continuationSeparator/>
      </w:r>
    </w:p>
  </w:footnote>
  <w:footnote w:id="1">
    <w:p w14:paraId="4200D1AA" w14:textId="64FCCD38" w:rsidR="004304DC" w:rsidRDefault="004304DC" w:rsidP="004304DC">
      <w:pPr>
        <w:pStyle w:val="Textonotapie"/>
      </w:pPr>
      <w:r>
        <w:rPr>
          <w:rStyle w:val="Refdenotaalpie"/>
        </w:rPr>
        <w:footnoteRef/>
      </w:r>
      <w:r>
        <w:t xml:space="preserve"> </w:t>
      </w:r>
      <w:r w:rsidRPr="00396B39">
        <w:rPr>
          <w:rFonts w:ascii="Arial" w:hAnsi="Arial" w:cs="Arial"/>
        </w:rPr>
        <w:t xml:space="preserve">En </w:t>
      </w:r>
      <w:r w:rsidR="00140D7B">
        <w:rPr>
          <w:rFonts w:ascii="Arial" w:hAnsi="Arial" w:cs="Arial"/>
        </w:rPr>
        <w:t>a</w:t>
      </w:r>
      <w:r w:rsidRPr="00396B39">
        <w:rPr>
          <w:rFonts w:ascii="Arial" w:hAnsi="Arial" w:cs="Arial"/>
        </w:rPr>
        <w:t>delante Código Electoral.</w:t>
      </w:r>
    </w:p>
  </w:footnote>
  <w:footnote w:id="2">
    <w:p w14:paraId="34782E04" w14:textId="5159C079" w:rsidR="004304DC" w:rsidRDefault="004304DC" w:rsidP="004304DC">
      <w:pPr>
        <w:pStyle w:val="Textonotapie"/>
      </w:pPr>
      <w:r>
        <w:rPr>
          <w:rStyle w:val="Refdenotaalpie"/>
        </w:rPr>
        <w:footnoteRef/>
      </w:r>
      <w:r>
        <w:t xml:space="preserve"> </w:t>
      </w:r>
      <w:r w:rsidRPr="00396B39">
        <w:rPr>
          <w:rFonts w:ascii="Arial" w:hAnsi="Arial" w:cs="Arial"/>
        </w:rPr>
        <w:t xml:space="preserve">En </w:t>
      </w:r>
      <w:r w:rsidR="00140D7B">
        <w:rPr>
          <w:rFonts w:ascii="Arial" w:hAnsi="Arial" w:cs="Arial"/>
        </w:rPr>
        <w:t>a</w:t>
      </w:r>
      <w:r w:rsidRPr="00396B39">
        <w:rPr>
          <w:rFonts w:ascii="Arial" w:hAnsi="Arial" w:cs="Arial"/>
        </w:rPr>
        <w:t>delante Reglamento Interior.</w:t>
      </w:r>
    </w:p>
  </w:footnote>
  <w:footnote w:id="3">
    <w:p w14:paraId="018A1F55" w14:textId="7B39C7B5" w:rsidR="004304DC" w:rsidRDefault="004304DC" w:rsidP="004304DC">
      <w:pPr>
        <w:pStyle w:val="Textonotapie"/>
      </w:pPr>
      <w:r>
        <w:rPr>
          <w:rStyle w:val="Refdenotaalpie"/>
        </w:rPr>
        <w:footnoteRef/>
      </w:r>
      <w:r>
        <w:t xml:space="preserve"> </w:t>
      </w:r>
      <w:r w:rsidRPr="00396B39">
        <w:rPr>
          <w:rFonts w:ascii="Arial" w:hAnsi="Arial" w:cs="Arial"/>
        </w:rPr>
        <w:t xml:space="preserve">En </w:t>
      </w:r>
      <w:r w:rsidR="00140D7B">
        <w:rPr>
          <w:rFonts w:ascii="Arial" w:hAnsi="Arial" w:cs="Arial"/>
        </w:rPr>
        <w:t>a</w:t>
      </w:r>
      <w:r w:rsidRPr="00396B39">
        <w:rPr>
          <w:rFonts w:ascii="Arial" w:hAnsi="Arial" w:cs="Arial"/>
        </w:rPr>
        <w:t xml:space="preserve">delante </w:t>
      </w:r>
      <w:r w:rsidR="00873DDB">
        <w:rPr>
          <w:rFonts w:ascii="Arial" w:hAnsi="Arial" w:cs="Arial"/>
        </w:rPr>
        <w:t>Lineamientos</w:t>
      </w:r>
      <w:r w:rsidRPr="00396B39">
        <w:rPr>
          <w:rFonts w:ascii="Arial" w:hAnsi="Arial" w:cs="Arial"/>
        </w:rPr>
        <w:t xml:space="preserve"> para el turno.</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C2FB3" w14:textId="4A0FC2A8" w:rsidR="005828B2" w:rsidRDefault="00153602">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23"/>
        <w:szCs w:val="23"/>
      </w:rPr>
    </w:pPr>
    <w:sdt>
      <w:sdtPr>
        <w:rPr>
          <w:rFonts w:ascii="Arial" w:eastAsia="Arial" w:hAnsi="Arial" w:cs="Arial"/>
          <w:color w:val="000000"/>
          <w:sz w:val="23"/>
          <w:szCs w:val="23"/>
        </w:rPr>
        <w:id w:val="-1286191812"/>
        <w:docPartObj>
          <w:docPartGallery w:val="Page Numbers (Margins)"/>
          <w:docPartUnique/>
        </w:docPartObj>
      </w:sdtPr>
      <w:sdtEndPr/>
      <w:sdtContent>
        <w:r w:rsidR="00873DDB" w:rsidRPr="00873DDB">
          <w:rPr>
            <w:rFonts w:ascii="Arial" w:eastAsia="Arial" w:hAnsi="Arial" w:cs="Arial"/>
            <w:noProof/>
            <w:color w:val="000000"/>
            <w:sz w:val="23"/>
            <w:szCs w:val="23"/>
          </w:rPr>
          <mc:AlternateContent>
            <mc:Choice Requires="wps">
              <w:drawing>
                <wp:anchor distT="0" distB="0" distL="114300" distR="114300" simplePos="0" relativeHeight="251665408" behindDoc="0" locked="0" layoutInCell="0" allowOverlap="1" wp14:anchorId="5332A529" wp14:editId="3A3018D8">
                  <wp:simplePos x="0" y="0"/>
                  <wp:positionH relativeFrom="rightMargin">
                    <wp:align>center</wp:align>
                  </wp:positionH>
                  <wp:positionV relativeFrom="page">
                    <wp:align>center</wp:align>
                  </wp:positionV>
                  <wp:extent cx="762000" cy="895350"/>
                  <wp:effectExtent l="0" t="0" r="0" b="0"/>
                  <wp:wrapNone/>
                  <wp:docPr id="2060590955"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309857835"/>
                                <w:docPartObj>
                                  <w:docPartGallery w:val="Page Numbers (Margins)"/>
                                  <w:docPartUnique/>
                                </w:docPartObj>
                              </w:sdtPr>
                              <w:sdtEndPr/>
                              <w:sdtContent>
                                <w:p w14:paraId="2984DBA4" w14:textId="77777777" w:rsidR="00873DDB" w:rsidRDefault="00873DDB">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32A529" id="Rectángulo 2" o:spid="_x0000_s1026" style="position:absolute;margin-left:0;margin-top:0;width:60pt;height:70.5pt;z-index:25166540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309857835"/>
                          <w:docPartObj>
                            <w:docPartGallery w:val="Page Numbers (Margins)"/>
                            <w:docPartUnique/>
                          </w:docPartObj>
                        </w:sdtPr>
                        <w:sdtEndPr/>
                        <w:sdtContent>
                          <w:p w14:paraId="2984DBA4" w14:textId="77777777" w:rsidR="00873DDB" w:rsidRDefault="00873DDB">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511B21">
      <w:rPr>
        <w:noProof/>
      </w:rPr>
      <w:drawing>
        <wp:anchor distT="0" distB="0" distL="0" distR="0" simplePos="0" relativeHeight="251661312" behindDoc="1" locked="0" layoutInCell="1" hidden="0" allowOverlap="1" wp14:anchorId="507EA7EF" wp14:editId="629002E1">
          <wp:simplePos x="0" y="0"/>
          <wp:positionH relativeFrom="column">
            <wp:posOffset>-41910</wp:posOffset>
          </wp:positionH>
          <wp:positionV relativeFrom="paragraph">
            <wp:posOffset>26035</wp:posOffset>
          </wp:positionV>
          <wp:extent cx="1085850" cy="1152525"/>
          <wp:effectExtent l="0" t="0" r="0" b="9525"/>
          <wp:wrapNone/>
          <wp:docPr id="182903958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5444" t="5757" r="14414" b="12913"/>
                  <a:stretch>
                    <a:fillRect/>
                  </a:stretch>
                </pic:blipFill>
                <pic:spPr>
                  <a:xfrm>
                    <a:off x="0" y="0"/>
                    <a:ext cx="1086104" cy="1152795"/>
                  </a:xfrm>
                  <a:prstGeom prst="rect">
                    <a:avLst/>
                  </a:prstGeom>
                  <a:ln/>
                </pic:spPr>
              </pic:pic>
            </a:graphicData>
          </a:graphic>
          <wp14:sizeRelH relativeFrom="margin">
            <wp14:pctWidth>0</wp14:pctWidth>
          </wp14:sizeRelH>
          <wp14:sizeRelV relativeFrom="margin">
            <wp14:pctHeight>0</wp14:pctHeight>
          </wp14:sizeRelV>
        </wp:anchor>
      </w:drawing>
    </w:r>
    <w:r w:rsidR="000E74DC">
      <w:rPr>
        <w:rFonts w:ascii="Arial" w:eastAsia="Arial" w:hAnsi="Arial" w:cs="Arial"/>
        <w:color w:val="000000"/>
        <w:sz w:val="23"/>
        <w:szCs w:val="23"/>
      </w:rPr>
      <w:tab/>
    </w:r>
    <w:r w:rsidR="000E74DC">
      <w:rPr>
        <w:rFonts w:ascii="Arial" w:eastAsia="Arial" w:hAnsi="Arial" w:cs="Arial"/>
        <w:color w:val="000000"/>
        <w:sz w:val="23"/>
        <w:szCs w:val="23"/>
      </w:rPr>
      <w:tab/>
    </w:r>
  </w:p>
  <w:p w14:paraId="2E614E10" w14:textId="77777777" w:rsidR="008702F5" w:rsidRDefault="008702F5" w:rsidP="008702F5">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35FF8E4F" w14:textId="5188AEB9" w:rsidR="00B43B9E" w:rsidRDefault="008702F5" w:rsidP="00B43B9E">
    <w:pPr>
      <w:pBdr>
        <w:top w:val="nil"/>
        <w:left w:val="nil"/>
        <w:bottom w:val="nil"/>
        <w:right w:val="nil"/>
        <w:between w:val="nil"/>
      </w:pBdr>
      <w:tabs>
        <w:tab w:val="left" w:pos="4111"/>
        <w:tab w:val="left" w:pos="4678"/>
        <w:tab w:val="right" w:pos="8505"/>
      </w:tabs>
      <w:spacing w:after="0" w:line="240" w:lineRule="auto"/>
      <w:ind w:left="3969" w:right="49" w:hanging="3544"/>
      <w:jc w:val="both"/>
      <w:rPr>
        <w:rFonts w:ascii="Arial" w:eastAsia="Arial" w:hAnsi="Arial" w:cs="Arial"/>
        <w:b/>
        <w:color w:val="000000"/>
      </w:rPr>
    </w:pPr>
    <w:r>
      <w:rPr>
        <w:rFonts w:ascii="Arial" w:eastAsia="Arial" w:hAnsi="Arial" w:cs="Arial"/>
        <w:color w:val="000000"/>
      </w:rPr>
      <w:t xml:space="preserve">                                                          </w:t>
    </w:r>
    <w:r w:rsidR="00B43B9E">
      <w:rPr>
        <w:rFonts w:ascii="Arial" w:eastAsia="Arial" w:hAnsi="Arial" w:cs="Arial"/>
        <w:b/>
        <w:color w:val="000000"/>
      </w:rPr>
      <w:t xml:space="preserve">ACUERDO DE RECEPCIÓN DE CONSTANCIAS, TURNO Y REMISIÓN DEL EXPEDIENTE. </w:t>
    </w:r>
  </w:p>
  <w:p w14:paraId="5F4B453F" w14:textId="28032ECA" w:rsidR="008702F5" w:rsidRDefault="008702F5" w:rsidP="0062118D">
    <w:pPr>
      <w:pBdr>
        <w:top w:val="nil"/>
        <w:left w:val="nil"/>
        <w:bottom w:val="nil"/>
        <w:right w:val="nil"/>
        <w:between w:val="nil"/>
      </w:pBdr>
      <w:tabs>
        <w:tab w:val="center" w:pos="4419"/>
        <w:tab w:val="right" w:pos="8505"/>
      </w:tabs>
      <w:spacing w:after="0" w:line="240" w:lineRule="auto"/>
      <w:ind w:left="2694" w:right="191" w:hanging="3544"/>
      <w:jc w:val="both"/>
      <w:rPr>
        <w:rFonts w:cs="Calibri"/>
        <w:b/>
        <w:color w:val="000000"/>
      </w:rPr>
    </w:pPr>
  </w:p>
  <w:p w14:paraId="5737D4EF" w14:textId="77777777" w:rsidR="008702F5" w:rsidRDefault="008702F5" w:rsidP="008702F5">
    <w:pPr>
      <w:pStyle w:val="Sinespaciado"/>
      <w:rPr>
        <w:sz w:val="12"/>
        <w:szCs w:val="12"/>
      </w:rPr>
    </w:pPr>
  </w:p>
  <w:p w14:paraId="33D3711B" w14:textId="77777777" w:rsidR="00B43B9E" w:rsidRDefault="00B43B9E" w:rsidP="008702F5">
    <w:pPr>
      <w:pStyle w:val="Sinespaciado"/>
      <w:rPr>
        <w:sz w:val="12"/>
        <w:szCs w:val="12"/>
      </w:rPr>
    </w:pPr>
  </w:p>
  <w:p w14:paraId="0898AB71" w14:textId="77777777" w:rsidR="00B43B9E" w:rsidRPr="008702F5" w:rsidRDefault="00B43B9E" w:rsidP="008702F5">
    <w:pPr>
      <w:pStyle w:val="Sinespaciado"/>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06ABB" w14:textId="3EEBF01E" w:rsidR="005828B2" w:rsidRDefault="00511B21">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r>
      <w:rPr>
        <w:noProof/>
      </w:rPr>
      <w:drawing>
        <wp:anchor distT="0" distB="0" distL="0" distR="0" simplePos="0" relativeHeight="251659264" behindDoc="1" locked="0" layoutInCell="1" hidden="0" allowOverlap="1" wp14:anchorId="469DC201" wp14:editId="5242CB04">
          <wp:simplePos x="0" y="0"/>
          <wp:positionH relativeFrom="column">
            <wp:posOffset>-137160</wp:posOffset>
          </wp:positionH>
          <wp:positionV relativeFrom="paragraph">
            <wp:posOffset>-50165</wp:posOffset>
          </wp:positionV>
          <wp:extent cx="1085850" cy="1171575"/>
          <wp:effectExtent l="0" t="0" r="0" b="9525"/>
          <wp:wrapNone/>
          <wp:docPr id="31247789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5444" t="5757" r="14414" b="12913"/>
                  <a:stretch>
                    <a:fillRect/>
                  </a:stretch>
                </pic:blipFill>
                <pic:spPr>
                  <a:xfrm>
                    <a:off x="0" y="0"/>
                    <a:ext cx="1085850" cy="1171575"/>
                  </a:xfrm>
                  <a:prstGeom prst="rect">
                    <a:avLst/>
                  </a:prstGeom>
                  <a:ln/>
                </pic:spPr>
              </pic:pic>
            </a:graphicData>
          </a:graphic>
          <wp14:sizeRelH relativeFrom="margin">
            <wp14:pctWidth>0</wp14:pctWidth>
          </wp14:sizeRelH>
          <wp14:sizeRelV relativeFrom="margin">
            <wp14:pctHeight>0</wp14:pctHeight>
          </wp14:sizeRelV>
        </wp:anchor>
      </w:drawing>
    </w:r>
    <w:sdt>
      <w:sdtPr>
        <w:rPr>
          <w:rFonts w:ascii="Century Gothic" w:eastAsia="Century Gothic" w:hAnsi="Century Gothic" w:cs="Century Gothic"/>
          <w:color w:val="000000"/>
        </w:rPr>
        <w:id w:val="1314758931"/>
        <w:docPartObj>
          <w:docPartGallery w:val="Page Numbers (Margins)"/>
          <w:docPartUnique/>
        </w:docPartObj>
      </w:sdtPr>
      <w:sdtEndPr/>
      <w:sdtContent>
        <w:r w:rsidR="007B6C7C" w:rsidRPr="007B6C7C">
          <w:rPr>
            <w:rFonts w:ascii="Century Gothic" w:eastAsia="Century Gothic" w:hAnsi="Century Gothic" w:cs="Century Gothic"/>
            <w:noProof/>
            <w:color w:val="000000"/>
          </w:rPr>
          <mc:AlternateContent>
            <mc:Choice Requires="wps">
              <w:drawing>
                <wp:anchor distT="0" distB="0" distL="114300" distR="114300" simplePos="0" relativeHeight="251663360" behindDoc="0" locked="0" layoutInCell="0" allowOverlap="1" wp14:anchorId="13D0BD1D" wp14:editId="2A3707C5">
                  <wp:simplePos x="0" y="0"/>
                  <wp:positionH relativeFrom="rightMargin">
                    <wp:align>center</wp:align>
                  </wp:positionH>
                  <wp:positionV relativeFrom="page">
                    <wp:align>center</wp:align>
                  </wp:positionV>
                  <wp:extent cx="762000" cy="895350"/>
                  <wp:effectExtent l="0" t="0" r="0" b="0"/>
                  <wp:wrapNone/>
                  <wp:docPr id="1337756698"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9F3C771" w14:textId="77777777" w:rsidR="007B6C7C" w:rsidRDefault="007B6C7C">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D0BD1D" id="Rectángulo 3" o:spid="_x0000_s1027" style="position:absolute;margin-left:0;margin-top:0;width:60pt;height:70.5pt;z-index:251663360;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xO07wEAAMY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9F3C771" w14:textId="77777777" w:rsidR="007B6C7C" w:rsidRDefault="007B6C7C">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
  <w:p w14:paraId="2C685BA7" w14:textId="77777777" w:rsidR="00B43B9E" w:rsidRDefault="00B43B9E">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3A9B49CC" w14:textId="1FB6662D" w:rsidR="005828B2" w:rsidRDefault="000E74DC" w:rsidP="00B43B9E">
    <w:pPr>
      <w:pBdr>
        <w:top w:val="nil"/>
        <w:left w:val="nil"/>
        <w:bottom w:val="nil"/>
        <w:right w:val="nil"/>
        <w:between w:val="nil"/>
      </w:pBdr>
      <w:tabs>
        <w:tab w:val="left" w:pos="4111"/>
        <w:tab w:val="center" w:pos="4419"/>
        <w:tab w:val="right" w:pos="8505"/>
      </w:tabs>
      <w:spacing w:after="0" w:line="240" w:lineRule="auto"/>
      <w:ind w:left="3969" w:right="49" w:hanging="3828"/>
      <w:jc w:val="both"/>
      <w:rPr>
        <w:rFonts w:ascii="Arial" w:eastAsia="Arial" w:hAnsi="Arial" w:cs="Arial"/>
        <w:b/>
        <w:color w:val="000000"/>
      </w:rPr>
    </w:pPr>
    <w:r>
      <w:rPr>
        <w:rFonts w:ascii="Arial" w:eastAsia="Arial" w:hAnsi="Arial" w:cs="Arial"/>
        <w:color w:val="000000"/>
      </w:rPr>
      <w:t xml:space="preserve">                                                        </w:t>
    </w:r>
    <w:r w:rsidR="00C6541D">
      <w:rPr>
        <w:rFonts w:ascii="Arial" w:eastAsia="Arial" w:hAnsi="Arial" w:cs="Arial"/>
        <w:color w:val="000000"/>
      </w:rPr>
      <w:t xml:space="preserve">    </w:t>
    </w:r>
    <w:r>
      <w:rPr>
        <w:rFonts w:ascii="Arial" w:eastAsia="Arial" w:hAnsi="Arial" w:cs="Arial"/>
        <w:color w:val="000000"/>
      </w:rPr>
      <w:t xml:space="preserve"> </w:t>
    </w:r>
    <w:r w:rsidR="001162DF">
      <w:rPr>
        <w:rFonts w:ascii="Arial" w:eastAsia="Arial" w:hAnsi="Arial" w:cs="Arial"/>
        <w:color w:val="000000"/>
      </w:rPr>
      <w:t xml:space="preserve"> </w:t>
    </w:r>
    <w:r>
      <w:rPr>
        <w:rFonts w:ascii="Arial" w:eastAsia="Arial" w:hAnsi="Arial" w:cs="Arial"/>
        <w:color w:val="000000"/>
      </w:rPr>
      <w:t xml:space="preserve"> </w:t>
    </w:r>
    <w:bookmarkStart w:id="4" w:name="_Hlk231287843"/>
    <w:bookmarkStart w:id="5" w:name="_Hlk231287844"/>
    <w:bookmarkStart w:id="6" w:name="_Hlk231288287"/>
    <w:bookmarkStart w:id="7" w:name="_Hlk231288288"/>
    <w:bookmarkStart w:id="8" w:name="_Hlk232604301"/>
    <w:r>
      <w:rPr>
        <w:rFonts w:ascii="Arial" w:eastAsia="Arial" w:hAnsi="Arial" w:cs="Arial"/>
        <w:b/>
        <w:color w:val="000000"/>
      </w:rPr>
      <w:t xml:space="preserve">ACUERDO DE </w:t>
    </w:r>
    <w:bookmarkEnd w:id="4"/>
    <w:bookmarkEnd w:id="5"/>
    <w:bookmarkEnd w:id="6"/>
    <w:bookmarkEnd w:id="7"/>
    <w:r w:rsidR="001162DF">
      <w:rPr>
        <w:rFonts w:ascii="Arial" w:eastAsia="Arial" w:hAnsi="Arial" w:cs="Arial"/>
        <w:b/>
        <w:color w:val="000000"/>
      </w:rPr>
      <w:t xml:space="preserve">RECEPCIÓN DE CONSTANCIAS, </w:t>
    </w:r>
    <w:r w:rsidR="00CB1FCD">
      <w:rPr>
        <w:rFonts w:ascii="Arial" w:eastAsia="Arial" w:hAnsi="Arial" w:cs="Arial"/>
        <w:b/>
        <w:color w:val="000000"/>
      </w:rPr>
      <w:t xml:space="preserve">TURNO Y </w:t>
    </w:r>
    <w:r w:rsidR="0062118D">
      <w:rPr>
        <w:rFonts w:ascii="Arial" w:eastAsia="Arial" w:hAnsi="Arial" w:cs="Arial"/>
        <w:b/>
        <w:color w:val="000000"/>
      </w:rPr>
      <w:t xml:space="preserve">REMISIÓN DEL EXPEDIENTE. </w:t>
    </w:r>
    <w:bookmarkEnd w:id="8"/>
  </w:p>
  <w:p w14:paraId="7146B905" w14:textId="77777777" w:rsidR="0062118D" w:rsidRDefault="0062118D" w:rsidP="00C6541D">
    <w:pPr>
      <w:pBdr>
        <w:top w:val="nil"/>
        <w:left w:val="nil"/>
        <w:bottom w:val="nil"/>
        <w:right w:val="nil"/>
        <w:between w:val="nil"/>
      </w:pBdr>
      <w:tabs>
        <w:tab w:val="left" w:pos="4111"/>
        <w:tab w:val="center" w:pos="4419"/>
        <w:tab w:val="right" w:pos="8505"/>
      </w:tabs>
      <w:spacing w:after="0" w:line="240" w:lineRule="auto"/>
      <w:ind w:left="3969" w:right="191" w:hanging="3828"/>
      <w:jc w:val="both"/>
      <w:rPr>
        <w:rFonts w:ascii="Arial" w:eastAsia="Arial" w:hAnsi="Arial" w:cs="Arial"/>
        <w:b/>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69316D"/>
    <w:multiLevelType w:val="hybridMultilevel"/>
    <w:tmpl w:val="2710E426"/>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54817C1"/>
    <w:multiLevelType w:val="hybridMultilevel"/>
    <w:tmpl w:val="3DBCB4E0"/>
    <w:lvl w:ilvl="0" w:tplc="A6EE87C0">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38ED17E1"/>
    <w:multiLevelType w:val="hybridMultilevel"/>
    <w:tmpl w:val="10D41C64"/>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74967EDD"/>
    <w:multiLevelType w:val="hybridMultilevel"/>
    <w:tmpl w:val="D96A5EA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791A281B"/>
    <w:multiLevelType w:val="hybridMultilevel"/>
    <w:tmpl w:val="25BCF014"/>
    <w:lvl w:ilvl="0" w:tplc="093A6F88">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7EAB334F"/>
    <w:multiLevelType w:val="hybridMultilevel"/>
    <w:tmpl w:val="729E80D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800297321">
    <w:abstractNumId w:val="4"/>
  </w:num>
  <w:num w:numId="2" w16cid:durableId="1417363288">
    <w:abstractNumId w:val="1"/>
  </w:num>
  <w:num w:numId="3" w16cid:durableId="25303570">
    <w:abstractNumId w:val="3"/>
  </w:num>
  <w:num w:numId="4" w16cid:durableId="720594411">
    <w:abstractNumId w:val="5"/>
  </w:num>
  <w:num w:numId="5" w16cid:durableId="80681528">
    <w:abstractNumId w:val="0"/>
  </w:num>
  <w:num w:numId="6" w16cid:durableId="21213650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proofState w:spelling="clean" w:grammar="clean"/>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28B2"/>
    <w:rsid w:val="000034A4"/>
    <w:rsid w:val="00021A7B"/>
    <w:rsid w:val="0003615E"/>
    <w:rsid w:val="000525F8"/>
    <w:rsid w:val="0005696E"/>
    <w:rsid w:val="00056C86"/>
    <w:rsid w:val="00062066"/>
    <w:rsid w:val="00062C17"/>
    <w:rsid w:val="00064203"/>
    <w:rsid w:val="0007335A"/>
    <w:rsid w:val="000840D2"/>
    <w:rsid w:val="00086531"/>
    <w:rsid w:val="0009243C"/>
    <w:rsid w:val="000A1F37"/>
    <w:rsid w:val="000B007A"/>
    <w:rsid w:val="000B398B"/>
    <w:rsid w:val="000D1470"/>
    <w:rsid w:val="000D7205"/>
    <w:rsid w:val="000E74DC"/>
    <w:rsid w:val="000F701E"/>
    <w:rsid w:val="001006BD"/>
    <w:rsid w:val="001012A0"/>
    <w:rsid w:val="00104C40"/>
    <w:rsid w:val="001162DF"/>
    <w:rsid w:val="0011678A"/>
    <w:rsid w:val="00122335"/>
    <w:rsid w:val="00135315"/>
    <w:rsid w:val="00140D7B"/>
    <w:rsid w:val="00147BF9"/>
    <w:rsid w:val="00153602"/>
    <w:rsid w:val="00165139"/>
    <w:rsid w:val="001A0227"/>
    <w:rsid w:val="001A0E89"/>
    <w:rsid w:val="001B2F8F"/>
    <w:rsid w:val="001C025B"/>
    <w:rsid w:val="001D0E82"/>
    <w:rsid w:val="001D15B4"/>
    <w:rsid w:val="001D3D55"/>
    <w:rsid w:val="001E48A2"/>
    <w:rsid w:val="001F1353"/>
    <w:rsid w:val="0021207F"/>
    <w:rsid w:val="002138B1"/>
    <w:rsid w:val="0021744C"/>
    <w:rsid w:val="00220D30"/>
    <w:rsid w:val="0023041D"/>
    <w:rsid w:val="0023722B"/>
    <w:rsid w:val="00241D3A"/>
    <w:rsid w:val="00243179"/>
    <w:rsid w:val="002448CA"/>
    <w:rsid w:val="002808B6"/>
    <w:rsid w:val="00291B9D"/>
    <w:rsid w:val="00292199"/>
    <w:rsid w:val="002C2190"/>
    <w:rsid w:val="002E6644"/>
    <w:rsid w:val="002F0EAE"/>
    <w:rsid w:val="002F2E67"/>
    <w:rsid w:val="0032463A"/>
    <w:rsid w:val="00332DFC"/>
    <w:rsid w:val="003345F2"/>
    <w:rsid w:val="0033578B"/>
    <w:rsid w:val="00352F2A"/>
    <w:rsid w:val="00362AF5"/>
    <w:rsid w:val="00362D49"/>
    <w:rsid w:val="003671C5"/>
    <w:rsid w:val="003675A0"/>
    <w:rsid w:val="00374A67"/>
    <w:rsid w:val="00376180"/>
    <w:rsid w:val="00396B39"/>
    <w:rsid w:val="00397ADE"/>
    <w:rsid w:val="003A5A09"/>
    <w:rsid w:val="003C14EC"/>
    <w:rsid w:val="003C3D0C"/>
    <w:rsid w:val="003D2D82"/>
    <w:rsid w:val="003D4702"/>
    <w:rsid w:val="003F1A63"/>
    <w:rsid w:val="003F4F94"/>
    <w:rsid w:val="003F6F05"/>
    <w:rsid w:val="0040226B"/>
    <w:rsid w:val="004038CD"/>
    <w:rsid w:val="0041546B"/>
    <w:rsid w:val="00421E19"/>
    <w:rsid w:val="004304DC"/>
    <w:rsid w:val="00431BD0"/>
    <w:rsid w:val="00436CC4"/>
    <w:rsid w:val="00440A35"/>
    <w:rsid w:val="004460D2"/>
    <w:rsid w:val="00466009"/>
    <w:rsid w:val="00467FC5"/>
    <w:rsid w:val="0047114A"/>
    <w:rsid w:val="00474C25"/>
    <w:rsid w:val="00496154"/>
    <w:rsid w:val="004A791C"/>
    <w:rsid w:val="004C46C4"/>
    <w:rsid w:val="004D0033"/>
    <w:rsid w:val="004D270A"/>
    <w:rsid w:val="004E74E7"/>
    <w:rsid w:val="004F2D8E"/>
    <w:rsid w:val="00505407"/>
    <w:rsid w:val="00511B21"/>
    <w:rsid w:val="005628ED"/>
    <w:rsid w:val="00580765"/>
    <w:rsid w:val="005828B2"/>
    <w:rsid w:val="00584465"/>
    <w:rsid w:val="00586313"/>
    <w:rsid w:val="00587178"/>
    <w:rsid w:val="00587FD8"/>
    <w:rsid w:val="005A7CAA"/>
    <w:rsid w:val="005D21DB"/>
    <w:rsid w:val="005E0BF3"/>
    <w:rsid w:val="005E36B0"/>
    <w:rsid w:val="005E4E28"/>
    <w:rsid w:val="005F6C7D"/>
    <w:rsid w:val="005F6DB8"/>
    <w:rsid w:val="006144D3"/>
    <w:rsid w:val="00616F66"/>
    <w:rsid w:val="00616FEB"/>
    <w:rsid w:val="0062118D"/>
    <w:rsid w:val="0062314C"/>
    <w:rsid w:val="0062618D"/>
    <w:rsid w:val="0063267F"/>
    <w:rsid w:val="006326D6"/>
    <w:rsid w:val="006328AD"/>
    <w:rsid w:val="00634031"/>
    <w:rsid w:val="00643885"/>
    <w:rsid w:val="006501B6"/>
    <w:rsid w:val="00657CAE"/>
    <w:rsid w:val="006603DC"/>
    <w:rsid w:val="00664856"/>
    <w:rsid w:val="00694949"/>
    <w:rsid w:val="006A235E"/>
    <w:rsid w:val="006B258D"/>
    <w:rsid w:val="006B68C3"/>
    <w:rsid w:val="006D00DA"/>
    <w:rsid w:val="006F05F0"/>
    <w:rsid w:val="0070059B"/>
    <w:rsid w:val="0070474A"/>
    <w:rsid w:val="00744962"/>
    <w:rsid w:val="00750323"/>
    <w:rsid w:val="007507BF"/>
    <w:rsid w:val="00757EE5"/>
    <w:rsid w:val="007633AB"/>
    <w:rsid w:val="00790746"/>
    <w:rsid w:val="007934BB"/>
    <w:rsid w:val="007A1B99"/>
    <w:rsid w:val="007A3571"/>
    <w:rsid w:val="007A39DB"/>
    <w:rsid w:val="007B27E3"/>
    <w:rsid w:val="007B2E96"/>
    <w:rsid w:val="007B6C7C"/>
    <w:rsid w:val="007C00AE"/>
    <w:rsid w:val="007C71FB"/>
    <w:rsid w:val="007C7E28"/>
    <w:rsid w:val="00800B82"/>
    <w:rsid w:val="00805C22"/>
    <w:rsid w:val="00815F5E"/>
    <w:rsid w:val="00820FC0"/>
    <w:rsid w:val="00833FB5"/>
    <w:rsid w:val="00841945"/>
    <w:rsid w:val="00842457"/>
    <w:rsid w:val="00842F28"/>
    <w:rsid w:val="00846560"/>
    <w:rsid w:val="0086027B"/>
    <w:rsid w:val="00860DD9"/>
    <w:rsid w:val="00865A37"/>
    <w:rsid w:val="008702F5"/>
    <w:rsid w:val="00873DDB"/>
    <w:rsid w:val="00891FC1"/>
    <w:rsid w:val="00895A71"/>
    <w:rsid w:val="008A3CD8"/>
    <w:rsid w:val="008C7BFE"/>
    <w:rsid w:val="008D5870"/>
    <w:rsid w:val="008D747E"/>
    <w:rsid w:val="008E45D7"/>
    <w:rsid w:val="00901F16"/>
    <w:rsid w:val="00902FD8"/>
    <w:rsid w:val="00903B55"/>
    <w:rsid w:val="009116B7"/>
    <w:rsid w:val="00917E31"/>
    <w:rsid w:val="009257D6"/>
    <w:rsid w:val="00925A15"/>
    <w:rsid w:val="00930408"/>
    <w:rsid w:val="00947307"/>
    <w:rsid w:val="009541CE"/>
    <w:rsid w:val="00967C17"/>
    <w:rsid w:val="009765DD"/>
    <w:rsid w:val="009811BC"/>
    <w:rsid w:val="00990AAF"/>
    <w:rsid w:val="0099444E"/>
    <w:rsid w:val="00994507"/>
    <w:rsid w:val="00996FF4"/>
    <w:rsid w:val="009B0BE0"/>
    <w:rsid w:val="009C2C8A"/>
    <w:rsid w:val="009C3126"/>
    <w:rsid w:val="009C4904"/>
    <w:rsid w:val="009E2027"/>
    <w:rsid w:val="009E6C56"/>
    <w:rsid w:val="009F4CD6"/>
    <w:rsid w:val="00A06FD0"/>
    <w:rsid w:val="00A15124"/>
    <w:rsid w:val="00A279D2"/>
    <w:rsid w:val="00A364AD"/>
    <w:rsid w:val="00A530DC"/>
    <w:rsid w:val="00A73BE3"/>
    <w:rsid w:val="00A918AE"/>
    <w:rsid w:val="00AA27C2"/>
    <w:rsid w:val="00AA6D8A"/>
    <w:rsid w:val="00AA7F2B"/>
    <w:rsid w:val="00AB1590"/>
    <w:rsid w:val="00AB5993"/>
    <w:rsid w:val="00AD3748"/>
    <w:rsid w:val="00AD59C1"/>
    <w:rsid w:val="00AD6502"/>
    <w:rsid w:val="00AD763F"/>
    <w:rsid w:val="00AE49BB"/>
    <w:rsid w:val="00AE7415"/>
    <w:rsid w:val="00AF1623"/>
    <w:rsid w:val="00B0042D"/>
    <w:rsid w:val="00B04523"/>
    <w:rsid w:val="00B11855"/>
    <w:rsid w:val="00B17981"/>
    <w:rsid w:val="00B43B9E"/>
    <w:rsid w:val="00B44FC9"/>
    <w:rsid w:val="00B45455"/>
    <w:rsid w:val="00B66A91"/>
    <w:rsid w:val="00B75D39"/>
    <w:rsid w:val="00B97D6D"/>
    <w:rsid w:val="00B97D75"/>
    <w:rsid w:val="00BA207C"/>
    <w:rsid w:val="00BB448B"/>
    <w:rsid w:val="00BB6B2D"/>
    <w:rsid w:val="00BC0AA2"/>
    <w:rsid w:val="00BD54DD"/>
    <w:rsid w:val="00BD6BD2"/>
    <w:rsid w:val="00BE22E0"/>
    <w:rsid w:val="00BF5B29"/>
    <w:rsid w:val="00BF64CE"/>
    <w:rsid w:val="00BF7AF7"/>
    <w:rsid w:val="00C0096B"/>
    <w:rsid w:val="00C024EF"/>
    <w:rsid w:val="00C048AA"/>
    <w:rsid w:val="00C04EA0"/>
    <w:rsid w:val="00C10DC4"/>
    <w:rsid w:val="00C31344"/>
    <w:rsid w:val="00C444B2"/>
    <w:rsid w:val="00C65014"/>
    <w:rsid w:val="00C6541D"/>
    <w:rsid w:val="00C759D2"/>
    <w:rsid w:val="00C86AC3"/>
    <w:rsid w:val="00C956DF"/>
    <w:rsid w:val="00CA065B"/>
    <w:rsid w:val="00CA4625"/>
    <w:rsid w:val="00CA75E9"/>
    <w:rsid w:val="00CB1124"/>
    <w:rsid w:val="00CB1FCD"/>
    <w:rsid w:val="00CB6BD9"/>
    <w:rsid w:val="00CD024A"/>
    <w:rsid w:val="00CD24BB"/>
    <w:rsid w:val="00CE3C33"/>
    <w:rsid w:val="00CE6B28"/>
    <w:rsid w:val="00CE78AD"/>
    <w:rsid w:val="00D150AD"/>
    <w:rsid w:val="00D240D4"/>
    <w:rsid w:val="00D300C9"/>
    <w:rsid w:val="00D3103F"/>
    <w:rsid w:val="00D34ADA"/>
    <w:rsid w:val="00D34E81"/>
    <w:rsid w:val="00D517F0"/>
    <w:rsid w:val="00D53514"/>
    <w:rsid w:val="00D54154"/>
    <w:rsid w:val="00D85CFD"/>
    <w:rsid w:val="00D93987"/>
    <w:rsid w:val="00DA4908"/>
    <w:rsid w:val="00DB2078"/>
    <w:rsid w:val="00DB6CCA"/>
    <w:rsid w:val="00DC1BBC"/>
    <w:rsid w:val="00DC4255"/>
    <w:rsid w:val="00DC4D60"/>
    <w:rsid w:val="00DD17EB"/>
    <w:rsid w:val="00E07660"/>
    <w:rsid w:val="00E12FE7"/>
    <w:rsid w:val="00E21622"/>
    <w:rsid w:val="00E343B7"/>
    <w:rsid w:val="00E63584"/>
    <w:rsid w:val="00E64AAC"/>
    <w:rsid w:val="00E72C8A"/>
    <w:rsid w:val="00E73D2D"/>
    <w:rsid w:val="00EB0442"/>
    <w:rsid w:val="00EB5B89"/>
    <w:rsid w:val="00EC0A2D"/>
    <w:rsid w:val="00ED2190"/>
    <w:rsid w:val="00EF5148"/>
    <w:rsid w:val="00F20757"/>
    <w:rsid w:val="00F2459E"/>
    <w:rsid w:val="00F36C0E"/>
    <w:rsid w:val="00F37A5D"/>
    <w:rsid w:val="00F37B3D"/>
    <w:rsid w:val="00F468B0"/>
    <w:rsid w:val="00F51390"/>
    <w:rsid w:val="00F54FD1"/>
    <w:rsid w:val="00F64F4D"/>
    <w:rsid w:val="00F9307A"/>
    <w:rsid w:val="00FB3696"/>
    <w:rsid w:val="00FB7248"/>
    <w:rsid w:val="00FC4568"/>
    <w:rsid w:val="00FD1F13"/>
    <w:rsid w:val="00FD5AF9"/>
    <w:rsid w:val="00FE3A80"/>
    <w:rsid w:val="00FE5F7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378953"/>
  <w15:docId w15:val="{E0859886-F430-46DE-867C-EFD7D5146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MX" w:eastAsia="es-MX"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6873"/>
    <w:rPr>
      <w:rFonts w:cs="Times New Roman"/>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link w:val="EncabezadoCar"/>
    <w:uiPriority w:val="99"/>
    <w:unhideWhenUsed/>
    <w:rsid w:val="0002687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26873"/>
    <w:rPr>
      <w:rFonts w:ascii="Calibri" w:eastAsia="Calibri" w:hAnsi="Calibri" w:cs="Times New Roman"/>
    </w:rPr>
  </w:style>
  <w:style w:type="paragraph" w:styleId="Piedepgina">
    <w:name w:val="footer"/>
    <w:basedOn w:val="Normal"/>
    <w:link w:val="PiedepginaCar"/>
    <w:uiPriority w:val="99"/>
    <w:unhideWhenUsed/>
    <w:rsid w:val="0002687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26873"/>
    <w:rPr>
      <w:rFonts w:ascii="Calibri" w:eastAsia="Calibri" w:hAnsi="Calibri" w:cs="Times New Roman"/>
    </w:rPr>
  </w:style>
  <w:style w:type="table" w:styleId="Tablaconcuadrcula">
    <w:name w:val="Table Grid"/>
    <w:basedOn w:val="Tablanormal"/>
    <w:uiPriority w:val="39"/>
    <w:rsid w:val="000268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semiHidden/>
    <w:unhideWhenUsed/>
    <w:qFormat/>
    <w:rsid w:val="0072022B"/>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semiHidden/>
    <w:qFormat/>
    <w:rsid w:val="0072022B"/>
    <w:rPr>
      <w:rFonts w:ascii="Calibri" w:eastAsia="Calibri" w:hAnsi="Calibri" w:cs="Times New Roman"/>
      <w:sz w:val="20"/>
      <w:szCs w:val="20"/>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72022B"/>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965856"/>
    <w:pPr>
      <w:spacing w:after="0" w:line="240" w:lineRule="auto"/>
      <w:jc w:val="both"/>
    </w:pPr>
    <w:rPr>
      <w:rFonts w:asciiTheme="minorHAnsi" w:eastAsiaTheme="minorHAnsi" w:hAnsiTheme="minorHAnsi" w:cstheme="minorBidi"/>
      <w:vertAlign w:val="superscript"/>
    </w:rPr>
  </w:style>
  <w:style w:type="paragraph" w:styleId="NormalWeb">
    <w:name w:val="Normal (Web)"/>
    <w:basedOn w:val="Normal"/>
    <w:uiPriority w:val="99"/>
    <w:semiHidden/>
    <w:unhideWhenUsed/>
    <w:rsid w:val="00DA5E73"/>
    <w:pPr>
      <w:spacing w:before="100" w:beforeAutospacing="1" w:after="100" w:afterAutospacing="1" w:line="240" w:lineRule="auto"/>
    </w:pPr>
    <w:rPr>
      <w:rFonts w:ascii="Times New Roman" w:eastAsia="Times New Roman" w:hAnsi="Times New Roman"/>
      <w:sz w:val="24"/>
      <w:szCs w:val="24"/>
    </w:rPr>
  </w:style>
  <w:style w:type="paragraph" w:styleId="Textoindependiente">
    <w:name w:val="Body Text"/>
    <w:basedOn w:val="Normal"/>
    <w:link w:val="TextoindependienteCar"/>
    <w:uiPriority w:val="1"/>
    <w:qFormat/>
    <w:rsid w:val="00B27269"/>
    <w:pPr>
      <w:widowControl w:val="0"/>
      <w:autoSpaceDE w:val="0"/>
      <w:autoSpaceDN w:val="0"/>
      <w:spacing w:after="0" w:line="240" w:lineRule="auto"/>
    </w:pPr>
    <w:rPr>
      <w:rFonts w:ascii="Arial" w:eastAsia="Arial" w:hAnsi="Arial" w:cs="Arial"/>
      <w:sz w:val="19"/>
      <w:szCs w:val="19"/>
      <w:lang w:val="es-ES"/>
    </w:rPr>
  </w:style>
  <w:style w:type="character" w:customStyle="1" w:styleId="TextoindependienteCar">
    <w:name w:val="Texto independiente Car"/>
    <w:basedOn w:val="Fuentedeprrafopredeter"/>
    <w:link w:val="Textoindependiente"/>
    <w:uiPriority w:val="1"/>
    <w:rsid w:val="00B27269"/>
    <w:rPr>
      <w:rFonts w:ascii="Arial" w:eastAsia="Arial" w:hAnsi="Arial" w:cs="Arial"/>
      <w:sz w:val="19"/>
      <w:szCs w:val="19"/>
      <w:lang w:val="es-ES"/>
    </w:rPr>
  </w:style>
  <w:style w:type="paragraph" w:customStyle="1" w:styleId="TableParagraph">
    <w:name w:val="Table Paragraph"/>
    <w:basedOn w:val="Normal"/>
    <w:uiPriority w:val="1"/>
    <w:qFormat/>
    <w:rsid w:val="00B27269"/>
    <w:pPr>
      <w:widowControl w:val="0"/>
      <w:autoSpaceDE w:val="0"/>
      <w:autoSpaceDN w:val="0"/>
      <w:spacing w:after="0" w:line="240" w:lineRule="auto"/>
    </w:pPr>
    <w:rPr>
      <w:rFonts w:ascii="Tahoma" w:eastAsia="Tahoma" w:hAnsi="Tahoma" w:cs="Tahoma"/>
      <w:lang w:val="es-ES"/>
    </w:rPr>
  </w:style>
  <w:style w:type="paragraph" w:styleId="Prrafodelista">
    <w:name w:val="List Paragraph"/>
    <w:basedOn w:val="Normal"/>
    <w:uiPriority w:val="34"/>
    <w:qFormat/>
    <w:rsid w:val="00073193"/>
    <w:pPr>
      <w:ind w:left="720"/>
      <w:contextualSpacing/>
    </w:pPr>
  </w:style>
  <w:style w:type="paragraph" w:styleId="Revisin">
    <w:name w:val="Revision"/>
    <w:hidden/>
    <w:uiPriority w:val="99"/>
    <w:semiHidden/>
    <w:rsid w:val="00134EF2"/>
    <w:pPr>
      <w:spacing w:after="0" w:line="240" w:lineRule="auto"/>
    </w:pPr>
    <w:rPr>
      <w:rFonts w:cs="Times New Roman"/>
    </w:rPr>
  </w:style>
  <w:style w:type="character" w:styleId="Refdecomentario">
    <w:name w:val="annotation reference"/>
    <w:basedOn w:val="Fuentedeprrafopredeter"/>
    <w:uiPriority w:val="99"/>
    <w:semiHidden/>
    <w:unhideWhenUsed/>
    <w:rsid w:val="00913BB5"/>
    <w:rPr>
      <w:sz w:val="16"/>
      <w:szCs w:val="16"/>
    </w:rPr>
  </w:style>
  <w:style w:type="paragraph" w:styleId="Textocomentario">
    <w:name w:val="annotation text"/>
    <w:basedOn w:val="Normal"/>
    <w:link w:val="TextocomentarioCar"/>
    <w:uiPriority w:val="99"/>
    <w:unhideWhenUsed/>
    <w:rsid w:val="00913BB5"/>
    <w:pPr>
      <w:spacing w:line="240" w:lineRule="auto"/>
    </w:pPr>
    <w:rPr>
      <w:sz w:val="20"/>
      <w:szCs w:val="20"/>
    </w:rPr>
  </w:style>
  <w:style w:type="character" w:customStyle="1" w:styleId="TextocomentarioCar">
    <w:name w:val="Texto comentario Car"/>
    <w:basedOn w:val="Fuentedeprrafopredeter"/>
    <w:link w:val="Textocomentario"/>
    <w:uiPriority w:val="99"/>
    <w:rsid w:val="00913BB5"/>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913BB5"/>
    <w:rPr>
      <w:b/>
      <w:bCs/>
    </w:rPr>
  </w:style>
  <w:style w:type="character" w:customStyle="1" w:styleId="AsuntodelcomentarioCar">
    <w:name w:val="Asunto del comentario Car"/>
    <w:basedOn w:val="TextocomentarioCar"/>
    <w:link w:val="Asuntodelcomentario"/>
    <w:uiPriority w:val="99"/>
    <w:semiHidden/>
    <w:rsid w:val="00913BB5"/>
    <w:rPr>
      <w:rFonts w:ascii="Calibri" w:eastAsia="Calibri" w:hAnsi="Calibri" w:cs="Times New Roman"/>
      <w:b/>
      <w:bCs/>
      <w:sz w:val="20"/>
      <w:szCs w:val="20"/>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table" w:styleId="Tablaconcuadrcula1clara">
    <w:name w:val="Grid Table 1 Light"/>
    <w:basedOn w:val="Tablanormal"/>
    <w:uiPriority w:val="46"/>
    <w:rsid w:val="00616F6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Sinespaciado">
    <w:name w:val="No Spacing"/>
    <w:uiPriority w:val="1"/>
    <w:qFormat/>
    <w:rsid w:val="007507BF"/>
    <w:pPr>
      <w:spacing w:after="0" w:line="240" w:lineRule="auto"/>
    </w:pPr>
    <w:rPr>
      <w:rFonts w:cs="Times New Roman"/>
    </w:rPr>
  </w:style>
  <w:style w:type="character" w:styleId="Hipervnculo">
    <w:name w:val="Hyperlink"/>
    <w:basedOn w:val="Fuentedeprrafopredeter"/>
    <w:uiPriority w:val="99"/>
    <w:unhideWhenUsed/>
    <w:rsid w:val="009F4CD6"/>
    <w:rPr>
      <w:color w:val="0563C1" w:themeColor="hyperlink"/>
      <w:u w:val="single"/>
    </w:rPr>
  </w:style>
  <w:style w:type="character" w:styleId="Mencinsinresolver">
    <w:name w:val="Unresolved Mention"/>
    <w:basedOn w:val="Fuentedeprrafopredeter"/>
    <w:uiPriority w:val="99"/>
    <w:semiHidden/>
    <w:unhideWhenUsed/>
    <w:rsid w:val="009F4C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618972">
      <w:bodyDiv w:val="1"/>
      <w:marLeft w:val="0"/>
      <w:marRight w:val="0"/>
      <w:marTop w:val="0"/>
      <w:marBottom w:val="0"/>
      <w:divBdr>
        <w:top w:val="none" w:sz="0" w:space="0" w:color="auto"/>
        <w:left w:val="none" w:sz="0" w:space="0" w:color="auto"/>
        <w:bottom w:val="none" w:sz="0" w:space="0" w:color="auto"/>
        <w:right w:val="none" w:sz="0" w:space="0" w:color="auto"/>
      </w:divBdr>
    </w:div>
    <w:div w:id="397093343">
      <w:bodyDiv w:val="1"/>
      <w:marLeft w:val="0"/>
      <w:marRight w:val="0"/>
      <w:marTop w:val="0"/>
      <w:marBottom w:val="0"/>
      <w:divBdr>
        <w:top w:val="none" w:sz="0" w:space="0" w:color="auto"/>
        <w:left w:val="none" w:sz="0" w:space="0" w:color="auto"/>
        <w:bottom w:val="none" w:sz="0" w:space="0" w:color="auto"/>
        <w:right w:val="none" w:sz="0" w:space="0" w:color="auto"/>
      </w:divBdr>
    </w:div>
    <w:div w:id="597182903">
      <w:bodyDiv w:val="1"/>
      <w:marLeft w:val="0"/>
      <w:marRight w:val="0"/>
      <w:marTop w:val="0"/>
      <w:marBottom w:val="0"/>
      <w:divBdr>
        <w:top w:val="none" w:sz="0" w:space="0" w:color="auto"/>
        <w:left w:val="none" w:sz="0" w:space="0" w:color="auto"/>
        <w:bottom w:val="none" w:sz="0" w:space="0" w:color="auto"/>
        <w:right w:val="none" w:sz="0" w:space="0" w:color="auto"/>
      </w:divBdr>
    </w:div>
    <w:div w:id="1189836976">
      <w:bodyDiv w:val="1"/>
      <w:marLeft w:val="0"/>
      <w:marRight w:val="0"/>
      <w:marTop w:val="0"/>
      <w:marBottom w:val="0"/>
      <w:divBdr>
        <w:top w:val="none" w:sz="0" w:space="0" w:color="auto"/>
        <w:left w:val="none" w:sz="0" w:space="0" w:color="auto"/>
        <w:bottom w:val="none" w:sz="0" w:space="0" w:color="auto"/>
        <w:right w:val="none" w:sz="0" w:space="0" w:color="auto"/>
      </w:divBdr>
    </w:div>
    <w:div w:id="20347624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w2vgTTZobhHKxbjQvvZ/bcKcOw==">CgMxLjAyCGguZ2pkZ3hzMgloLjMwajB6bGwyCWguMWZvYjl0ZTgAciExT0lUaGlnUmlqLXNibFAwNGg0N1pfaTU1OG80OFl4V1k=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E9285F1-6C71-44FE-945E-DCC2B20B09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763</TotalTime>
  <Pages>3</Pages>
  <Words>721</Words>
  <Characters>3967</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MCRZ</dc:creator>
  <cp:lastModifiedBy>Jocelyn Martinez</cp:lastModifiedBy>
  <cp:revision>20</cp:revision>
  <cp:lastPrinted>2026-06-17T22:14:00Z</cp:lastPrinted>
  <dcterms:created xsi:type="dcterms:W3CDTF">2026-06-03T02:03:00Z</dcterms:created>
  <dcterms:modified xsi:type="dcterms:W3CDTF">2026-06-17T22:20:00Z</dcterms:modified>
</cp:coreProperties>
</file>